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FINANCIAL PERFORMANCE</w:t>
        <w:br w:type="textWrapping"/>
        <w:t xml:space="preserve">INSIGHTS &amp; 2026 OUTLOOK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Management Report | January 2023 – July 2026</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t xml:space="preserve">The business shows strong underlying revenue growth across the available period. Full-year revenue increased from ₹126.84 Cr in 2023 to ₹159.58 Cr in 2024 and ₹199.43 Cr in 2025. This represents growth of 25.8% in 2024 and 25.0% in 2025.</w:t>
      </w:r>
    </w:p>
    <w:p w:rsidR="00000000" w:rsidDel="00000000" w:rsidP="00000000" w:rsidRDefault="00000000" w:rsidRPr="00000000" w14:paraId="00000005">
      <w:pPr>
        <w:rPr/>
      </w:pPr>
      <w:r w:rsidDel="00000000" w:rsidR="00000000" w:rsidRPr="00000000">
        <w:rPr>
          <w:rtl w:val="0"/>
        </w:rPr>
        <w:t xml:space="preserve">The apparent -40.2% change shown by a simple annual comparison for 2026 is not a valid year-over-year conclusion because 2026 contains only January through July, while 2025 contains twelve months. On a like-for-like January–July basis, 2026 revenue is ₹119.32 Cr, compared with ₹101.12 Cr in January–July 2025 — an increase of 18.0%.</w:t>
      </w:r>
    </w:p>
    <w:p w:rsidR="00000000" w:rsidDel="00000000" w:rsidP="00000000" w:rsidRDefault="00000000" w:rsidRPr="00000000" w14:paraId="00000006">
      <w:pPr>
        <w:pStyle w:val="Heading1"/>
        <w:rPr/>
      </w:pPr>
      <w:r w:rsidDel="00000000" w:rsidR="00000000" w:rsidRPr="00000000">
        <w:rPr>
          <w:rtl w:val="0"/>
        </w:rPr>
        <w:t xml:space="preserve">2. Annual Performance</w:t>
      </w:r>
    </w:p>
    <w:tbl>
      <w:tblPr>
        <w:tblStyle w:val="Table1"/>
        <w:tblW w:w="10224.0" w:type="dxa"/>
        <w:jc w:val="center"/>
        <w:tblBorders>
          <w:top w:color="4f81bd" w:space="0" w:sz="8" w:val="single"/>
          <w:bottom w:color="4f81bd" w:space="0" w:sz="8" w:val="single"/>
        </w:tblBorders>
        <w:tblLayout w:type="fixed"/>
        <w:tblLook w:val="04A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Year</w:t>
            </w:r>
          </w:p>
        </w:tc>
        <w:tc>
          <w:tcPr/>
          <w:p w:rsidR="00000000" w:rsidDel="00000000" w:rsidP="00000000" w:rsidRDefault="00000000" w:rsidRPr="00000000" w14:paraId="00000008">
            <w:pPr>
              <w:rPr/>
            </w:pPr>
            <w:r w:rsidDel="00000000" w:rsidR="00000000" w:rsidRPr="00000000">
              <w:rPr>
                <w:rtl w:val="0"/>
              </w:rPr>
              <w:t xml:space="preserve">Revenue</w:t>
            </w:r>
          </w:p>
        </w:tc>
        <w:tc>
          <w:tcPr/>
          <w:p w:rsidR="00000000" w:rsidDel="00000000" w:rsidP="00000000" w:rsidRDefault="00000000" w:rsidRPr="00000000" w14:paraId="00000009">
            <w:pPr>
              <w:rPr/>
            </w:pPr>
            <w:r w:rsidDel="00000000" w:rsidR="00000000" w:rsidRPr="00000000">
              <w:rPr>
                <w:rtl w:val="0"/>
              </w:rPr>
              <w:t xml:space="preserve">Expenses</w:t>
            </w:r>
          </w:p>
        </w:tc>
        <w:tc>
          <w:tcPr/>
          <w:p w:rsidR="00000000" w:rsidDel="00000000" w:rsidP="00000000" w:rsidRDefault="00000000" w:rsidRPr="00000000" w14:paraId="0000000A">
            <w:pPr>
              <w:rPr/>
            </w:pPr>
            <w:r w:rsidDel="00000000" w:rsidR="00000000" w:rsidRPr="00000000">
              <w:rPr>
                <w:rtl w:val="0"/>
              </w:rPr>
              <w:t xml:space="preserve">Net Profit</w:t>
            </w:r>
          </w:p>
        </w:tc>
        <w:tc>
          <w:tcPr/>
          <w:p w:rsidR="00000000" w:rsidDel="00000000" w:rsidP="00000000" w:rsidRDefault="00000000" w:rsidRPr="00000000" w14:paraId="0000000B">
            <w:pPr>
              <w:rPr/>
            </w:pPr>
            <w:r w:rsidDel="00000000" w:rsidR="00000000" w:rsidRPr="00000000">
              <w:rPr>
                <w:rtl w:val="0"/>
              </w:rPr>
              <w:t xml:space="preserve">Profit Margin</w:t>
            </w:r>
          </w:p>
        </w:tc>
        <w:tc>
          <w:tcPr/>
          <w:p w:rsidR="00000000" w:rsidDel="00000000" w:rsidP="00000000" w:rsidRDefault="00000000" w:rsidRPr="00000000" w14:paraId="0000000C">
            <w:pPr>
              <w:rPr/>
            </w:pPr>
            <w:r w:rsidDel="00000000" w:rsidR="00000000" w:rsidRPr="00000000">
              <w:rPr>
                <w:rtl w:val="0"/>
              </w:rPr>
              <w:t xml:space="preserve">Revenue YoY</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2023</w:t>
            </w:r>
          </w:p>
        </w:tc>
        <w:tc>
          <w:tcPr/>
          <w:p w:rsidR="00000000" w:rsidDel="00000000" w:rsidP="00000000" w:rsidRDefault="00000000" w:rsidRPr="00000000" w14:paraId="0000000E">
            <w:pPr>
              <w:rPr/>
            </w:pPr>
            <w:r w:rsidDel="00000000" w:rsidR="00000000" w:rsidRPr="00000000">
              <w:rPr>
                <w:rtl w:val="0"/>
              </w:rPr>
              <w:t xml:space="preserve">₹126.84 Cr</w:t>
            </w:r>
          </w:p>
        </w:tc>
        <w:tc>
          <w:tcPr/>
          <w:p w:rsidR="00000000" w:rsidDel="00000000" w:rsidP="00000000" w:rsidRDefault="00000000" w:rsidRPr="00000000" w14:paraId="0000000F">
            <w:pPr>
              <w:rPr/>
            </w:pPr>
            <w:r w:rsidDel="00000000" w:rsidR="00000000" w:rsidRPr="00000000">
              <w:rPr>
                <w:rtl w:val="0"/>
              </w:rPr>
              <w:t xml:space="preserve">₹29.49 Cr</w:t>
            </w:r>
          </w:p>
        </w:tc>
        <w:tc>
          <w:tcPr/>
          <w:p w:rsidR="00000000" w:rsidDel="00000000" w:rsidP="00000000" w:rsidRDefault="00000000" w:rsidRPr="00000000" w14:paraId="00000010">
            <w:pPr>
              <w:rPr/>
            </w:pPr>
            <w:r w:rsidDel="00000000" w:rsidR="00000000" w:rsidRPr="00000000">
              <w:rPr>
                <w:rtl w:val="0"/>
              </w:rPr>
              <w:t xml:space="preserve">₹97.35 Cr</w:t>
            </w:r>
          </w:p>
        </w:tc>
        <w:tc>
          <w:tcPr/>
          <w:p w:rsidR="00000000" w:rsidDel="00000000" w:rsidP="00000000" w:rsidRDefault="00000000" w:rsidRPr="00000000" w14:paraId="00000011">
            <w:pPr>
              <w:rPr/>
            </w:pPr>
            <w:r w:rsidDel="00000000" w:rsidR="00000000" w:rsidRPr="00000000">
              <w:rPr>
                <w:rtl w:val="0"/>
              </w:rPr>
              <w:t xml:space="preserve">76.8%</w:t>
            </w:r>
          </w:p>
        </w:tc>
        <w:tc>
          <w:tcPr/>
          <w:p w:rsidR="00000000" w:rsidDel="00000000" w:rsidP="00000000" w:rsidRDefault="00000000" w:rsidRPr="00000000" w14:paraId="0000001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2024</w:t>
            </w:r>
          </w:p>
        </w:tc>
        <w:tc>
          <w:tcPr/>
          <w:p w:rsidR="00000000" w:rsidDel="00000000" w:rsidP="00000000" w:rsidRDefault="00000000" w:rsidRPr="00000000" w14:paraId="00000014">
            <w:pPr>
              <w:rPr/>
            </w:pPr>
            <w:r w:rsidDel="00000000" w:rsidR="00000000" w:rsidRPr="00000000">
              <w:rPr>
                <w:rtl w:val="0"/>
              </w:rPr>
              <w:t xml:space="preserve">₹159.58 Cr</w:t>
            </w:r>
          </w:p>
        </w:tc>
        <w:tc>
          <w:tcPr/>
          <w:p w:rsidR="00000000" w:rsidDel="00000000" w:rsidP="00000000" w:rsidRDefault="00000000" w:rsidRPr="00000000" w14:paraId="00000015">
            <w:pPr>
              <w:rPr/>
            </w:pPr>
            <w:r w:rsidDel="00000000" w:rsidR="00000000" w:rsidRPr="00000000">
              <w:rPr>
                <w:rtl w:val="0"/>
              </w:rPr>
              <w:t xml:space="preserve">₹37.05 Cr</w:t>
            </w:r>
          </w:p>
        </w:tc>
        <w:tc>
          <w:tcPr/>
          <w:p w:rsidR="00000000" w:rsidDel="00000000" w:rsidP="00000000" w:rsidRDefault="00000000" w:rsidRPr="00000000" w14:paraId="00000016">
            <w:pPr>
              <w:rPr/>
            </w:pPr>
            <w:r w:rsidDel="00000000" w:rsidR="00000000" w:rsidRPr="00000000">
              <w:rPr>
                <w:rtl w:val="0"/>
              </w:rPr>
              <w:t xml:space="preserve">₹122.53 Cr</w:t>
            </w:r>
          </w:p>
        </w:tc>
        <w:tc>
          <w:tcPr/>
          <w:p w:rsidR="00000000" w:rsidDel="00000000" w:rsidP="00000000" w:rsidRDefault="00000000" w:rsidRPr="00000000" w14:paraId="00000017">
            <w:pPr>
              <w:rPr/>
            </w:pPr>
            <w:r w:rsidDel="00000000" w:rsidR="00000000" w:rsidRPr="00000000">
              <w:rPr>
                <w:rtl w:val="0"/>
              </w:rPr>
              <w:t xml:space="preserve">76.8%</w:t>
            </w:r>
          </w:p>
        </w:tc>
        <w:tc>
          <w:tcPr/>
          <w:p w:rsidR="00000000" w:rsidDel="00000000" w:rsidP="00000000" w:rsidRDefault="00000000" w:rsidRPr="00000000" w14:paraId="00000018">
            <w:pPr>
              <w:rPr/>
            </w:pPr>
            <w:r w:rsidDel="00000000" w:rsidR="00000000" w:rsidRPr="00000000">
              <w:rPr>
                <w:rtl w:val="0"/>
              </w:rPr>
              <w:t xml:space="preserve">25.8%</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2025</w:t>
            </w:r>
          </w:p>
        </w:tc>
        <w:tc>
          <w:tcPr/>
          <w:p w:rsidR="00000000" w:rsidDel="00000000" w:rsidP="00000000" w:rsidRDefault="00000000" w:rsidRPr="00000000" w14:paraId="0000001A">
            <w:pPr>
              <w:rPr/>
            </w:pPr>
            <w:r w:rsidDel="00000000" w:rsidR="00000000" w:rsidRPr="00000000">
              <w:rPr>
                <w:rtl w:val="0"/>
              </w:rPr>
              <w:t xml:space="preserve">₹199.43 Cr</w:t>
            </w:r>
          </w:p>
        </w:tc>
        <w:tc>
          <w:tcPr/>
          <w:p w:rsidR="00000000" w:rsidDel="00000000" w:rsidP="00000000" w:rsidRDefault="00000000" w:rsidRPr="00000000" w14:paraId="0000001B">
            <w:pPr>
              <w:rPr/>
            </w:pPr>
            <w:r w:rsidDel="00000000" w:rsidR="00000000" w:rsidRPr="00000000">
              <w:rPr>
                <w:rtl w:val="0"/>
              </w:rPr>
              <w:t xml:space="preserve">₹46.33 Cr</w:t>
            </w:r>
          </w:p>
        </w:tc>
        <w:tc>
          <w:tcPr/>
          <w:p w:rsidR="00000000" w:rsidDel="00000000" w:rsidP="00000000" w:rsidRDefault="00000000" w:rsidRPr="00000000" w14:paraId="0000001C">
            <w:pPr>
              <w:rPr/>
            </w:pPr>
            <w:r w:rsidDel="00000000" w:rsidR="00000000" w:rsidRPr="00000000">
              <w:rPr>
                <w:rtl w:val="0"/>
              </w:rPr>
              <w:t xml:space="preserve">₹153.10 Cr</w:t>
            </w:r>
          </w:p>
        </w:tc>
        <w:tc>
          <w:tcPr/>
          <w:p w:rsidR="00000000" w:rsidDel="00000000" w:rsidP="00000000" w:rsidRDefault="00000000" w:rsidRPr="00000000" w14:paraId="0000001D">
            <w:pPr>
              <w:rPr/>
            </w:pPr>
            <w:r w:rsidDel="00000000" w:rsidR="00000000" w:rsidRPr="00000000">
              <w:rPr>
                <w:rtl w:val="0"/>
              </w:rPr>
              <w:t xml:space="preserve">76.8%</w:t>
            </w:r>
          </w:p>
        </w:tc>
        <w:tc>
          <w:tcPr/>
          <w:p w:rsidR="00000000" w:rsidDel="00000000" w:rsidP="00000000" w:rsidRDefault="00000000" w:rsidRPr="00000000" w14:paraId="0000001E">
            <w:pPr>
              <w:rPr/>
            </w:pPr>
            <w:r w:rsidDel="00000000" w:rsidR="00000000" w:rsidRPr="00000000">
              <w:rPr>
                <w:rtl w:val="0"/>
              </w:rPr>
              <w:t xml:space="preserve">25.0%</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2026</w:t>
            </w:r>
          </w:p>
        </w:tc>
        <w:tc>
          <w:tcPr/>
          <w:p w:rsidR="00000000" w:rsidDel="00000000" w:rsidP="00000000" w:rsidRDefault="00000000" w:rsidRPr="00000000" w14:paraId="00000020">
            <w:pPr>
              <w:rPr/>
            </w:pPr>
            <w:r w:rsidDel="00000000" w:rsidR="00000000" w:rsidRPr="00000000">
              <w:rPr>
                <w:rtl w:val="0"/>
              </w:rPr>
              <w:t xml:space="preserve">₹119.32 Cr</w:t>
            </w:r>
          </w:p>
        </w:tc>
        <w:tc>
          <w:tcPr/>
          <w:p w:rsidR="00000000" w:rsidDel="00000000" w:rsidP="00000000" w:rsidRDefault="00000000" w:rsidRPr="00000000" w14:paraId="00000021">
            <w:pPr>
              <w:rPr/>
            </w:pPr>
            <w:r w:rsidDel="00000000" w:rsidR="00000000" w:rsidRPr="00000000">
              <w:rPr>
                <w:rtl w:val="0"/>
              </w:rPr>
              <w:t xml:space="preserve">₹27.77 Cr</w:t>
            </w:r>
          </w:p>
        </w:tc>
        <w:tc>
          <w:tcPr/>
          <w:p w:rsidR="00000000" w:rsidDel="00000000" w:rsidP="00000000" w:rsidRDefault="00000000" w:rsidRPr="00000000" w14:paraId="00000022">
            <w:pPr>
              <w:rPr/>
            </w:pPr>
            <w:r w:rsidDel="00000000" w:rsidR="00000000" w:rsidRPr="00000000">
              <w:rPr>
                <w:rtl w:val="0"/>
              </w:rPr>
              <w:t xml:space="preserve">₹91.54 Cr</w:t>
            </w:r>
          </w:p>
        </w:tc>
        <w:tc>
          <w:tcPr/>
          <w:p w:rsidR="00000000" w:rsidDel="00000000" w:rsidP="00000000" w:rsidRDefault="00000000" w:rsidRPr="00000000" w14:paraId="00000023">
            <w:pPr>
              <w:rPr/>
            </w:pPr>
            <w:r w:rsidDel="00000000" w:rsidR="00000000" w:rsidRPr="00000000">
              <w:rPr>
                <w:rtl w:val="0"/>
              </w:rPr>
              <w:t xml:space="preserve">76.7%</w:t>
            </w:r>
          </w:p>
        </w:tc>
        <w:tc>
          <w:tcPr/>
          <w:p w:rsidR="00000000" w:rsidDel="00000000" w:rsidP="00000000" w:rsidRDefault="00000000" w:rsidRPr="00000000" w14:paraId="00000024">
            <w:pPr>
              <w:rPr/>
            </w:pPr>
            <w:r w:rsidDel="00000000" w:rsidR="00000000" w:rsidRPr="00000000">
              <w:rPr>
                <w:rtl w:val="0"/>
              </w:rPr>
              <w:t xml:space="preserve">-40.2%</w:t>
            </w:r>
          </w:p>
        </w:tc>
      </w:tr>
    </w:tbl>
    <w:p w:rsidR="00000000" w:rsidDel="00000000" w:rsidP="00000000" w:rsidRDefault="00000000" w:rsidRPr="00000000" w14:paraId="00000025">
      <w:pPr>
        <w:rPr/>
      </w:pPr>
      <w:r w:rsidDel="00000000" w:rsidR="00000000" w:rsidRPr="00000000">
        <w:rPr>
          <w:rtl w:val="0"/>
        </w:rPr>
        <w:t xml:space="preserve">Note: 2026 is year-to-date through 31 July and must not be compared directly with a complete 2025 year.</w:t>
      </w:r>
    </w:p>
    <w:p w:rsidR="00000000" w:rsidDel="00000000" w:rsidP="00000000" w:rsidRDefault="00000000" w:rsidRPr="00000000" w14:paraId="00000026">
      <w:pPr>
        <w:pStyle w:val="Heading1"/>
        <w:rPr/>
      </w:pPr>
      <w:r w:rsidDel="00000000" w:rsidR="00000000" w:rsidRPr="00000000">
        <w:rPr>
          <w:rtl w:val="0"/>
        </w:rPr>
        <w:t xml:space="preserve">3. Correct Interpretation of 2026</w:t>
      </w:r>
    </w:p>
    <w:p w:rsidR="00000000" w:rsidDel="00000000" w:rsidP="00000000" w:rsidRDefault="00000000" w:rsidRPr="00000000" w14:paraId="00000027">
      <w:pPr>
        <w:rPr/>
      </w:pPr>
      <w:r w:rsidDel="00000000" w:rsidR="00000000" w:rsidRPr="00000000">
        <w:rPr>
          <w:rtl w:val="0"/>
        </w:rPr>
        <w:t xml:space="preserve">The negative 2026 value in a full-year PivotTable is a period-comparison problem, not evidence of business decline. Seven months of 2026 are being compared with twelve months of 2025. For management reporting, the KPI should be labelled YTD and compared with the same months of the previous year.</w:t>
      </w:r>
    </w:p>
    <w:tbl>
      <w:tblPr>
        <w:tblStyle w:val="Table2"/>
        <w:tblW w:w="10225.0" w:type="dxa"/>
        <w:jc w:val="center"/>
        <w:tblBorders>
          <w:top w:color="4f81bd" w:space="0" w:sz="8" w:val="single"/>
          <w:bottom w:color="4f81bd" w:space="0" w:sz="8" w:val="single"/>
        </w:tblBorders>
        <w:tblLayout w:type="fixed"/>
        <w:tblLook w:val="04A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Period</w:t>
            </w:r>
          </w:p>
        </w:tc>
        <w:tc>
          <w:tcPr/>
          <w:p w:rsidR="00000000" w:rsidDel="00000000" w:rsidP="00000000" w:rsidRDefault="00000000" w:rsidRPr="00000000" w14:paraId="00000029">
            <w:pPr>
              <w:rPr/>
            </w:pPr>
            <w:r w:rsidDel="00000000" w:rsidR="00000000" w:rsidRPr="00000000">
              <w:rPr>
                <w:rtl w:val="0"/>
              </w:rPr>
              <w:t xml:space="preserve">Revenue</w:t>
            </w:r>
          </w:p>
        </w:tc>
        <w:tc>
          <w:tcPr/>
          <w:p w:rsidR="00000000" w:rsidDel="00000000" w:rsidP="00000000" w:rsidRDefault="00000000" w:rsidRPr="00000000" w14:paraId="0000002A">
            <w:pPr>
              <w:rPr/>
            </w:pPr>
            <w:r w:rsidDel="00000000" w:rsidR="00000000" w:rsidRPr="00000000">
              <w:rPr>
                <w:rtl w:val="0"/>
              </w:rPr>
              <w:t xml:space="preserve">Expenses</w:t>
            </w:r>
          </w:p>
        </w:tc>
        <w:tc>
          <w:tcPr/>
          <w:p w:rsidR="00000000" w:rsidDel="00000000" w:rsidP="00000000" w:rsidRDefault="00000000" w:rsidRPr="00000000" w14:paraId="0000002B">
            <w:pPr>
              <w:rPr/>
            </w:pPr>
            <w:r w:rsidDel="00000000" w:rsidR="00000000" w:rsidRPr="00000000">
              <w:rPr>
                <w:rtl w:val="0"/>
              </w:rPr>
              <w:t xml:space="preserve">Net Profit</w:t>
            </w:r>
          </w:p>
        </w:tc>
        <w:tc>
          <w:tcPr/>
          <w:p w:rsidR="00000000" w:rsidDel="00000000" w:rsidP="00000000" w:rsidRDefault="00000000" w:rsidRPr="00000000" w14:paraId="0000002C">
            <w:pPr>
              <w:rPr/>
            </w:pPr>
            <w:r w:rsidDel="00000000" w:rsidR="00000000" w:rsidRPr="00000000">
              <w:rPr>
                <w:rtl w:val="0"/>
              </w:rPr>
              <w:t xml:space="preserve">Margin</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Jan–Jul 2023</w:t>
            </w:r>
          </w:p>
        </w:tc>
        <w:tc>
          <w:tcPr/>
          <w:p w:rsidR="00000000" w:rsidDel="00000000" w:rsidP="00000000" w:rsidRDefault="00000000" w:rsidRPr="00000000" w14:paraId="0000002E">
            <w:pPr>
              <w:rPr/>
            </w:pPr>
            <w:r w:rsidDel="00000000" w:rsidR="00000000" w:rsidRPr="00000000">
              <w:rPr>
                <w:rtl w:val="0"/>
              </w:rPr>
              <w:t xml:space="preserve">₹64.85 Cr</w:t>
            </w:r>
          </w:p>
        </w:tc>
        <w:tc>
          <w:tcPr/>
          <w:p w:rsidR="00000000" w:rsidDel="00000000" w:rsidP="00000000" w:rsidRDefault="00000000" w:rsidRPr="00000000" w14:paraId="0000002F">
            <w:pPr>
              <w:rPr/>
            </w:pPr>
            <w:r w:rsidDel="00000000" w:rsidR="00000000" w:rsidRPr="00000000">
              <w:rPr>
                <w:rtl w:val="0"/>
              </w:rPr>
              <w:t xml:space="preserve">₹15.09 Cr</w:t>
            </w:r>
          </w:p>
        </w:tc>
        <w:tc>
          <w:tcPr/>
          <w:p w:rsidR="00000000" w:rsidDel="00000000" w:rsidP="00000000" w:rsidRDefault="00000000" w:rsidRPr="00000000" w14:paraId="00000030">
            <w:pPr>
              <w:rPr/>
            </w:pPr>
            <w:r w:rsidDel="00000000" w:rsidR="00000000" w:rsidRPr="00000000">
              <w:rPr>
                <w:rtl w:val="0"/>
              </w:rPr>
              <w:t xml:space="preserve">₹49.75 Cr</w:t>
            </w:r>
          </w:p>
        </w:tc>
        <w:tc>
          <w:tcPr/>
          <w:p w:rsidR="00000000" w:rsidDel="00000000" w:rsidP="00000000" w:rsidRDefault="00000000" w:rsidRPr="00000000" w14:paraId="00000031">
            <w:pPr>
              <w:rPr/>
            </w:pPr>
            <w:r w:rsidDel="00000000" w:rsidR="00000000" w:rsidRPr="00000000">
              <w:rPr>
                <w:rtl w:val="0"/>
              </w:rPr>
              <w:t xml:space="preserve">76.7%</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Jan–Jul 2024</w:t>
            </w:r>
          </w:p>
        </w:tc>
        <w:tc>
          <w:tcPr/>
          <w:p w:rsidR="00000000" w:rsidDel="00000000" w:rsidP="00000000" w:rsidRDefault="00000000" w:rsidRPr="00000000" w14:paraId="00000033">
            <w:pPr>
              <w:rPr/>
            </w:pPr>
            <w:r w:rsidDel="00000000" w:rsidR="00000000" w:rsidRPr="00000000">
              <w:rPr>
                <w:rtl w:val="0"/>
              </w:rPr>
              <w:t xml:space="preserve">₹81.53 Cr</w:t>
            </w:r>
          </w:p>
        </w:tc>
        <w:tc>
          <w:tcPr/>
          <w:p w:rsidR="00000000" w:rsidDel="00000000" w:rsidP="00000000" w:rsidRDefault="00000000" w:rsidRPr="00000000" w14:paraId="00000034">
            <w:pPr>
              <w:rPr/>
            </w:pPr>
            <w:r w:rsidDel="00000000" w:rsidR="00000000" w:rsidRPr="00000000">
              <w:rPr>
                <w:rtl w:val="0"/>
              </w:rPr>
              <w:t xml:space="preserve">₹19.02 Cr</w:t>
            </w:r>
          </w:p>
        </w:tc>
        <w:tc>
          <w:tcPr/>
          <w:p w:rsidR="00000000" w:rsidDel="00000000" w:rsidP="00000000" w:rsidRDefault="00000000" w:rsidRPr="00000000" w14:paraId="00000035">
            <w:pPr>
              <w:rPr/>
            </w:pPr>
            <w:r w:rsidDel="00000000" w:rsidR="00000000" w:rsidRPr="00000000">
              <w:rPr>
                <w:rtl w:val="0"/>
              </w:rPr>
              <w:t xml:space="preserve">₹62.51 Cr</w:t>
            </w:r>
          </w:p>
        </w:tc>
        <w:tc>
          <w:tcPr/>
          <w:p w:rsidR="00000000" w:rsidDel="00000000" w:rsidP="00000000" w:rsidRDefault="00000000" w:rsidRPr="00000000" w14:paraId="00000036">
            <w:pPr>
              <w:rPr/>
            </w:pPr>
            <w:r w:rsidDel="00000000" w:rsidR="00000000" w:rsidRPr="00000000">
              <w:rPr>
                <w:rtl w:val="0"/>
              </w:rPr>
              <w:t xml:space="preserve">76.7%</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Jan–Jul 2025</w:t>
            </w:r>
          </w:p>
        </w:tc>
        <w:tc>
          <w:tcPr/>
          <w:p w:rsidR="00000000" w:rsidDel="00000000" w:rsidP="00000000" w:rsidRDefault="00000000" w:rsidRPr="00000000" w14:paraId="00000038">
            <w:pPr>
              <w:rPr/>
            </w:pPr>
            <w:r w:rsidDel="00000000" w:rsidR="00000000" w:rsidRPr="00000000">
              <w:rPr>
                <w:rtl w:val="0"/>
              </w:rPr>
              <w:t xml:space="preserve">₹101.12 Cr</w:t>
            </w:r>
          </w:p>
        </w:tc>
        <w:tc>
          <w:tcPr/>
          <w:p w:rsidR="00000000" w:rsidDel="00000000" w:rsidP="00000000" w:rsidRDefault="00000000" w:rsidRPr="00000000" w14:paraId="00000039">
            <w:pPr>
              <w:rPr/>
            </w:pPr>
            <w:r w:rsidDel="00000000" w:rsidR="00000000" w:rsidRPr="00000000">
              <w:rPr>
                <w:rtl w:val="0"/>
              </w:rPr>
              <w:t xml:space="preserve">₹23.52 Cr</w:t>
            </w:r>
          </w:p>
        </w:tc>
        <w:tc>
          <w:tcPr/>
          <w:p w:rsidR="00000000" w:rsidDel="00000000" w:rsidP="00000000" w:rsidRDefault="00000000" w:rsidRPr="00000000" w14:paraId="0000003A">
            <w:pPr>
              <w:rPr/>
            </w:pPr>
            <w:r w:rsidDel="00000000" w:rsidR="00000000" w:rsidRPr="00000000">
              <w:rPr>
                <w:rtl w:val="0"/>
              </w:rPr>
              <w:t xml:space="preserve">₹77.60 Cr</w:t>
            </w:r>
          </w:p>
        </w:tc>
        <w:tc>
          <w:tcPr/>
          <w:p w:rsidR="00000000" w:rsidDel="00000000" w:rsidP="00000000" w:rsidRDefault="00000000" w:rsidRPr="00000000" w14:paraId="0000003B">
            <w:pPr>
              <w:rPr/>
            </w:pPr>
            <w:r w:rsidDel="00000000" w:rsidR="00000000" w:rsidRPr="00000000">
              <w:rPr>
                <w:rtl w:val="0"/>
              </w:rPr>
              <w:t xml:space="preserve">76.7%</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Jan–Jul 2026</w:t>
            </w:r>
          </w:p>
        </w:tc>
        <w:tc>
          <w:tcPr/>
          <w:p w:rsidR="00000000" w:rsidDel="00000000" w:rsidP="00000000" w:rsidRDefault="00000000" w:rsidRPr="00000000" w14:paraId="0000003D">
            <w:pPr>
              <w:rPr/>
            </w:pPr>
            <w:r w:rsidDel="00000000" w:rsidR="00000000" w:rsidRPr="00000000">
              <w:rPr>
                <w:rtl w:val="0"/>
              </w:rPr>
              <w:t xml:space="preserve">₹119.32 Cr</w:t>
            </w:r>
          </w:p>
        </w:tc>
        <w:tc>
          <w:tcPr/>
          <w:p w:rsidR="00000000" w:rsidDel="00000000" w:rsidP="00000000" w:rsidRDefault="00000000" w:rsidRPr="00000000" w14:paraId="0000003E">
            <w:pPr>
              <w:rPr/>
            </w:pPr>
            <w:r w:rsidDel="00000000" w:rsidR="00000000" w:rsidRPr="00000000">
              <w:rPr>
                <w:rtl w:val="0"/>
              </w:rPr>
              <w:t xml:space="preserve">₹27.77 Cr</w:t>
            </w:r>
          </w:p>
        </w:tc>
        <w:tc>
          <w:tcPr/>
          <w:p w:rsidR="00000000" w:rsidDel="00000000" w:rsidP="00000000" w:rsidRDefault="00000000" w:rsidRPr="00000000" w14:paraId="0000003F">
            <w:pPr>
              <w:rPr/>
            </w:pPr>
            <w:r w:rsidDel="00000000" w:rsidR="00000000" w:rsidRPr="00000000">
              <w:rPr>
                <w:rtl w:val="0"/>
              </w:rPr>
              <w:t xml:space="preserve">₹91.54 Cr</w:t>
            </w:r>
          </w:p>
        </w:tc>
        <w:tc>
          <w:tcPr/>
          <w:p w:rsidR="00000000" w:rsidDel="00000000" w:rsidP="00000000" w:rsidRDefault="00000000" w:rsidRPr="00000000" w14:paraId="00000040">
            <w:pPr>
              <w:rPr/>
            </w:pPr>
            <w:r w:rsidDel="00000000" w:rsidR="00000000" w:rsidRPr="00000000">
              <w:rPr>
                <w:rtl w:val="0"/>
              </w:rPr>
              <w:t xml:space="preserve">76.7%</w:t>
            </w:r>
          </w:p>
        </w:tc>
      </w:tr>
    </w:tbl>
    <w:p w:rsidR="00000000" w:rsidDel="00000000" w:rsidP="00000000" w:rsidRDefault="00000000" w:rsidRPr="00000000" w14:paraId="00000041">
      <w:pPr>
        <w:pStyle w:val="Heading1"/>
        <w:rPr/>
      </w:pPr>
      <w:r w:rsidDel="00000000" w:rsidR="00000000" w:rsidRPr="00000000">
        <w:rPr>
          <w:rtl w:val="0"/>
        </w:rPr>
        <w:t xml:space="preserve">4. 2026 Revenue Outlook</w:t>
      </w:r>
    </w:p>
    <w:p w:rsidR="00000000" w:rsidDel="00000000" w:rsidP="00000000" w:rsidRDefault="00000000" w:rsidRPr="00000000" w14:paraId="00000042">
      <w:pPr>
        <w:rPr/>
      </w:pPr>
      <w:r w:rsidDel="00000000" w:rsidR="00000000" w:rsidRPr="00000000">
        <w:rPr>
          <w:rtl w:val="0"/>
        </w:rPr>
        <w:t xml:space="preserve">January–July 2026 revenue is growing 18.0% versus the same period in 2025. If that same growth rate broadly continues and the August–December seasonal pattern is similar to 2025, estimated full-year 2026 revenue is approximately ₹235.30 Cr. This would imply about 18.0% growth over full-year 2025.</w:t>
      </w:r>
    </w:p>
    <w:p w:rsidR="00000000" w:rsidDel="00000000" w:rsidP="00000000" w:rsidRDefault="00000000" w:rsidRPr="00000000" w14:paraId="00000043">
      <w:pPr>
        <w:rPr/>
      </w:pPr>
      <w:r w:rsidDel="00000000" w:rsidR="00000000" w:rsidRPr="00000000">
        <w:rPr>
          <w:rtl w:val="0"/>
        </w:rPr>
        <w:t xml:space="preserve">Under the same simple scenario, full-year expenses are estimated at about ₹54.71 Cr, net profit at about ₹180.60 Cr, and profit margin at approximately 76.8%.</w:t>
      </w:r>
    </w:p>
    <w:p w:rsidR="00000000" w:rsidDel="00000000" w:rsidP="00000000" w:rsidRDefault="00000000" w:rsidRPr="00000000" w14:paraId="00000044">
      <w:pPr>
        <w:rPr/>
      </w:pPr>
      <w:r w:rsidDel="00000000" w:rsidR="00000000" w:rsidRPr="00000000">
        <w:rPr>
          <w:rtl w:val="0"/>
        </w:rPr>
        <w:t xml:space="preserve">This is a planning estimate, not a guaranteed forecast. It extrapolates the observed 2026 YTD growth using the prior year's remaining-month pattern; it does not model economic shocks, pricing changes, customer churn, capacity constraints or one-off costs.</w:t>
      </w:r>
    </w:p>
    <w:p w:rsidR="00000000" w:rsidDel="00000000" w:rsidP="00000000" w:rsidRDefault="00000000" w:rsidRPr="00000000" w14:paraId="00000045">
      <w:pPr>
        <w:pStyle w:val="Heading1"/>
        <w:rPr/>
      </w:pPr>
      <w:r w:rsidDel="00000000" w:rsidR="00000000" w:rsidRPr="00000000">
        <w:rPr>
          <w:rtl w:val="0"/>
        </w:rPr>
        <w:t xml:space="preserve">5. Key Business Insights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Revenue momentum is positive: 2024 grew 25.8% and 2025 grew 25.0%; 2026 YTD remains positive at 18.0% on a comparable basis.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Profitability is stable: overall annual profit margin remains around 76.8%, meaning revenue growth has not been accompanied by a material deterioration in the generated dataset's expense ratio.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West is the largest region by revenue at ₹166.76 Cr, followed by South at ₹150.42 Cr. These markets are the strongest contributors over the complete dataset period.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 is the largest department by revenue at ₹188.49 Cr and contributes ₹148.96 Cr in net profit across the period.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Salaries are the largest expense category at ₹56.40 Cr, followed by Marketing at ₹20.94 Cr. These categories deserve the highest priority in cost reviews because they have the greatest absolute impact.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Enterprise is the largest revenue channel at ₹254.70 Cr, making it strategically important for retention, pipeline management and concentration-risk monitoring.</w:t>
      </w:r>
    </w:p>
    <w:p w:rsidR="00000000" w:rsidDel="00000000" w:rsidP="00000000" w:rsidRDefault="00000000" w:rsidRPr="00000000" w14:paraId="0000004C">
      <w:pPr>
        <w:pStyle w:val="Heading1"/>
        <w:rPr/>
      </w:pPr>
      <w:r w:rsidDel="00000000" w:rsidR="00000000" w:rsidRPr="00000000">
        <w:rPr>
          <w:rtl w:val="0"/>
        </w:rPr>
        <w:t xml:space="preserve">6. Recommendations</w:t>
      </w:r>
    </w:p>
    <w:p w:rsidR="00000000" w:rsidDel="00000000" w:rsidP="00000000" w:rsidRDefault="00000000" w:rsidRPr="00000000" w14:paraId="0000004D">
      <w:pPr>
        <w:rPr/>
      </w:pPr>
      <w:r w:rsidDel="00000000" w:rsidR="00000000" w:rsidRPr="00000000">
        <w:rPr>
          <w:b w:val="1"/>
          <w:bCs w:val="1"/>
          <w:rtl w:val="0"/>
        </w:rPr>
        <w:t xml:space="preserve">Use comparable-period KPIs: </w:t>
      </w:r>
      <w:r w:rsidDel="00000000" w:rsidR="00000000" w:rsidRPr="00000000">
        <w:rPr>
          <w:rtl w:val="0"/>
        </w:rPr>
        <w:t xml:space="preserve">Replace the misleading 2026 vs full-2025 comparison with Jan–Jul 2026 vs Jan–Jul 2025. Clearly label incomplete years as YTD.</w:t>
      </w:r>
    </w:p>
    <w:p w:rsidR="00000000" w:rsidDel="00000000" w:rsidP="00000000" w:rsidRDefault="00000000" w:rsidRPr="00000000" w14:paraId="0000004E">
      <w:pPr>
        <w:rPr/>
      </w:pPr>
      <w:r w:rsidDel="00000000" w:rsidR="00000000" w:rsidRPr="00000000">
        <w:rPr>
          <w:b w:val="1"/>
          <w:bCs w:val="1"/>
          <w:rtl w:val="0"/>
        </w:rPr>
        <w:t xml:space="preserve">Protect high-performing regions: </w:t>
      </w:r>
      <w:r w:rsidDel="00000000" w:rsidR="00000000" w:rsidRPr="00000000">
        <w:rPr>
          <w:rtl w:val="0"/>
        </w:rPr>
        <w:t xml:space="preserve">Review the customer, channel and department mix behind West and South performance. Replicate practices that are operationally transferable to weaker regions.</w:t>
      </w:r>
    </w:p>
    <w:p w:rsidR="00000000" w:rsidDel="00000000" w:rsidP="00000000" w:rsidRDefault="00000000" w:rsidRPr="00000000" w14:paraId="0000004F">
      <w:pPr>
        <w:rPr/>
      </w:pPr>
      <w:r w:rsidDel="00000000" w:rsidR="00000000" w:rsidRPr="00000000">
        <w:rPr>
          <w:b w:val="1"/>
          <w:bCs w:val="1"/>
          <w:rtl w:val="0"/>
        </w:rPr>
        <w:t xml:space="preserve">Control major expense drivers: </w:t>
      </w:r>
      <w:r w:rsidDel="00000000" w:rsidR="00000000" w:rsidRPr="00000000">
        <w:rPr>
          <w:rtl w:val="0"/>
        </w:rPr>
        <w:t xml:space="preserve">Prioritize Salaries, Marketing, Logistics, Software and Rent in monthly cost reviews. Focus on efficiency and return rather than indiscriminate cuts.</w:t>
      </w:r>
    </w:p>
    <w:p w:rsidR="00000000" w:rsidDel="00000000" w:rsidP="00000000" w:rsidRDefault="00000000" w:rsidRPr="00000000" w14:paraId="00000050">
      <w:pPr>
        <w:rPr/>
      </w:pPr>
      <w:r w:rsidDel="00000000" w:rsidR="00000000" w:rsidRPr="00000000">
        <w:rPr>
          <w:b w:val="1"/>
          <w:bCs w:val="1"/>
          <w:rtl w:val="0"/>
        </w:rPr>
        <w:t xml:space="preserve">Strengthen enterprise revenue: </w:t>
      </w:r>
      <w:r w:rsidDel="00000000" w:rsidR="00000000" w:rsidRPr="00000000">
        <w:rPr>
          <w:rtl w:val="0"/>
        </w:rPr>
        <w:t xml:space="preserve">Track enterprise pipeline, retention and account concentration. Growth from the largest channel is valuable, but excessive dependence on a small number of accounts should be monitored.</w:t>
      </w:r>
    </w:p>
    <w:p w:rsidR="00000000" w:rsidDel="00000000" w:rsidP="00000000" w:rsidRDefault="00000000" w:rsidRPr="00000000" w14:paraId="00000051">
      <w:pPr>
        <w:rPr/>
      </w:pPr>
      <w:r w:rsidDel="00000000" w:rsidR="00000000" w:rsidRPr="00000000">
        <w:rPr>
          <w:b w:val="1"/>
          <w:bCs w:val="1"/>
          <w:rtl w:val="0"/>
        </w:rPr>
        <w:t xml:space="preserve">Manage growth and margin together: </w:t>
      </w:r>
      <w:r w:rsidDel="00000000" w:rsidR="00000000" w:rsidRPr="00000000">
        <w:rPr>
          <w:rtl w:val="0"/>
        </w:rPr>
        <w:t xml:space="preserve">Do not judge success only by revenue. Review Revenue Growth %, Expense Growth %, Net Profit Growth % and Profit Margin together.</w:t>
      </w:r>
    </w:p>
    <w:p w:rsidR="00000000" w:rsidDel="00000000" w:rsidP="00000000" w:rsidRDefault="00000000" w:rsidRPr="00000000" w14:paraId="00000052">
      <w:pPr>
        <w:rPr/>
      </w:pPr>
      <w:r w:rsidDel="00000000" w:rsidR="00000000" w:rsidRPr="00000000">
        <w:rPr>
          <w:b w:val="1"/>
          <w:bCs w:val="1"/>
          <w:rtl w:val="0"/>
        </w:rPr>
        <w:t xml:space="preserve">Introduce budget variance reviews: </w:t>
      </w:r>
      <w:r w:rsidDel="00000000" w:rsidR="00000000" w:rsidRPr="00000000">
        <w:rPr>
          <w:rtl w:val="0"/>
        </w:rPr>
        <w:t xml:space="preserve">Use the Monthly_Budget sheet to compare actual revenue and expenses against budget by department and region, then investigate material unfavorable variances.</w:t>
      </w:r>
    </w:p>
    <w:p w:rsidR="00000000" w:rsidDel="00000000" w:rsidP="00000000" w:rsidRDefault="00000000" w:rsidRPr="00000000" w14:paraId="00000053">
      <w:pPr>
        <w:pStyle w:val="Heading1"/>
        <w:rPr/>
      </w:pPr>
      <w:r w:rsidDel="00000000" w:rsidR="00000000" w:rsidRPr="00000000">
        <w:rPr>
          <w:rtl w:val="0"/>
        </w:rPr>
        <w:t xml:space="preserve">7. Implementation Plan</w:t>
      </w:r>
    </w:p>
    <w:tbl>
      <w:tblPr>
        <w:tblStyle w:val="Table3"/>
        <w:tblW w:w="10224.0" w:type="dxa"/>
        <w:jc w:val="left"/>
        <w:tblInd w:w="-108.0" w:type="dxa"/>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54">
            <w:pPr>
              <w:rPr/>
            </w:pPr>
            <w:r w:rsidDel="00000000" w:rsidR="00000000" w:rsidRPr="00000000">
              <w:rPr>
                <w:rtl w:val="0"/>
              </w:rPr>
              <w:t xml:space="preserve">Stage</w:t>
            </w:r>
          </w:p>
        </w:tc>
        <w:tc>
          <w:tcPr/>
          <w:p w:rsidR="00000000" w:rsidDel="00000000" w:rsidP="00000000" w:rsidRDefault="00000000" w:rsidRPr="00000000" w14:paraId="00000055">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Immediate — Dashboard correction</w:t>
            </w:r>
          </w:p>
        </w:tc>
        <w:tc>
          <w:tcPr/>
          <w:p w:rsidR="00000000" w:rsidDel="00000000" w:rsidP="00000000" w:rsidRDefault="00000000" w:rsidRPr="00000000" w14:paraId="00000057">
            <w:pPr>
              <w:rPr/>
            </w:pPr>
            <w:r w:rsidDel="00000000" w:rsidR="00000000" w:rsidRPr="00000000">
              <w:rPr>
                <w:rtl w:val="0"/>
              </w:rPr>
              <w:t xml:space="preserve">Change 2026 KPI comparisons to YTD vs prior-year YTD; add clear period labels; validate slicer connections and KPI formulas.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Monthly — Performance review</w:t>
            </w:r>
          </w:p>
        </w:tc>
        <w:tc>
          <w:tcPr/>
          <w:p w:rsidR="00000000" w:rsidDel="00000000" w:rsidP="00000000" w:rsidRDefault="00000000" w:rsidRPr="00000000" w14:paraId="00000059">
            <w:pPr>
              <w:rPr/>
            </w:pPr>
            <w:r w:rsidDel="00000000" w:rsidR="00000000" w:rsidRPr="00000000">
              <w:rPr>
                <w:rtl w:val="0"/>
              </w:rPr>
              <w:t xml:space="preserve">Review revenue, expenses, profit, margin, top expense categories, region performance and budget variance after each month closes.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Quarterly — Management action</w:t>
            </w:r>
          </w:p>
        </w:tc>
        <w:tc>
          <w:tcPr/>
          <w:p w:rsidR="00000000" w:rsidDel="00000000" w:rsidP="00000000" w:rsidRDefault="00000000" w:rsidRPr="00000000" w14:paraId="0000005B">
            <w:pPr>
              <w:rPr/>
            </w:pPr>
            <w:r w:rsidDel="00000000" w:rsidR="00000000" w:rsidRPr="00000000">
              <w:rPr>
                <w:rtl w:val="0"/>
              </w:rPr>
              <w:t xml:space="preserve">Identify underperforming regions/departments, assign owners, set measurable targets and review whether actions improved the next quarter.</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Year-end — Planning</w:t>
            </w:r>
          </w:p>
        </w:tc>
        <w:tc>
          <w:tcPr/>
          <w:p w:rsidR="00000000" w:rsidDel="00000000" w:rsidP="00000000" w:rsidRDefault="00000000" w:rsidRPr="00000000" w14:paraId="0000005D">
            <w:pPr>
              <w:rPr/>
            </w:pPr>
            <w:r w:rsidDel="00000000" w:rsidR="00000000" w:rsidRPr="00000000">
              <w:rPr>
                <w:rtl w:val="0"/>
              </w:rPr>
              <w:t xml:space="preserve">Compare actual 2026 results with the forecast, document forecast error and use the findings to improve 2027 budgeting and targets.</w:t>
            </w:r>
          </w:p>
        </w:tc>
      </w:tr>
    </w:tbl>
    <w:p w:rsidR="00000000" w:rsidDel="00000000" w:rsidP="00000000" w:rsidRDefault="00000000" w:rsidRPr="00000000" w14:paraId="0000005E">
      <w:pPr>
        <w:pStyle w:val="Heading1"/>
        <w:rPr/>
      </w:pPr>
      <w:r w:rsidDel="00000000" w:rsidR="00000000" w:rsidRPr="00000000">
        <w:rPr>
          <w:rtl w:val="0"/>
        </w:rPr>
        <w:t xml:space="preserve">8. Dashboard KPI Framework</w:t>
      </w:r>
    </w:p>
    <w:p w:rsidR="00000000" w:rsidDel="00000000" w:rsidP="00000000" w:rsidRDefault="00000000" w:rsidRPr="00000000" w14:paraId="0000005F">
      <w:pPr>
        <w:rPr/>
      </w:pPr>
      <w:r w:rsidDel="00000000" w:rsidR="00000000" w:rsidRPr="00000000">
        <w:rPr>
          <w:rtl w:val="0"/>
        </w:rPr>
        <w:t xml:space="preserve">Recommended management cards: Total Revenue, Total Expenses, Net Profit and Profit Margin %. For completed years, show YoY against the previous full year. For an incomplete year such as 2026, show YTD YoY against the identical date range in 2025. Green/red indicators should reflect favorable/unfavorable movement, but expense growth requires context: lower expense growth is not automatically good if it results from lower business activity.</w:t>
      </w:r>
    </w:p>
    <w:p w:rsidR="00000000" w:rsidDel="00000000" w:rsidP="00000000" w:rsidRDefault="00000000" w:rsidRPr="00000000" w14:paraId="00000060">
      <w:pPr>
        <w:pStyle w:val="Heading1"/>
        <w:rPr/>
      </w:pPr>
      <w:r w:rsidDel="00000000" w:rsidR="00000000" w:rsidRPr="00000000">
        <w:rPr>
          <w:rtl w:val="0"/>
        </w:rPr>
        <w:t xml:space="preserve">9. Management Conclusion</w:t>
      </w:r>
    </w:p>
    <w:p w:rsidR="00000000" w:rsidDel="00000000" w:rsidP="00000000" w:rsidRDefault="00000000" w:rsidRPr="00000000" w14:paraId="00000061">
      <w:pPr>
        <w:rPr/>
      </w:pPr>
      <w:r w:rsidDel="00000000" w:rsidR="00000000" w:rsidRPr="00000000">
        <w:rPr>
          <w:rtl w:val="0"/>
        </w:rPr>
        <w:t xml:space="preserve">The dataset indicates a growing business with stable profitability. The key reporting issue is the incomplete 2026 period: the raw annual comparison produces a false negative impression. Comparable-period analysis shows 2026 revenue is currently 18.0% above Jan–Jul 2025. A simple continuation scenario points to approximately ₹235.30 Cr of full-year 2026 revenue, or about 18.0% growth over 2025. Management should therefore focus on sustaining growth, controlling the largest expense categories, protecting strong regional/channel performance and using consistent YTD comparisons until the year is complete.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xjtLt9VooKoUcJ4kH2iaR2Cw==">CgMxLjA4AHIhMWpDaUZkbXJ5a1hjbjd6bnBKblJiUFlseFFBZVFUVV9k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