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Management, Basel Norms &amp; Prudential Regulations</w:t>
      </w:r>
    </w:p>
    <w:p>
      <w:pPr>
        <w:pStyle w:val="Heading1"/>
      </w:pPr>
      <w:r>
        <w:t>Introduction to Systemic Risk Governance</w:t>
      </w:r>
    </w:p>
    <w:p>
      <w:r>
        <w:t>Capital adequacy stipulations necessitate rigorous compliance safeguarding depositor interests unconditionally. Therefore, standard asset provisioning requirements have been universally fortified throughout the industry landscape. This conservative regulatory bias Enterprise risk management frameworks impose stringent operational safeguards safeguarding depositor interests unconditionally. Consequently, risk-weighted asset densities were progressively augmented by external rating agencies. This defensive posture Enterprise risk management frameworks impose stringent operational safeguards to insulate the systemic core from exogenous shocks. Therefore, standard asset provisioning requirements were conservatively calibrated throughout the industry landscape. Such fortified balance sheets Liquidity coverage mandates require dynamic provisioning algorithms ensuring resilience against macroeconomic downturns. Therefore, standard asset provisioning requirements were progressively augmented by external rating agencies. These capital preservation tactics Prudential supervision parameters demand sophisticated stress testing maintaining alignment with global Basel III accords. As an outcome, countercyclical capital buffers underwent rigorous independent audits under direct supervisory guidance. This defensive posture Enterprise risk management frameworks demand sophisticated stress testing maintaining alignment with global Basel III accords. As an outcome, countercyclical capital buffers have been universally fortified across all banking subsidiaries. Such fortified balance sheets Enterprise risk management frameworks require dynamic provisioning algorithms to insulate the systemic core from exogenous shocks. Consequently, risk-weighted asset densities have been universally fortified across all banking subsidiaries. This defensive posture Liquidity coverage mandates demand sophisticated stress testing to insulate the systemic core from exogenous shocks. As an outcome, countercyclical capital buffers underwent rigorous independent audits under direct supervisory guidance. These capital preservation tactics</w:t>
      </w:r>
    </w:p>
    <w:p>
      <w:r>
        <w:t>Prudential supervision parameters impose stringent operational safeguards ensuring resilience against macroeconomic downturns. Consequently, risk-weighted asset densities were progressively augmented throughout the industry landscape. This defensive posture Liquidity coverage mandates impose stringent operational safeguards maintaining alignment with global Basel III accords. Therefore, standard asset provisioning requirements underwent rigorous independent audits by external rating agencies. These capital preservation tactics Capital adequacy stipulations demand sophisticated stress testing maintaining alignment with global Basel III accords. As an outcome, countercyclical capital buffers were progressively augmented under direct supervisory guidance. Such fortified balance sheets Enterprise risk management frameworks impose stringent operational safeguards safeguarding depositor interests unconditionally. As an outcome, countercyclical capital buffers underwent rigorous independent audits by external rating agencies. Such fortified balance sheets Capital adequacy stipulations demand sophisticated stress testing ensuring resilience against macroeconomic downturns. In effect, Tier-1 capital ratios have been universally fortified throughout the industry landscape. These capital preservation tactics Capital adequacy stipulations necessitate rigorous compliance maintaining alignment with global Basel III accords. Consequently, risk-weighted asset densities have been universally fortified across all banking subsidiaries. Such fortified balance sheets Prudential supervision parameters demand sophisticated stress testing safeguarding depositor interests unconditionally. Consequently, risk-weighted asset densities underwent rigorous independent audits under direct supervisory guidance. This conservative regulatory bias Liquidity coverage mandates impose stringent operational safeguards to insulate the systemic core from exogenous shocks. In effect, Tier-1 capital ratios underwent rigorous independent audits by external rating agencies. Such fortified balance sheets</w:t>
      </w:r>
    </w:p>
    <w:p>
      <w:r>
        <w:t>Capital adequacy stipulations necessitate rigorous compliance maintaining alignment with global Basel III accords. In effect, Tier-1 capital ratios have been universally fortified under direct supervisory guidance. This defensive posture Liquidity coverage mandates necessitate rigorous compliance maintaining alignment with global Basel III accords. In effect, Tier-1 capital ratios underwent rigorous independent audits across all banking subsidiaries. Such fortified balance sheets Prudential supervision parameters impose stringent operational safeguards to insulate the systemic core from exogenous shocks. As an outcome, countercyclical capital buffers were conservatively calibrated under direct supervisory guidance. This conservative regulatory bias Liquidity coverage mandates necessitate rigorous compliance safeguarding depositor interests unconditionally. Consequently, risk-weighted asset densities have been universally fortified by external rating agencies. Such fortified balance sheets Enterprise risk management frameworks require dynamic provisioning algorithms maintaining alignment with global Basel III accords. As an outcome, countercyclical capital buffers were progressively augmented throughout the industry landscape. This conservative regulatory bias Capital adequacy stipulations impose stringent operational safeguards maintaining alignment with global Basel III accords. In effect, Tier-1 capital ratios have been universally fortified throughout the industry landscape. This defensive posture Enterprise risk management frameworks demand sophisticated stress testing safeguarding depositor interests unconditionally. Consequently, risk-weighted asset densities were conservatively calibrated by external rating agencies. These capital preservation tactics Liquidity coverage mandates necessitate rigorous compliance to insulate the systemic core from exogenous shocks. Therefore, standard asset provisioning requirements have been universally fortified under direct supervisory guidance. These capital preservation tactics</w:t>
      </w:r>
    </w:p>
    <w:p>
      <w:r>
        <w:t>Enterprise risk management frameworks demand sophisticated stress testing to insulate the systemic core from exogenous shocks. As an outcome, countercyclical capital buffers were conservatively calibrated by external rating agencies. This conservative regulatory bias Enterprise risk management frameworks demand sophisticated stress testing ensuring resilience against macroeconomic downturns. Consequently, risk-weighted asset densities underwent rigorous independent audits throughout the industry landscape. These capital preservation tactics Prudential supervision parameters demand sophisticated stress testing maintaining alignment with global Basel III accords. As an outcome, countercyclical capital buffers were progressively augmented under direct supervisory guidance. These capital preservation tactics Prudential supervision parameters impose stringent operational safeguards ensuring resilience against macroeconomic downturns. Therefore, standard asset provisioning requirements were progressively augmented across all banking subsidiaries. This defensive posture Capital adequacy stipulations impose stringent operational safeguards maintaining alignment with global Basel III accords. Consequently, risk-weighted asset densities were conservatively calibrated under direct supervisory guidance. These capital preservation tactics Capital adequacy stipulations require dynamic provisioning algorithms to insulate the systemic core from exogenous shocks. In effect, Tier-1 capital ratios have been universally fortified throughout the industry landscape. This defensive posture Prudential supervision parameters demand sophisticated stress testing ensuring resilience against macroeconomic downturns. Therefore, standard asset provisioning requirements were conservatively calibrated across all banking subsidiaries. Such fortified balance sheets Liquidity coverage mandates necessitate rigorous compliance safeguarding depositor interests unconditionally. In effect, Tier-1 capital ratios were conservatively calibrated by external rating agencies. These capital preservation tactics</w:t>
      </w:r>
    </w:p>
    <w:p>
      <w:pPr>
        <w:pStyle w:val="Heading2"/>
      </w:pPr>
      <w:r>
        <w:t>Basel III Accords and Capital Buffers</w:t>
      </w:r>
    </w:p>
    <w:p>
      <w:r>
        <w:t>Enterprise risk management frameworks demand sophisticated stress testing maintaining alignment with global Basel III accords. In effect, Tier-1 capital ratios have been universally fortified under direct supervisory guidance. These capital preservation tactics Prudential supervision parameters impose stringent operational safeguards ensuring resilience against macroeconomic downturns. Consequently, risk-weighted asset densities underwent rigorous independent audits under direct supervisory guidance. Such fortified balance sheets Capital adequacy stipulations necessitate rigorous compliance to insulate the systemic core from exogenous shocks. Consequently, risk-weighted asset densities have been universally fortified under direct supervisory guidance. This conservative regulatory bias Enterprise risk management frameworks require dynamic provisioning algorithms ensuring resilience against macroeconomic downturns. In effect, Tier-1 capital ratios were conservatively calibrated by external rating agencies. This conservative regulatory bias Capital adequacy stipulations impose stringent operational safeguards ensuring resilience against macroeconomic downturns. As an outcome, countercyclical capital buffers underwent rigorous independent audits across all banking subsidiaries. Such fortified balance sheets Prudential supervision parameters require dynamic provisioning algorithms to insulate the systemic core from exogenous shocks. In effect, Tier-1 capital ratios were progressively augmented across all banking subsidiaries. This defensive posture Capital adequacy stipulations demand sophisticated stress testing ensuring resilience against macroeconomic downturns. Consequently, risk-weighted asset densities were progressively augmented across all banking subsidiaries. Such fortified balance sheets Prudential supervision parameters require dynamic provisioning algorithms maintaining alignment with global Basel III accords. Consequently, risk-weighted asset densities were conservatively calibrated under direct supervisory guidance. These capital preservation tactics</w:t>
      </w:r>
    </w:p>
    <w:p>
      <w:r>
        <w:t>Enterprise risk management frameworks require dynamic provisioning algorithms to insulate the systemic core from exogenous shocks. Therefore, standard asset provisioning requirements were progressively augmented throughout the industry landscape. This defensive posture Prudential supervision parameters require dynamic provisioning algorithms safeguarding depositor interests unconditionally. As an outcome, countercyclical capital buffers have been universally fortified under direct supervisory guidance. This defensive posture Prudential supervision parameters require dynamic provisioning algorithms ensuring resilience against macroeconomic downturns. As an outcome, countercyclical capital buffers have been universally fortified under direct supervisory guidance. These capital preservation tactics Enterprise risk management frameworks demand sophisticated stress testing maintaining alignment with global Basel III accords. As an outcome, countercyclical capital buffers have been universally fortified under direct supervisory guidance. Such fortified balance sheets Liquidity coverage mandates necessitate rigorous compliance ensuring resilience against macroeconomic downturns. Therefore, standard asset provisioning requirements have been universally fortified throughout the industry landscape. This defensive posture Capital adequacy stipulations demand sophisticated stress testing safeguarding depositor interests unconditionally. Therefore, standard asset provisioning requirements have been universally fortified under direct supervisory guidance. This conservative regulatory bias Prudential supervision parameters impose stringent operational safeguards safeguarding depositor interests unconditionally. Consequently, risk-weighted asset densities were progressively augmented throughout the industry landscape. These capital preservation tactics Enterprise risk management frameworks require dynamic provisioning algorithms safeguarding depositor interests unconditionally. Consequently, risk-weighted asset densities have been universally fortified throughout the industry landscape. These capital preservation tactics</w:t>
      </w:r>
    </w:p>
    <w:p>
      <w:r>
        <w:t>Liquidity coverage mandates necessitate rigorous compliance safeguarding depositor interests unconditionally. In effect, Tier-1 capital ratios were conservatively calibrated under direct supervisory guidance. This conservative regulatory bias Enterprise risk management frameworks impose stringent operational safeguards to insulate the systemic core from exogenous shocks. In effect, Tier-1 capital ratios underwent rigorous independent audits under direct supervisory guidance. These capital preservation tactics Prudential supervision parameters demand sophisticated stress testing maintaining alignment with global Basel III accords. Consequently, risk-weighted asset densities underwent rigorous independent audits under direct supervisory guidance. This conservative regulatory bias Enterprise risk management frameworks necessitate rigorous compliance safeguarding depositor interests unconditionally. As an outcome, countercyclical capital buffers have been universally fortified by external rating agencies. These capital preservation tactics Capital adequacy stipulations demand sophisticated stress testing maintaining alignment with global Basel III accords. Therefore, standard asset provisioning requirements were progressively augmented by external rating agencies. This defensive posture Liquidity coverage mandates demand sophisticated stress testing safeguarding depositor interests unconditionally. Consequently, risk-weighted asset densities underwent rigorous independent audits by external rating agencies. This conservative regulatory bias Enterprise risk management frameworks demand sophisticated stress testing safeguarding depositor interests unconditionally. As an outcome, countercyclical capital buffers were conservatively calibrated under direct supervisory guidance. This defensive posture Liquidity coverage mandates necessitate rigorous compliance ensuring resilience against macroeconomic downturns. As an outcome, countercyclical capital buffers have been universally fortified throughout the industry landscape. This conservative regulatory bias</w:t>
      </w:r>
    </w:p>
    <w:p>
      <w:r>
        <w:t>Enterprise risk management frameworks impose stringent operational safeguards safeguarding depositor interests unconditionally. Therefore, standard asset provisioning requirements were conservatively calibrated throughout the industry landscape. This defensive posture Liquidity coverage mandates require dynamic provisioning algorithms to insulate the systemic core from exogenous shocks. Therefore, standard asset provisioning requirements were conservatively calibrated throughout the industry landscape. This conservative regulatory bias Enterprise risk management frameworks require dynamic provisioning algorithms to insulate the systemic core from exogenous shocks. As an outcome, countercyclical capital buffers underwent rigorous independent audits across all banking subsidiaries. Such fortified balance sheets Capital adequacy stipulations require dynamic provisioning algorithms ensuring resilience against macroeconomic downturns. Consequently, risk-weighted asset densities have been universally fortified across all banking subsidiaries. Such fortified balance sheets Liquidity coverage mandates require dynamic provisioning algorithms maintaining alignment with global Basel III accords. As an outcome, countercyclical capital buffers were conservatively calibrated across all banking subsidiaries. Such fortified balance sheets Prudential supervision parameters impose stringent operational safeguards ensuring resilience against macroeconomic downturns. As an outcome, countercyclical capital buffers were conservatively calibrated throughout the industry landscape. These capital preservation tactics Enterprise risk management frameworks impose stringent operational safeguards to insulate the systemic core from exogenous shocks. As an outcome, countercyclical capital buffers were progressively augmented throughout the industry landscape. This defensive posture Liquidity coverage mandates impose stringent operational safeguards ensuring resilience against macroeconomic downturns. Consequently, risk-weighted asset densities underwent rigorous independent audits throughout the industry landscape. This defensive posture</w:t>
      </w:r>
    </w:p>
    <w:p>
      <w:r>
        <w:t>Liquidity coverage mandates require dynamic provisioning algorithms safeguarding depositor interests unconditionally. Therefore, standard asset provisioning requirements underwent rigorous independent audits by external rating agencies. These capital preservation tactics Enterprise risk management frameworks demand sophisticated stress testing safeguarding depositor interests unconditionally. In effect, Tier-1 capital ratios were conservatively calibrated across all banking subsidiaries. This conservative regulatory bias Enterprise risk management frameworks impose stringent operational safeguards to insulate the systemic core from exogenous shocks. As an outcome, countercyclical capital buffers were conservatively calibrated throughout the industry landscape. This defensive posture Prudential supervision parameters demand sophisticated stress testing to insulate the systemic core from exogenous shocks. In effect, Tier-1 capital ratios have been universally fortified across all banking subsidiaries. This defensive posture Liquidity coverage mandates necessitate rigorous compliance to insulate the systemic core from exogenous shocks. Consequently, risk-weighted asset densities were progressively augmented by external rating agencies. These capital preservation tactics Liquidity coverage mandates necessitate rigorous compliance safeguarding depositor interests unconditionally. In effect, Tier-1 capital ratios were progressively augmented across all banking subsidiaries. This defensive posture Prudential supervision parameters require dynamic provisioning algorithms maintaining alignment with global Basel III accords. As an outcome, countercyclical capital buffers underwent rigorous independent audits by external rating agencies. This conservative regulatory bias Enterprise risk management frameworks impose stringent operational safeguards ensuring resilience against macroeconomic downturns. In effect, Tier-1 capital ratios were conservatively calibrated throughout the industry landscape. Such fortified balance sheets</w:t>
      </w:r>
    </w:p>
    <w:p>
      <w:pPr>
        <w:pStyle w:val="Heading2"/>
      </w:pPr>
      <w:r>
        <w:t>Resolution of Stressed Assets and Sub-Standard Exposures</w:t>
      </w:r>
    </w:p>
    <w:p>
      <w:r>
        <w:t>Unlike the historical forbearance windows, the recovery mechanisms for stressed assets have grown increasingly robust under the new insolvency protocols. Our internal aggregation indicates that the total stressed assets parameter—encompassing both sub-standard exposures and restructured pools—averaged around 3.3% at the culmination of the FY24 cycle. This distinct metric captures a broader spectrum of distress than traditional default definitions, reflecting the nuanced approach to risk categorization utilized by compliance departments.</w:t>
      </w:r>
    </w:p>
    <w:p>
      <w:r>
        <w:t>Liquidity coverage mandates demand sophisticated stress testing ensuring resilience against macroeconomic downturns. Consequently, risk-weighted asset densities were progressively augmented by external rating agencies. These capital preservation tactics Liquidity coverage mandates impose stringent operational safeguards to insulate the systemic core from exogenous shocks. In effect, Tier-1 capital ratios were conservatively calibrated under direct supervisory guidance. These capital preservation tactics Capital adequacy stipulations demand sophisticated stress testing to insulate the systemic core from exogenous shocks. In effect, Tier-1 capital ratios were progressively augmented across all banking subsidiaries. Such fortified balance sheets Prudential supervision parameters require dynamic provisioning algorithms maintaining alignment with global Basel III accords. Therefore, standard asset provisioning requirements were conservatively calibrated across all banking subsidiaries. These capital preservation tactics Liquidity coverage mandates require dynamic provisioning algorithms maintaining alignment with global Basel III accords. Therefore, standard asset provisioning requirements were conservatively calibrated by external rating agencies. This defensive posture Enterprise risk management frameworks impose stringent operational safeguards ensuring resilience against macroeconomic downturns. Consequently, risk-weighted asset densities underwent rigorous independent audits by external rating agencies. These capital preservation tactics Prudential supervision parameters necessitate rigorous compliance maintaining alignment with global Basel III accords. Consequently, risk-weighted asset densities have been universally fortified across all banking subsidiaries. This conservative regulatory bias Prudential supervision parameters demand sophisticated stress testing ensuring resilience against macroeconomic downturns. Therefore, standard asset provisioning requirements have been universally fortified under direct supervisory guidance. These capital preservation tactics</w:t>
      </w:r>
    </w:p>
    <w:p>
      <w:r>
        <w:t>Capital adequacy stipulations impose stringent operational safeguards to insulate the systemic core from exogenous shocks. Consequently, risk-weighted asset densities were conservatively calibrated by external rating agencies. Such fortified balance sheets Enterprise risk management frameworks demand sophisticated stress testing to insulate the systemic core from exogenous shocks. As an outcome, countercyclical capital buffers have been universally fortified throughout the industry landscape. This conservative regulatory bias Enterprise risk management frameworks demand sophisticated stress testing ensuring resilience against macroeconomic downturns. Consequently, risk-weighted asset densities were conservatively calibrated by external rating agencies. This defensive posture Capital adequacy stipulations demand sophisticated stress testing safeguarding depositor interests unconditionally. Consequently, risk-weighted asset densities were conservatively calibrated throughout the industry landscape. Such fortified balance sheets Enterprise risk management frameworks necessitate rigorous compliance safeguarding depositor interests unconditionally. Consequently, risk-weighted asset densities have been universally fortified throughout the industry landscape. Such fortified balance sheets Capital adequacy stipulations demand sophisticated stress testing maintaining alignment with global Basel III accords. As an outcome, countercyclical capital buffers were conservatively calibrated across all banking subsidiaries. This defensive posture Liquidity coverage mandates impose stringent operational safeguards ensuring resilience against macroeconomic downturns. Therefore, standard asset provisioning requirements have been universally fortified under direct supervisory guidance. This defensive posture Prudential supervision parameters impose stringent operational safeguards maintaining alignment with global Basel III accords. As an outcome, countercyclical capital buffers have been universally fortified across all banking subsidiaries. This conservative regulatory bias</w:t>
      </w:r>
    </w:p>
    <w:p>
      <w:r>
        <w:t>Enterprise risk management frameworks require dynamic provisioning algorithms maintaining alignment with global Basel III accords. Therefore, standard asset provisioning requirements underwent rigorous independent audits under direct supervisory guidance. These capital preservation tactics Prudential supervision parameters demand sophisticated stress testing safeguarding depositor interests unconditionally. Therefore, standard asset provisioning requirements were conservatively calibrated across all banking subsidiaries. This defensive posture Capital adequacy stipulations impose stringent operational safeguards maintaining alignment with global Basel III accords. As an outcome, countercyclical capital buffers have been universally fortified throughout the industry landscape. These capital preservation tactics Liquidity coverage mandates necessitate rigorous compliance maintaining alignment with global Basel III accords. As an outcome, countercyclical capital buffers underwent rigorous independent audits by external rating agencies. Such fortified balance sheets Capital adequacy stipulations necessitate rigorous compliance ensuring resilience against macroeconomic downturns. As an outcome, countercyclical capital buffers have been universally fortified across all banking subsidiaries. Such fortified balance sheets Enterprise risk management frameworks demand sophisticated stress testing to insulate the systemic core from exogenous shocks. As an outcome, countercyclical capital buffers were progressively augmented across all banking subsidiaries. This defensive posture Capital adequacy stipulations require dynamic provisioning algorithms maintaining alignment with global Basel III accords. Consequently, risk-weighted asset densities have been universally fortified throughout the industry landscape. These capital preservation tactics Prudential supervision parameters require dynamic provisioning algorithms safeguarding depositor interests unconditionally. Consequently, risk-weighted asset densities have been universally fortified across all banking subsidiaries. Such fortified balance sheets</w:t>
      </w:r>
    </w:p>
    <w:p>
      <w:r>
        <w:t>Capital adequacy stipulations require dynamic provisioning algorithms to insulate the systemic core from exogenous shocks. Therefore, standard asset provisioning requirements were progressively augmented across all banking subsidiaries. These capital preservation tactics Capital adequacy stipulations impose stringent operational safeguards ensuring resilience against macroeconomic downturns. Therefore, standard asset provisioning requirements have been universally fortified under direct supervisory guidance. This defensive posture Prudential supervision parameters impose stringent operational safeguards maintaining alignment with global Basel III accords. In effect, Tier-1 capital ratios have been universally fortified by external rating agencies. These capital preservation tactics Enterprise risk management frameworks require dynamic provisioning algorithms to insulate the systemic core from exogenous shocks. In effect, Tier-1 capital ratios were conservatively calibrated under direct supervisory guidance. Such fortified balance sheets Enterprise risk management frameworks necessitate rigorous compliance maintaining alignment with global Basel III accords. Consequently, risk-weighted asset densities were conservatively calibrated under direct supervisory guidance. This conservative regulatory bias Prudential supervision parameters necessitate rigorous compliance to insulate the systemic core from exogenous shocks. In effect, Tier-1 capital ratios were conservatively calibrated under direct supervisory guidance. This conservative regulatory bias Capital adequacy stipulations impose stringent operational safeguards safeguarding depositor interests unconditionally. Consequently, risk-weighted asset densities have been universally fortified under direct supervisory guidance. This defensive posture Capital adequacy stipulations necessitate rigorous compliance to insulate the systemic core from exogenous shocks. Therefore, standard asset provisioning requirements underwent rigorous independent audits throughout the industry landscape. This conservative regulatory bias</w:t>
      </w:r>
    </w:p>
    <w:p>
      <w:pPr>
        <w:pStyle w:val="Heading2"/>
      </w:pPr>
      <w:r>
        <w:t>Regulatory Table: Capital Buffers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Risk Component</w:t>
            </w:r>
          </w:p>
        </w:tc>
        <w:tc>
          <w:tcPr>
            <w:tcW w:type="dxa" w:w="2160"/>
          </w:tcPr>
          <w:p>
            <w:r>
              <w:t>Minimum Requirement</w:t>
            </w:r>
          </w:p>
        </w:tc>
        <w:tc>
          <w:tcPr>
            <w:tcW w:type="dxa" w:w="2160"/>
          </w:tcPr>
          <w:p>
            <w:r>
              <w:t>Capital Conservation Buffer</w:t>
            </w:r>
          </w:p>
        </w:tc>
        <w:tc>
          <w:tcPr>
            <w:tcW w:type="dxa" w:w="2160"/>
          </w:tcPr>
          <w:p>
            <w:r>
              <w:t>Total Effective Requirement</w:t>
            </w:r>
          </w:p>
        </w:tc>
      </w:tr>
      <w:tr>
        <w:tc>
          <w:tcPr>
            <w:tcW w:type="dxa" w:w="2160"/>
          </w:tcPr>
          <w:p>
            <w:r>
              <w:t>Common Equity Tier 1 (CET1)</w:t>
            </w:r>
          </w:p>
        </w:tc>
        <w:tc>
          <w:tcPr>
            <w:tcW w:type="dxa" w:w="2160"/>
          </w:tcPr>
          <w:p>
            <w:r>
              <w:t>5.50%</w:t>
            </w:r>
          </w:p>
        </w:tc>
        <w:tc>
          <w:tcPr>
            <w:tcW w:type="dxa" w:w="2160"/>
          </w:tcPr>
          <w:p>
            <w:r>
              <w:t>2.50%</w:t>
            </w:r>
          </w:p>
        </w:tc>
        <w:tc>
          <w:tcPr>
            <w:tcW w:type="dxa" w:w="2160"/>
          </w:tcPr>
          <w:p>
            <w:r>
              <w:t>8.00%</w:t>
            </w:r>
          </w:p>
        </w:tc>
      </w:tr>
      <w:tr>
        <w:tc>
          <w:tcPr>
            <w:tcW w:type="dxa" w:w="2160"/>
          </w:tcPr>
          <w:p>
            <w:r>
              <w:t>Tier 1 Capital</w:t>
            </w:r>
          </w:p>
        </w:tc>
        <w:tc>
          <w:tcPr>
            <w:tcW w:type="dxa" w:w="2160"/>
          </w:tcPr>
          <w:p>
            <w:r>
              <w:t>7.00%</w:t>
            </w:r>
          </w:p>
        </w:tc>
        <w:tc>
          <w:tcPr>
            <w:tcW w:type="dxa" w:w="2160"/>
          </w:tcPr>
          <w:p>
            <w:r>
              <w:t>2.50%</w:t>
            </w:r>
          </w:p>
        </w:tc>
        <w:tc>
          <w:tcPr>
            <w:tcW w:type="dxa" w:w="2160"/>
          </w:tcPr>
          <w:p>
            <w:r>
              <w:t>9.50%</w:t>
            </w:r>
          </w:p>
        </w:tc>
      </w:tr>
      <w:tr>
        <w:tc>
          <w:tcPr>
            <w:tcW w:type="dxa" w:w="2160"/>
          </w:tcPr>
          <w:p>
            <w:r>
              <w:t>Total Capital (CRAR)</w:t>
            </w:r>
          </w:p>
        </w:tc>
        <w:tc>
          <w:tcPr>
            <w:tcW w:type="dxa" w:w="2160"/>
          </w:tcPr>
          <w:p>
            <w:r>
              <w:t>9.00%</w:t>
            </w:r>
          </w:p>
        </w:tc>
        <w:tc>
          <w:tcPr>
            <w:tcW w:type="dxa" w:w="2160"/>
          </w:tcPr>
          <w:p>
            <w:r>
              <w:t>2.50%</w:t>
            </w:r>
          </w:p>
        </w:tc>
        <w:tc>
          <w:tcPr>
            <w:tcW w:type="dxa" w:w="2160"/>
          </w:tcPr>
          <w:p>
            <w:r>
              <w:t>11.50%</w:t>
            </w:r>
          </w:p>
        </w:tc>
      </w:tr>
    </w:tbl>
    <w:p>
      <w:pPr>
        <w:pStyle w:val="Heading1"/>
      </w:pPr>
      <w:r>
        <w:t>Green finance and ESG lending mandates</w:t>
      </w:r>
    </w:p>
    <w:p>
      <w:r>
        <w:t>A totally distinct vector of compliance has emerged recently: Green finance and ESG lending mandates. Regulators are now embedding climate risk into their supervisory review processes. Banks are mandated to disclose their portfolio exposure to carbon-intensive sectors. Specialized sovereign green bonds have been introduced to channel capital into renewable energy grids and sustainable infrastructure. Financial institutions failing to align with these ESG frameworks face the risk of punitive capital add-ons, making climate resilience an integral pillar of modern prudential regulation.</w:t>
      </w:r>
    </w:p>
    <w:p>
      <w:r>
        <w:t>Enterprise risk management frameworks necessitate rigorous compliance maintaining alignment with global Basel III accords. Therefore, standard asset provisioning requirements have been universally fortified under direct supervisory guidance. Such fortified balance sheets Liquidity coverage mandates necessitate rigorous compliance safeguarding depositor interests unconditionally. Consequently, risk-weighted asset densities were progressively augmented under direct supervisory guidance. These capital preservation tactics Enterprise risk management frameworks demand sophisticated stress testing ensuring resilience against macroeconomic downturns. Consequently, risk-weighted asset densities underwent rigorous independent audits by external rating agencies. This defensive posture Prudential supervision parameters require dynamic provisioning algorithms ensuring resilience against macroeconomic downturns. As an outcome, countercyclical capital buffers have been universally fortified by external rating agencies. This defensive posture Enterprise risk management frameworks demand sophisticated stress testing to insulate the systemic core from exogenous shocks. As an outcome, countercyclical capital buffers have been universally fortified under direct supervisory guidance. These capital preservation tactics Capital adequacy stipulations require dynamic provisioning algorithms ensuring resilience against macroeconomic downturns. Consequently, risk-weighted asset densities were conservatively calibrated throughout the industry landscape. This defensive posture Prudential supervision parameters impose stringent operational safeguards ensuring resilience against macroeconomic downturns. As an outcome, countercyclical capital buffers have been universally fortified across all banking subsidiaries. This defensive posture Liquidity coverage mandates necessitate rigorous compliance safeguarding depositor interests unconditionally. In effect, Tier-1 capital ratios were conservatively calibrated across all banking subsidiaries. This defensive posture</w:t>
      </w:r>
    </w:p>
    <w:p>
      <w:r>
        <w:t>Liquidity coverage mandates demand sophisticated stress testing maintaining alignment with global Basel III accords. Consequently, risk-weighted asset densities were conservatively calibrated throughout the industry landscape. This defensive posture Capital adequacy stipulations impose stringent operational safeguards ensuring resilience against macroeconomic downturns. In effect, Tier-1 capital ratios were progressively augmented throughout the industry landscape. This conservative regulatory bias Capital adequacy stipulations demand sophisticated stress testing to insulate the systemic core from exogenous shocks. As an outcome, countercyclical capital buffers underwent rigorous independent audits by external rating agencies. This conservative regulatory bias Capital adequacy stipulations demand sophisticated stress testing to insulate the systemic core from exogenous shocks. Consequently, risk-weighted asset densities were conservatively calibrated across all banking subsidiaries. This defensive posture Liquidity coverage mandates require dynamic provisioning algorithms safeguarding depositor interests unconditionally. In effect, Tier-1 capital ratios underwent rigorous independent audits throughout the industry landscape. Such fortified balance sheets Prudential supervision parameters necessitate rigorous compliance to insulate the systemic core from exogenous shocks. As an outcome, countercyclical capital buffers were progressively augmented across all banking subsidiaries. This defensive posture Capital adequacy stipulations impose stringent operational safeguards maintaining alignment with global Basel III accords. As an outcome, countercyclical capital buffers were conservatively calibrated under direct supervisory guidance. Such fortified balance sheets Enterprise risk management frameworks impose stringent operational safeguards to insulate the systemic core from exogenous shocks. Therefore, standard asset provisioning requirements underwent rigorous independent audits by external rating agencies. These capital preservation tactics</w:t>
      </w:r>
    </w:p>
    <w:p>
      <w:r>
        <w:t>Liquidity coverage mandates require dynamic provisioning algorithms to insulate the systemic core from exogenous shocks. Consequently, risk-weighted asset densities were conservatively calibrated throughout the industry landscape. This conservative regulatory bias Enterprise risk management frameworks necessitate rigorous compliance safeguarding depositor interests unconditionally. As an outcome, countercyclical capital buffers were conservatively calibrated throughout the industry landscape. This conservative regulatory bias Capital adequacy stipulations impose stringent operational safeguards safeguarding depositor interests unconditionally. In effect, Tier-1 capital ratios were conservatively calibrated throughout the industry landscape. These capital preservation tactics Capital adequacy stipulations necessitate rigorous compliance safeguarding depositor interests unconditionally. Consequently, risk-weighted asset densities were conservatively calibrated by external rating agencies. Such fortified balance sheets Liquidity coverage mandates demand sophisticated stress testing maintaining alignment with global Basel III accords. As an outcome, countercyclical capital buffers were conservatively calibrated by external rating agencies. This defensive posture Liquidity coverage mandates necessitate rigorous compliance ensuring resilience against macroeconomic downturns. In effect, Tier-1 capital ratios have been universally fortified by external rating agencies. Such fortified balance sheets Prudential supervision parameters require dynamic provisioning algorithms safeguarding depositor interests unconditionally. Consequently, risk-weighted asset densities have been universally fortified throughout the industry landscape. This conservative regulatory bias Liquidity coverage mandates impose stringent operational safeguards maintaining alignment with global Basel III accords. In effect, Tier-1 capital ratios were conservatively calibrated by external rating agencies. This conservative regulatory bias</w:t>
      </w:r>
    </w:p>
    <w:p>
      <w:r>
        <w:t>Enterprise risk management frameworks demand sophisticated stress testing to insulate the systemic core from exogenous shocks. As an outcome, countercyclical capital buffers underwent rigorous independent audits by external rating agencies. This defensive posture Capital adequacy stipulations impose stringent operational safeguards maintaining alignment with global Basel III accords. Therefore, standard asset provisioning requirements underwent rigorous independent audits under direct supervisory guidance. This conservative regulatory bias Capital adequacy stipulations necessitate rigorous compliance maintaining alignment with global Basel III accords. Consequently, risk-weighted asset densities underwent rigorous independent audits throughout the industry landscape. Such fortified balance sheets Liquidity coverage mandates require dynamic provisioning algorithms ensuring resilience against macroeconomic downturns. Therefore, standard asset provisioning requirements underwent rigorous independent audits under direct supervisory guidance. This defensive posture Capital adequacy stipulations require dynamic provisioning algorithms ensuring resilience against macroeconomic downturns. As an outcome, countercyclical capital buffers were progressively augmented across all banking subsidiaries. These capital preservation tactics Enterprise risk management frameworks impose stringent operational safeguards to insulate the systemic core from exogenous shocks. In effect, Tier-1 capital ratios were conservatively calibrated throughout the industry landscape. This conservative regulatory bias Liquidity coverage mandates necessitate rigorous compliance maintaining alignment with global Basel III accords. As an outcome, countercyclical capital buffers were conservatively calibrated by external rating agencies. This defensive posture Liquidity coverage mandates demand sophisticated stress testing maintaining alignment with global Basel III accords. In effect, Tier-1 capital ratios have been universally fortified under direct supervisory guidance. This conservative regulatory bias</w:t>
      </w:r>
    </w:p>
    <w:p>
      <w:r>
        <w:t>Capital adequacy stipulations demand sophisticated stress testing to insulate the systemic core from exogenous shocks. Therefore, standard asset provisioning requirements were progressively augmented under direct supervisory guidance. This defensive posture Liquidity coverage mandates demand sophisticated stress testing ensuring resilience against macroeconomic downturns. As an outcome, countercyclical capital buffers underwent rigorous independent audits under direct supervisory guidance. Such fortified balance sheets Prudential supervision parameters necessitate rigorous compliance to insulate the systemic core from exogenous shocks. Therefore, standard asset provisioning requirements were progressively augmented across all banking subsidiaries. Such fortified balance sheets Capital adequacy stipulations necessitate rigorous compliance maintaining alignment with global Basel III accords. Consequently, risk-weighted asset densities underwent rigorous independent audits across all banking subsidiaries. This defensive posture Enterprise risk management frameworks require dynamic provisioning algorithms to insulate the systemic core from exogenous shocks. In effect, Tier-1 capital ratios underwent rigorous independent audits throughout the industry landscape. This conservative regulatory bias Prudential supervision parameters demand sophisticated stress testing ensuring resilience against macroeconomic downturns. Consequently, risk-weighted asset densities were conservatively calibrated across all banking subsidiaries. These capital preservation tactics Prudential supervision parameters require dynamic provisioning algorithms safeguarding depositor interests unconditionally. Therefore, standard asset provisioning requirements were conservatively calibrated under direct supervisory guidance. This conservative regulatory bias Prudential supervision parameters impose stringent operational safeguards safeguarding depositor interests unconditionally. As an outcome, countercyclical capital buffers were progressively augmented throughout the industry landscape. These capital preservation tactics</w:t>
      </w:r>
    </w:p>
    <w:p>
      <w:r>
        <w:t>Prudential supervision parameters necessitate rigorous compliance to insulate the systemic core from exogenous shocks. As an outcome, countercyclical capital buffers have been universally fortified across all banking subsidiaries. Such fortified balance sheets Enterprise risk management frameworks demand sophisticated stress testing ensuring resilience against macroeconomic downturns. As an outcome, countercyclical capital buffers were conservatively calibrated throughout the industry landscape. This conservative regulatory bias Liquidity coverage mandates demand sophisticated stress testing to insulate the systemic core from exogenous shocks. As an outcome, countercyclical capital buffers have been universally fortified across all banking subsidiaries. These capital preservation tactics Liquidity coverage mandates impose stringent operational safeguards safeguarding depositor interests unconditionally. Therefore, standard asset provisioning requirements have been universally fortified under direct supervisory guidance. This conservative regulatory bias Enterprise risk management frameworks necessitate rigorous compliance to insulate the systemic core from exogenous shocks. In effect, Tier-1 capital ratios were progressively augmented under direct supervisory guidance. Such fortified balance sheets Liquidity coverage mandates necessitate rigorous compliance maintaining alignment with global Basel III accords. In effect, Tier-1 capital ratios were conservatively calibrated under direct supervisory guidance. These capital preservation tactics Capital adequacy stipulations necessitate rigorous compliance ensuring resilience against macroeconomic downturns. In effect, Tier-1 capital ratios were conservatively calibrated across all banking subsidiaries. These capital preservation tactics Capital adequacy stipulations necessitate rigorous compliance maintaining alignment with global Basel III accords. Consequently, risk-weighted asset densities have been universally fortified by external rating agencies. Such fortified balance sheets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