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9C4A3C"/>
          <w:sz w:val="64"/>
          <w:szCs w:val="64"/>
        </w:rPr>
        <w:t xml:space="preserve">KNOT &amp; BLOOM</w:t>
      </w:r>
    </w:p>
    <w:p>
      <w:pPr>
        <w:spacing w:after="60" w:before="160"/>
        <w:jc w:val="center"/>
      </w:pPr>
      <w:r>
        <w:rPr>
          <w:rFonts w:ascii="Georgia" w:cs="Georgia" w:eastAsia="Georgia" w:hAnsi="Georgia"/>
          <w:i/>
          <w:iCs/>
          <w:color w:val="5B6B4F"/>
          <w:sz w:val="22"/>
          <w:szCs w:val="22"/>
        </w:rPr>
        <w:t xml:space="preserve">a knot tied with care, a bloom grown with time</w:t>
      </w:r>
    </w:p>
    <w:p>
      <w:pPr>
        <w:pBdr>
          <w:top w:val="single" w:color="D8CFC0" w:sz="6" w:space="12"/>
        </w:pBdr>
        <w:spacing w:before="500"/>
        <w:jc w:val="center"/>
      </w:pPr>
    </w:p>
    <w:p>
      <w:pPr>
        <w:spacing w:before="400"/>
        <w:jc w:val="center"/>
      </w:pPr>
      <w:r>
        <w:rPr>
          <w:rFonts w:ascii="Georgia" w:cs="Georgia" w:eastAsia="Georgia" w:hAnsi="Georgia"/>
          <w:b/>
          <w:bCs/>
          <w:color w:val="2B2118"/>
          <w:sz w:val="34"/>
          <w:szCs w:val="34"/>
        </w:rPr>
        <w:t xml:space="preserve">BUSINESS MODEL</w:t>
      </w:r>
    </w:p>
    <w:p>
      <w:pPr>
        <w:spacing w:after="2000" w:before="120"/>
        <w:jc w:val="center"/>
      </w:pPr>
      <w:r>
        <w:rPr>
          <w:rFonts w:ascii="Calibri" w:cs="Calibri" w:eastAsia="Calibri" w:hAnsi="Calibri"/>
          <w:color w:val="6B6459"/>
          <w:sz w:val="24"/>
          <w:szCs w:val="24"/>
        </w:rPr>
        <w:t xml:space="preserve">A Trusted, Curated Marketplace for Filipino Micro-Creators</w:t>
      </w:r>
    </w:p>
    <w:p>
      <w:pPr>
        <w:spacing w:before="3400"/>
        <w:jc w:val="center"/>
      </w:pPr>
      <w:r>
        <w:rPr>
          <w:rFonts w:ascii="Calibri" w:cs="Calibri" w:eastAsia="Calibri" w:hAnsi="Calibri"/>
          <w:color w:val="6B6459"/>
          <w:sz w:val="20"/>
          <w:szCs w:val="20"/>
        </w:rPr>
        <w:t xml:space="preserve">Prepared · August 2026</w:t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Internal Strategy Document — 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1.   Vision &amp; Guiding Principle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2.   Business Model Canvas — At a Glance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3.   Customer Segments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4.   Value Propositions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5.   Revenue Streams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6.   Channels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7.   Customer Relationships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8.   Key Activities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9.   Key Resources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10.  Key Partnerships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11.  Cost Structure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12.  Phased Rollout Strategy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13.  Transaction Flow &amp; Core Policies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160"/>
      </w:pPr>
      <w:r>
        <w:rPr>
          <w:rFonts w:ascii="Calibri" w:cs="Calibri" w:eastAsia="Calibri" w:hAnsi="Calibri"/>
          <w:b/>
          <w:bCs/>
          <w:color w:val="2B2118"/>
          <w:sz w:val="21"/>
          <w:szCs w:val="21"/>
        </w:rPr>
        <w:t xml:space="preserve">14.  Key Risks &amp; Open Considerations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	11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1.  Vision &amp; Guiding Principle</w:t>
      </w:r>
    </w:p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To become the most trusted and curated marketplace for handcrafted goods in the Philippines — built specifically for students, single parents, hobbyists, and small handcrafters who deserve a real selling platform without the complexity of big e-commerce or the chaos of social media.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Who We Build For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Students selling handmade crafts on the side to support themselves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Single parents turning a skill or hobby into extra income from home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Hobbyists who want to monetize their passion without running a full business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Small handcrafters producing limited quantities of genuine, handmade goods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Guiding Principle</w:t>
      </w:r>
    </w:p>
    <w:p>
      <w:pPr>
        <w:spacing w:after="160" w:line="288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Every feature must answer one question: </w:t>
      </w:r>
      <w:r>
        <w:rPr>
          <w:rFonts w:ascii="Calibri" w:cs="Calibri" w:eastAsia="Calibri" w:hAnsi="Calibri"/>
          <w:i/>
          <w:iCs/>
          <w:color w:val="9C4A3C"/>
          <w:sz w:val="21"/>
          <w:szCs w:val="21"/>
        </w:rPr>
        <w:t xml:space="preserve">“Does this make it meaningfully easier for a Filipino student, single parent, hobbyist, or small handcrafter to sell what they make?”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 If the answer is no, we don’t build it.</w:t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2.  Business Model Canvas — At a Glance</w:t>
      </w:r>
    </w:p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The full model, summarized. Each block is unpacked in detail in the sections that follow.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9C4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Building Block</w:t>
            </w:r>
          </w:p>
        </w:tc>
        <w:tc>
          <w:tcPr>
            <w:tcW w:type="dxa" w:w="7100"/>
            <w:shd w:fill="9C4A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6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71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Filipino micro-creators (students, single parents, hobbyists, small handcrafters) as sellers; trust-seeking buyers wanting authentic handmade goods.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Value Propositions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Sellers: no business registration, COD-deposit protection, low operational burden. Buyers: 100% curated/authentic catalog, secure payments, dispute support.</w:t>
            </w:r>
          </w:p>
        </w:tc>
      </w:tr>
      <w:tr>
        <w:tc>
          <w:tcPr>
            <w:tcW w:type="dxa" w:w="26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71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Transaction commission (12% flat at launch, tiered by seller subscription later), seller subscriptions (Growth / Studio), promotion boosts (₱49/3-day).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Channels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Personal network → Facebook crafter groups → Instagram/TikTok → school communities (sellers). Facebook + Instagram/TikTok equally, plus seller-driven sharing (buyers).</w:t>
            </w:r>
          </w:p>
        </w:tc>
      </w:tr>
      <w:tr>
        <w:tc>
          <w:tcPr>
            <w:tcW w:type="dxa" w:w="26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Customer Relationships</w:t>
            </w:r>
          </w:p>
        </w:tc>
        <w:tc>
          <w:tcPr>
            <w:tcW w:type="dxa" w:w="71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Self-service (FAQs/help center) as the primary model, backed by a private seller Facebook community; founder handles disputes and edge cases personally.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Seller verification &amp; curation, order/payment orchestration, Trust Score management, dispute resolution, community management, platform development, acquisition outreach.</w:t>
            </w:r>
          </w:p>
        </w:tc>
      </w:tr>
      <w:tr>
        <w:tc>
          <w:tcPr>
            <w:tcW w:type="dxa" w:w="26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71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The platform itself, PayMongo integration, Trust Score &amp; verification system, founder's crafter relationships, brand/curation standard, founder's own time.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Key Partnerships</w:t>
            </w:r>
          </w:p>
        </w:tc>
        <w:tc>
          <w:tcPr>
            <w:tcW w:type="dxa" w:w="7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PayMongo (payments/escrow — core dependency); couriers used informally by sellers (e.g. J&amp;T); DTI/BIR (compliance); crafter communities and school orgs (informal).</w:t>
            </w:r>
          </w:p>
        </w:tc>
      </w:tr>
      <w:tr>
        <w:tc>
          <w:tcPr>
            <w:tcW w:type="dxa" w:w="26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6B4F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71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19"/>
                <w:szCs w:val="19"/>
              </w:rPr>
              <w:t xml:space="preserve">Phase 1: solo-run, ~₱1,000–₱3,000/month infrastructure only, ₱0 paid marketing. Helpers and paid tools added later, funded by revenue — not savings.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3.  Customer Segments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Sellers (Supply Side)</w:t>
      </w:r>
    </w:p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Individual and micro-scale Filipino creators — not registered businesses. Defined by producing genuine, limited-quantity handcrafted goods, and by lacking the staff, logistics, or marketing budget of a commercial seller.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Buyers (Demand Side)</w:t>
      </w:r>
    </w:p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Shoppers seeking authentic, verifiably handmade goods, who are currently underserved by both mass-market marketplaces (Shopee, Lazada) and unstructured social commerce (Facebook, Instagram, TikTok).</w:t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4.  Value Propositions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For Sellers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No business registration required — verified identity and genuine handcrafted goods are enough to start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Protection from bogus COD buyers via the 20% deposit and Trust Score system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Reduced operational burden — unified order management in place of DMs, spreadsheets, and manual GCash tracking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For Buyers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A fully curated catalog — 100% authentic, handcrafted, vetted sellers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Secure payments and order tracking in place of a stranger's bank account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Confidence they are supporting a verified Filipino maker</w:t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5.  Revenue Streams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Stream 1 — Transaction Commission (primary)</w:t>
      </w:r>
    </w:p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A percentage of each completed sale, deducted at final settlement — never from the buyer's deposit.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Phase 1 (Launch)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Flat 12% on all completed sales, single rate for every seller.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Phase 2 (Scale)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Tiered by seller subscription — Free (highest), Growth, Studio (lowest) — revisited once the Phase 2 trigger is met (see Section 12).</w:t>
            </w:r>
          </w:p>
        </w:tc>
      </w:tr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Applied to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Final sale value only. The COD deposit is a pure pass-through and is never commissioned directly.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Stream 2 — Seller Subscriptions (Phase 2)</w:t>
      </w:r>
    </w:p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Optional paid tiers that lower a seller's commission rate and add visibility and analytics benefits. Deferred at launch — activated only once there is enough seller volume for the tiers to mean anything (see Section 12).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Free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₱0/mo · baseline commission · basic analytics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Growth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₱149/mo · reduced commission · minor discovery boost · actionable analytics</w:t>
            </w:r>
          </w:p>
        </w:tc>
      </w:tr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Studio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₱249/mo · lowest commission · higher discovery boost · full analytics · fastest payout release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Stream 3 — Promotion / Boost</w:t>
      </w:r>
    </w:p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A single, low-commitment option at launch: ₱49 for a 3-day homepage/category boost. Intentionally simple — an easy impulse purchase rather than a marketing decision.</w:t>
      </w:r>
    </w:p>
    <w:p>
      <w:r>
        <w:br w:type="page"/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6.  Channels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Seller Acquisition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Founder's personal crafter network — first, highest-trust cohort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Facebook crafter/hobbyist groups — highest-yield channel for volume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Instagram / TikTok — creators already posting handmade process content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School and university craft communities — direct match to the student segment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Buyer Acquisition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Facebook and Instagram/TikTok, weighted equally — different buyer psychology, both relevant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Sellers themselves as a distribution channel — each onboarded seller shares their storefront with their own existing audience</w:t>
      </w:r>
    </w:p>
    <w:p>
      <w:pPr>
        <w:pBdr>
          <w:left w:val="single" w:color="9C4A3C" w:sz="24" w:space="8"/>
        </w:pBdr>
        <w:shd w:fill="F1E3DF" w:val="clear"/>
        <w:spacing w:after="160" w:before="100" w:line="276"/>
        <w:ind w:left="200"/>
      </w:pPr>
      <w:r>
        <w:rPr>
          <w:rFonts w:ascii="Calibri" w:cs="Calibri" w:eastAsia="Calibri" w:hAnsi="Calibri"/>
          <w:b/>
          <w:bCs/>
          <w:color w:val="9C4A3C"/>
          <w:sz w:val="19"/>
          <w:szCs w:val="19"/>
        </w:rPr>
        <w:t xml:space="preserve">NOTE  </w:t>
      </w:r>
      <w:r>
        <w:rPr>
          <w:rFonts w:ascii="Calibri" w:cs="Calibri" w:eastAsia="Calibri" w:hAnsi="Calibri"/>
          <w:i/>
          <w:iCs/>
          <w:color w:val="2B2118"/>
          <w:sz w:val="20"/>
          <w:szCs w:val="20"/>
        </w:rPr>
        <w:t xml:space="preserve">Channels function as trust chains, not ad placements: the founder's personal trust transfers to first sellers, whose success stories transfer trust into crafter communities, which transfers to their buyers. This mirrors the platform's core value proposition — trust — and should stay explicit as channels are executed, not just treated as a media-buying decision.</w:t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7.  Customer Relationships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Self-service — FAQs and help-center content for both sellers and buyers, to protect founder time.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Seller community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 private Facebook group, launched alongside the platform. Sellers support each other, reducing repeat 1:1 questions to the founder.</w:t>
            </w:r>
          </w:p>
        </w:tc>
      </w:tr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Founder involvement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Reserved for what self-service and peer support cannot resolve — disputes, platform issues, trust/verification edge cases.</w:t>
            </w:r>
          </w:p>
        </w:tc>
      </w:tr>
    </w:tbl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8.  Key Activities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Seller onboarding &amp; verification — application form, ID check, and manual spot-check of sample work (semi-automated)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Ongoing product &amp; listing curation — ad hoc and triggered re-review, not just at onboarding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Order &amp; payment orchestration — deposit collection, hold, and release logic via the payment partner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Trust Score management — tracking buyer and seller reliability over time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Dispute resolution — the judgment calls self-service cannot replace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Community management — running the private seller Facebook group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Platform development &amp; maintenance — solo-built, ongoing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Seller &amp; buyer acquisition — active outreach and relationship-building, not passive</w:t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9.  Key Resources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The platform itself — storefront, order management, catalog, and messaging systems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Payment &amp; escrow infrastructure — the PayMongo integration underpinning every transaction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Trust Score &amp; verification system — a proprietary, increasingly defensible dataset over time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Seller relationships &amp; community — the founder's personal network and the private Facebook group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Brand &amp; curation standard — what “Knot &amp; Bloom” and “genuine handcrafted” concretely mean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Founder's own time and skillset — currently the platform's single largest bottleneck and point of failure</w:t>
      </w:r>
    </w:p>
    <w:p>
      <w:r>
        <w:br w:type="page"/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10.  Key Partnerships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PayMongo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Core dependency — every commission, deposit, and payout runs through it. Actively monitored, not treated as a plug-and-play vendor.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Couriers (e.g. J&amp;T)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Informal — sellers self-manage shipping and courier choice. No exclusive contract or integration required at launch.</w:t>
            </w:r>
          </w:p>
        </w:tc>
      </w:tr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DTI / BIR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Required administrative relationship for Knot &amp; Bloom's legal operation as a business entity.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Crafter communities &amp; school orgs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Informal, relationship-based — doubles as the seller acquisition pipeline (see Section 6).</w:t>
            </w:r>
          </w:p>
        </w:tc>
      </w:tr>
    </w:tbl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The list is intentionally short. Because sellers self-handle logistics, the platform's real dependencies are payments (PayMongo) and people (community relationships) — not a web of vendor contracts. This suits a solo, self-funded founder.</w:t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11.  Cost Structure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Phase 1 (Launch, ~80 active sellers)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Hosting / tools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~₱1,000–₱3,000 / month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Paid operations help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₱0 — founder runs support, verification, and disputes personally</w:t>
            </w:r>
          </w:p>
        </w:tc>
      </w:tr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Marketing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₱0 — organic / relationship-driven acquisition only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Estimated monthly burn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~₱1,000–₱3,000 / month, self-funded</w:t>
            </w:r>
          </w:p>
        </w:tc>
      </w:tr>
    </w:tbl>
    <w:p>
      <w:pPr>
        <w:pBdr>
          <w:left w:val="single" w:color="9C4A3C" w:sz="24" w:space="8"/>
        </w:pBdr>
        <w:shd w:fill="F1E3DF" w:val="clear"/>
        <w:spacing w:after="160" w:before="100" w:line="276"/>
        <w:ind w:left="200"/>
      </w:pPr>
      <w:r>
        <w:rPr>
          <w:rFonts w:ascii="Calibri" w:cs="Calibri" w:eastAsia="Calibri" w:hAnsi="Calibri"/>
          <w:b/>
          <w:bCs/>
          <w:color w:val="9C4A3C"/>
          <w:sz w:val="19"/>
          <w:szCs w:val="19"/>
        </w:rPr>
        <w:t xml:space="preserve">NOTE  </w:t>
      </w:r>
      <w:r>
        <w:rPr>
          <w:rFonts w:ascii="Calibri" w:cs="Calibri" w:eastAsia="Calibri" w:hAnsi="Calibri"/>
          <w:i/>
          <w:iCs/>
          <w:color w:val="2B2118"/>
          <w:sz w:val="20"/>
          <w:szCs w:val="20"/>
        </w:rPr>
        <w:t xml:space="preserve">Paid part-time help and paid tools are deferred until commission revenue can fund them — not drawn from savings. This keeps Phase 1 burn low and the breakeven point close, which matters given the platform is bootstrapped with limited capital set aside.</w:t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12.  Phased Rollout Strategy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Phase 1 — Launch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Free tier only — single flat 12% commission, no subscription complexity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Single promotion option — ₱49 / 3-day boost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Founder handles all operations personally; self-service support model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Phase 2 — Trigger to Unlock Growth / Studio Tiers</w:t>
      </w:r>
    </w:p>
    <w:p>
      <w:pPr>
        <w:spacing w:after="160" w:line="288"/>
      </w:pPr>
      <w:r>
        <w:rPr>
          <w:rFonts w:ascii="Calibri" w:cs="Calibri" w:eastAsia="Calibri" w:hAnsi="Calibri"/>
          <w:b/>
          <w:bCs/>
          <w:color w:val="9C4A3C"/>
          <w:sz w:val="21"/>
          <w:szCs w:val="21"/>
        </w:rPr>
        <w:t xml:space="preserve">Trigger: </w:t>
      </w:r>
      <w:r>
        <w:rPr>
          <w:rFonts w:ascii="Calibri" w:cs="Calibri" w:eastAsia="Calibri" w:hAnsi="Calibri"/>
          <w:color w:val="2B2118"/>
          <w:sz w:val="21"/>
          <w:szCs w:val="21"/>
        </w:rPr>
        <w:t xml:space="preserve">100 active sellers AND an average of 2+ sales per seller per month — both conditions required, not either alone. This avoids activating paid tiers on headcount that isn't actually transacting.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Introduce tiered commission (Free / Growth / Studio) once real transaction data replaces launch assumptions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Revisit promotion packages and seller-community moderation needs</w:t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13.  Transaction Flow &amp; Core Policies</w:t>
      </w:r>
    </w:p>
    <w:p>
      <w:pPr>
        <w:spacing w:after="160" w:line="288"/>
      </w:pPr>
      <w:r>
        <w:rPr>
          <w:rFonts w:ascii="Calibri" w:cs="Calibri" w:eastAsia="Calibri" w:hAnsi="Calibri"/>
          <w:i w:val="false"/>
          <w:iCs w:val="false"/>
          <w:color w:val="2B2118"/>
          <w:sz w:val="21"/>
          <w:szCs w:val="21"/>
        </w:rPr>
        <w:t xml:space="preserve">Verified end-to-end using a worked example: a ₱850 custom order, from a buyer discovering a seller's storefront through to final payout.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13.1  How Money Moves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Buyer pays a 20% deposit through the payment partner (e.g. ₱170 on a ₱850 order); funds are held in escrow, not by Knot &amp; Bloom directly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Remaining 80% is paid as true cash-on-delivery, directly between buyer and seller — this portion never touches the platform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On order completion, commission (12% of the full order value) is deducted from the held deposit, and the remainder is released to the seller</w:t>
      </w:r>
    </w:p>
    <w:p>
      <w:pPr>
        <w:pBdr>
          <w:left w:val="single" w:color="9C4A3C" w:sz="24" w:space="8"/>
        </w:pBdr>
        <w:shd w:fill="F1E3DF" w:val="clear"/>
        <w:spacing w:after="160" w:before="100" w:line="276"/>
        <w:ind w:left="200"/>
      </w:pPr>
      <w:r>
        <w:rPr>
          <w:rFonts w:ascii="Calibri" w:cs="Calibri" w:eastAsia="Calibri" w:hAnsi="Calibri"/>
          <w:b/>
          <w:bCs/>
          <w:color w:val="9C4A3C"/>
          <w:sz w:val="19"/>
          <w:szCs w:val="19"/>
        </w:rPr>
        <w:t xml:space="preserve">NOTE  </w:t>
      </w:r>
      <w:r>
        <w:rPr>
          <w:rFonts w:ascii="Calibri" w:cs="Calibri" w:eastAsia="Calibri" w:hAnsi="Calibri"/>
          <w:i/>
          <w:iCs/>
          <w:color w:val="2B2118"/>
          <w:sz w:val="20"/>
          <w:szCs w:val="20"/>
        </w:rPr>
        <w:t xml:space="preserve">This mechanism only works because the deposit rate (20%) is set higher than the commission rate (12%). This is a hard constraint: commission may never be set higher than the prevailing deposit rate, or there is no held balance to deduct it from.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13.2  Cancellation &amp; Refund Policy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Deposit is non-refundable if the buyer cancels — protects the seller, who may have already purchased materials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Deposit is refundable if the seller fails to fulfill the order — protects the buyer from a non-performing seller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B6B4F"/>
          <w:sz w:val="22"/>
          <w:szCs w:val="22"/>
        </w:rPr>
        <w:t xml:space="preserve">13.3  Buyer Protection Policy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The 20% deposit is the platform's only real escrow lever, and the only funds it can act on directly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The 80% cash-COD portion is peer-to-peer once it changes hands; Knot &amp; Bloom does not mediate or hold these funds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118"/>
          <w:sz w:val="21"/>
          <w:szCs w:val="21"/>
        </w:rPr>
        <w:t xml:space="preserve">Disputes on the cash portion are resolved directly between buyer and seller; the platform's enforcement is reputational — the Trust Score — not a refund from held funds</w:t>
      </w:r>
    </w:p>
    <w:p>
      <w:pPr>
        <w:pBdr>
          <w:left w:val="single" w:color="9C4A3C" w:sz="24" w:space="8"/>
        </w:pBdr>
        <w:shd w:fill="F1E3DF" w:val="clear"/>
        <w:spacing w:after="160" w:before="100" w:line="276"/>
        <w:ind w:left="200"/>
      </w:pPr>
      <w:r>
        <w:rPr>
          <w:rFonts w:ascii="Calibri" w:cs="Calibri" w:eastAsia="Calibri" w:hAnsi="Calibri"/>
          <w:b/>
          <w:bCs/>
          <w:color w:val="9C4A3C"/>
          <w:sz w:val="19"/>
          <w:szCs w:val="19"/>
        </w:rPr>
        <w:t xml:space="preserve">NOTE  </w:t>
      </w:r>
      <w:r>
        <w:rPr>
          <w:rFonts w:ascii="Calibri" w:cs="Calibri" w:eastAsia="Calibri" w:hAnsi="Calibri"/>
          <w:i/>
          <w:iCs/>
          <w:color w:val="2B2118"/>
          <w:sz w:val="20"/>
          <w:szCs w:val="20"/>
        </w:rPr>
        <w:t xml:space="preserve">This is a genuine, deliberate limit on buyer protection — not an oversight. It should be stated plainly to buyers at checkout so expectations match what the platform can structurally deliver, rather than left implied.</w:t>
      </w:r>
    </w:p>
    <w:p>
      <w:r>
        <w:br w:type="page"/>
      </w:r>
    </w:p>
    <w:p>
      <w:pPr>
        <w:pStyle w:val="Heading1"/>
        <w:pBdr>
          <w:bottom w:val="single" w:color="9C4A3C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9C4A3C"/>
          <w:sz w:val="30"/>
          <w:szCs w:val="30"/>
        </w:rPr>
        <w:t xml:space="preserve">14.  Key Risks &amp; Open Considerations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Founder as single point of failure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Curation, dispute resolution, and platform maintenance currently depend entirely on one person's availability.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Commission vs. deposit ceiling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Any future commission rate must stay below the deposit rate (20%), or the payout mechanism breaks.</w:t>
            </w:r>
          </w:p>
        </w:tc>
      </w:tr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Buyer-protection promise vs. reality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“As safe as a major retailer” holds for the deposit-covered portion; the cash-COD portion has real, disclosed limits.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Payment partner dependency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PayMongo downtime or policy change directly halts the transaction flow — no current fallback.</w:t>
            </w:r>
          </w:p>
        </w:tc>
      </w:tr>
      <w:tr>
        <w:tc>
          <w:tcPr>
            <w:tcW w:type="dxa" w:w="24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C4A3C"/>
                <w:sz w:val="20"/>
                <w:szCs w:val="20"/>
              </w:rPr>
              <w:t xml:space="preserve">Growth pace assumption</w:t>
            </w:r>
          </w:p>
        </w:tc>
        <w:tc>
          <w:tcPr>
            <w:tcW w:type="dxa" w:w="7300"/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8"/>
                <w:sz w:val="20"/>
                <w:szCs w:val="20"/>
              </w:rPr>
              <w:t xml:space="preserve">Word-of-mouth and personal outreach are strong first channels, but multi-week ramp time — not overnight — should be the planning assumption.</w:t>
            </w:r>
          </w:p>
        </w:tc>
      </w:tr>
    </w:tbl>
    <w:p>
      <w:pPr>
        <w:spacing w:after="160" w:line="288"/>
      </w:pPr>
      <w:r>
        <w:rPr>
          <w:rFonts w:ascii="Calibri" w:cs="Calibri" w:eastAsia="Calibri" w:hAnsi="Calibri"/>
          <w:i/>
          <w:iCs/>
          <w:color w:val="2B2118"/>
          <w:sz w:val="21"/>
          <w:szCs w:val="21"/>
        </w:rPr>
        <w:t xml:space="preserve">This document reflects the model as reasoned through to date. Figures marked as estimates (commission %, subscription pricing, cost ranges) are directional starting points meant to be pressure-tested against real seller and buyer behavior post-launch, not treated as final.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459"/>
        <w:sz w:val="16"/>
        <w:szCs w:val="16"/>
      </w:rPr>
      <w:t xml:space="preserve">Page </w:t>
    </w:r>
    <w:r>
      <w:rPr>
        <w:rFonts w:ascii="Calibri" w:cs="Calibri" w:eastAsia="Calibri" w:hAnsi="Calibri"/>
        <w:color w:val="6B64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459"/>
        <w:sz w:val="16"/>
        <w:szCs w:val="16"/>
      </w:rPr>
      <w:t xml:space="preserve"> of </w:t>
    </w:r>
    <w:r>
      <w:rPr>
        <w:rFonts w:ascii="Calibri" w:cs="Calibri" w:eastAsia="Calibri" w:hAnsi="Calibri"/>
        <w:color w:val="6B64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0" w:sz="4" w:space="4"/>
      </w:pBdr>
      <w:jc w:val="right"/>
    </w:pPr>
    <w:r>
      <w:rPr>
        <w:rFonts w:ascii="Calibri" w:cs="Calibri" w:eastAsia="Calibri" w:hAnsi="Calibri"/>
        <w:color w:val="6B6459"/>
        <w:sz w:val="16"/>
        <w:szCs w:val="16"/>
      </w:rPr>
      <w:t xml:space="preserve">KNOT &amp; BLOOM  ·  BUSINESS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Knot &amp; Bloom — Business Model</dc:title>
  <dc:creator>Knot &amp; Bloom</dc:creator>
  <cp:lastModifiedBy>Un-named</cp:lastModifiedBy>
  <cp:revision>1</cp:revision>
  <dcterms:created xsi:type="dcterms:W3CDTF">2026-08-01T14:47:40.535Z</dcterms:created>
  <dcterms:modified xsi:type="dcterms:W3CDTF">2026-08-01T14:47:40.535Z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