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00"/>
      </w:pPr>
    </w:p>
    <w:p>
      <w:pPr>
        <w:jc w:val="center"/>
      </w:pPr>
      <w:r>
        <w:rPr>
          <w:rFonts w:ascii="Georgia" w:cs="Georgia" w:eastAsia="Georgia" w:hAnsi="Georgia"/>
          <w:b/>
          <w:bCs/>
          <w:color w:val="B36979"/>
          <w:sz w:val="64"/>
          <w:szCs w:val="64"/>
        </w:rPr>
        <w:t xml:space="preserve">KNOT &amp; BLOOM</w:t>
      </w:r>
    </w:p>
    <w:p>
      <w:pPr>
        <w:spacing w:after="60" w:before="160"/>
        <w:jc w:val="center"/>
      </w:pPr>
      <w:r>
        <w:rPr>
          <w:rFonts w:ascii="Georgia" w:cs="Georgia" w:eastAsia="Georgia" w:hAnsi="Georgia"/>
          <w:i/>
          <w:iCs/>
          <w:color w:val="567F4F"/>
          <w:sz w:val="22"/>
          <w:szCs w:val="22"/>
        </w:rPr>
        <w:t xml:space="preserve">a knot tied with care, a bloom grown with time</w:t>
      </w:r>
    </w:p>
    <w:p>
      <w:pPr>
        <w:pBdr>
          <w:top w:val="single" w:color="D8CFC0" w:sz="6" w:space="12"/>
        </w:pBdr>
        <w:spacing w:before="500"/>
        <w:jc w:val="center"/>
      </w:pPr>
    </w:p>
    <w:p>
      <w:pPr>
        <w:spacing w:before="400"/>
        <w:jc w:val="center"/>
      </w:pPr>
      <w:r>
        <w:rPr>
          <w:rFonts w:ascii="Georgia" w:cs="Georgia" w:eastAsia="Georgia" w:hAnsi="Georgia"/>
          <w:b/>
          <w:bCs/>
          <w:color w:val="1F2937"/>
          <w:sz w:val="34"/>
          <w:szCs w:val="34"/>
        </w:rPr>
        <w:t xml:space="preserve">BUSINESS MODEL</w:t>
      </w:r>
    </w:p>
    <w:p>
      <w:pPr>
        <w:spacing w:after="2000" w:before="120"/>
        <w:jc w:val="center"/>
      </w:pPr>
      <w:r>
        <w:rPr>
          <w:rFonts w:ascii="Calibri" w:cs="Calibri" w:eastAsia="Calibri" w:hAnsi="Calibri"/>
          <w:color w:val="4B5563"/>
          <w:sz w:val="24"/>
          <w:szCs w:val="24"/>
        </w:rPr>
        <w:t xml:space="preserve">A Trusted, Curated Marketplace for Filipino Micro-Creators</w:t>
      </w:r>
    </w:p>
    <w:p>
      <w:pPr>
        <w:spacing w:before="3400"/>
        <w:jc w:val="center"/>
      </w:pPr>
      <w:r>
        <w:rPr>
          <w:rFonts w:ascii="Calibri" w:cs="Calibri" w:eastAsia="Calibri" w:hAnsi="Calibri"/>
          <w:color w:val="4B5563"/>
          <w:sz w:val="20"/>
          <w:szCs w:val="20"/>
        </w:rPr>
        <w:t xml:space="preserve">Prepared · August 2026</w:t>
      </w:r>
    </w:p>
    <w:p>
      <w:pPr>
        <w:spacing w:before="80"/>
        <w:jc w:val="center"/>
      </w:pPr>
      <w:r>
        <w:rPr>
          <w:rFonts w:ascii="Calibri" w:cs="Calibri" w:eastAsia="Calibri" w:hAnsi="Calibri"/>
          <w:i/>
          <w:iCs/>
          <w:color w:val="4B5563"/>
          <w:sz w:val="18"/>
          <w:szCs w:val="18"/>
        </w:rPr>
        <w:t xml:space="preserve">Internal Strategy Document — Version 1.0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B36979" w:sz="8" w:space="6"/>
        </w:pBdr>
        <w:spacing w:after="200" w:before="480"/>
      </w:pPr>
      <w:r>
        <w:rPr>
          <w:rFonts w:ascii="Georgia" w:cs="Georgia" w:eastAsia="Georgia" w:hAnsi="Georgia"/>
          <w:b/>
          <w:bCs/>
          <w:color w:val="B36979"/>
          <w:sz w:val="30"/>
          <w:szCs w:val="30"/>
        </w:rPr>
        <w:t xml:space="preserve">Table of Contents</w:t>
      </w:r>
    </w:p>
    <w:p>
      <w:pPr>
        <w:tabs>
          <w:tab w:val="right" w:pos="9026" w:leader="dot"/>
        </w:tabs>
        <w:spacing w:after="1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1.   Vision &amp; Guiding Principle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	3</w:t>
      </w:r>
    </w:p>
    <w:p>
      <w:pPr>
        <w:tabs>
          <w:tab w:val="right" w:pos="9026" w:leader="dot"/>
        </w:tabs>
        <w:spacing w:after="1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2.   Business Model Canvas — At a Glance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	3</w:t>
      </w:r>
    </w:p>
    <w:p>
      <w:pPr>
        <w:tabs>
          <w:tab w:val="right" w:pos="9026" w:leader="dot"/>
        </w:tabs>
        <w:spacing w:after="1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3.   Customer Segments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	5</w:t>
      </w:r>
    </w:p>
    <w:p>
      <w:pPr>
        <w:tabs>
          <w:tab w:val="right" w:pos="9026" w:leader="dot"/>
        </w:tabs>
        <w:spacing w:after="1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4.   Value Propositions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	5</w:t>
      </w:r>
    </w:p>
    <w:p>
      <w:pPr>
        <w:tabs>
          <w:tab w:val="right" w:pos="9026" w:leader="dot"/>
        </w:tabs>
        <w:spacing w:after="1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5.   Revenue Streams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	5</w:t>
      </w:r>
    </w:p>
    <w:p>
      <w:pPr>
        <w:tabs>
          <w:tab w:val="right" w:pos="9026" w:leader="dot"/>
        </w:tabs>
        <w:spacing w:after="1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6.   Channels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	7</w:t>
      </w:r>
    </w:p>
    <w:p>
      <w:pPr>
        <w:tabs>
          <w:tab w:val="right" w:pos="9026" w:leader="dot"/>
        </w:tabs>
        <w:spacing w:after="1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7.   Customer Relationships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	7</w:t>
      </w:r>
    </w:p>
    <w:p>
      <w:pPr>
        <w:tabs>
          <w:tab w:val="right" w:pos="9026" w:leader="dot"/>
        </w:tabs>
        <w:spacing w:after="1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8.   Key Activities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	7</w:t>
      </w:r>
    </w:p>
    <w:p>
      <w:pPr>
        <w:tabs>
          <w:tab w:val="right" w:pos="9026" w:leader="dot"/>
        </w:tabs>
        <w:spacing w:after="1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9.   Key Resources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	8</w:t>
      </w:r>
    </w:p>
    <w:p>
      <w:pPr>
        <w:tabs>
          <w:tab w:val="right" w:pos="9026" w:leader="dot"/>
        </w:tabs>
        <w:spacing w:after="1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10.  Key Partnerships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	9</w:t>
      </w:r>
    </w:p>
    <w:p>
      <w:pPr>
        <w:tabs>
          <w:tab w:val="right" w:pos="9026" w:leader="dot"/>
        </w:tabs>
        <w:spacing w:after="1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11.  Cost Structure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	9</w:t>
      </w:r>
    </w:p>
    <w:p>
      <w:pPr>
        <w:tabs>
          <w:tab w:val="right" w:pos="9026" w:leader="dot"/>
        </w:tabs>
        <w:spacing w:after="1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12.  Phased Rollout Strategy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	9</w:t>
      </w:r>
    </w:p>
    <w:p>
      <w:pPr>
        <w:tabs>
          <w:tab w:val="right" w:pos="9026" w:leader="dot"/>
        </w:tabs>
        <w:spacing w:after="1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13.  Transaction Flow &amp; Core Policies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	10</w:t>
      </w:r>
    </w:p>
    <w:p>
      <w:pPr>
        <w:tabs>
          <w:tab w:val="right" w:pos="9026" w:leader="dot"/>
        </w:tabs>
        <w:spacing w:after="1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14.  Key Risks &amp; Open Considerations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	11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B36979" w:sz="8" w:space="6"/>
        </w:pBdr>
        <w:spacing w:after="200" w:before="480"/>
      </w:pPr>
      <w:r>
        <w:rPr>
          <w:rFonts w:ascii="Georgia" w:cs="Georgia" w:eastAsia="Georgia" w:hAnsi="Georgia"/>
          <w:b/>
          <w:bCs/>
          <w:color w:val="B36979"/>
          <w:sz w:val="30"/>
          <w:szCs w:val="30"/>
        </w:rPr>
        <w:t xml:space="preserve">1.  Vision &amp; Guiding Principle</w:t>
      </w:r>
    </w:p>
    <w:p>
      <w:pPr>
        <w:spacing w:after="160" w:line="288"/>
      </w:pPr>
      <w:r>
        <w:rPr>
          <w:rFonts w:ascii="Calibri" w:cs="Calibri" w:eastAsia="Calibri" w:hAnsi="Calibri"/>
          <w:i w:val="false"/>
          <w:iCs w:val="false"/>
          <w:color w:val="1F2937"/>
          <w:sz w:val="21"/>
          <w:szCs w:val="21"/>
        </w:rPr>
        <w:t xml:space="preserve">To become the most trusted and curated marketplace for handcrafted goods in the Philippines — built specifically for students, single parents, hobbyists, and small handcrafters who deserve a real selling platform without the complexity of big e-commerce or the chaos of social media.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567F4F"/>
          <w:sz w:val="22"/>
          <w:szCs w:val="22"/>
        </w:rPr>
        <w:t xml:space="preserve">Who We Build For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Students selling handmade crafts on the side to support themselves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Single parents turning a skill or hobby into extra income from home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Hobbyists who want to monetize their passion without running a full business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Small handcrafters producing limited quantities of genuine, handmade goods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567F4F"/>
          <w:sz w:val="22"/>
          <w:szCs w:val="22"/>
        </w:rPr>
        <w:t xml:space="preserve">Guiding Principle</w:t>
      </w:r>
    </w:p>
    <w:p>
      <w:pPr>
        <w:spacing w:after="160" w:line="288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Every feature must answer one question: </w:t>
      </w:r>
      <w:r>
        <w:rPr>
          <w:rFonts w:ascii="Calibri" w:cs="Calibri" w:eastAsia="Calibri" w:hAnsi="Calibri"/>
          <w:i/>
          <w:iCs/>
          <w:color w:val="B36979"/>
          <w:sz w:val="21"/>
          <w:szCs w:val="21"/>
        </w:rPr>
        <w:t xml:space="preserve">“Does this make it meaningfully easier for a Filipino student, single parent, hobbyist, or small handcrafter to sell what they make?”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If the answer is no, we don’t build it.</w:t>
      </w:r>
    </w:p>
    <w:p>
      <w:pPr>
        <w:pStyle w:val="Heading1"/>
        <w:pBdr>
          <w:bottom w:val="single" w:color="B36979" w:sz="8" w:space="6"/>
        </w:pBdr>
        <w:spacing w:after="200" w:before="480"/>
      </w:pPr>
      <w:r>
        <w:rPr>
          <w:rFonts w:ascii="Georgia" w:cs="Georgia" w:eastAsia="Georgia" w:hAnsi="Georgia"/>
          <w:b/>
          <w:bCs/>
          <w:color w:val="B36979"/>
          <w:sz w:val="30"/>
          <w:szCs w:val="30"/>
        </w:rPr>
        <w:t xml:space="preserve">2.  Business Model Canvas — At a Glance</w:t>
      </w:r>
    </w:p>
    <w:p>
      <w:pPr>
        <w:spacing w:after="160" w:line="288"/>
      </w:pPr>
      <w:r>
        <w:rPr>
          <w:rFonts w:ascii="Calibri" w:cs="Calibri" w:eastAsia="Calibri" w:hAnsi="Calibri"/>
          <w:i w:val="false"/>
          <w:iCs w:val="false"/>
          <w:color w:val="1F2937"/>
          <w:sz w:val="21"/>
          <w:szCs w:val="21"/>
        </w:rPr>
        <w:t xml:space="preserve">The full model, summarized. Each block is unpacked in detail in the sections that follow.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100"/>
      </w:tblGrid>
      <w:tr>
        <w:trPr>
          <w:tblHeader/>
        </w:trPr>
        <w:tc>
          <w:tcPr>
            <w:tcW w:type="dxa" w:w="2600"/>
            <w:shd w:fill="B369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Building Block</w:t>
            </w:r>
          </w:p>
        </w:tc>
        <w:tc>
          <w:tcPr>
            <w:tcW w:type="dxa" w:w="7100"/>
            <w:shd w:fill="B369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Summary</w:t>
            </w:r>
          </w:p>
        </w:tc>
      </w:tr>
      <w:tr>
        <w:tc>
          <w:tcPr>
            <w:tcW w:type="dxa" w:w="2600"/>
            <w:shd w:fill="FCFAF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567F4F"/>
                <w:sz w:val="20"/>
                <w:szCs w:val="20"/>
              </w:rPr>
              <w:t xml:space="preserve">Customer Segments</w:t>
            </w:r>
          </w:p>
        </w:tc>
        <w:tc>
          <w:tcPr>
            <w:tcW w:type="dxa" w:w="7100"/>
            <w:shd w:fill="FCFAF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Filipino micro-creators (students, single parents, hobbyists, small handcrafters) as sellers; trust-seeking buyers wanting authentic handmade goods.</w:t>
            </w:r>
          </w:p>
        </w:tc>
      </w:tr>
      <w:tr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567F4F"/>
                <w:sz w:val="20"/>
                <w:szCs w:val="20"/>
              </w:rPr>
              <w:t xml:space="preserve">Value Propositions</w:t>
            </w:r>
          </w:p>
        </w:tc>
        <w:tc>
          <w:tcPr>
            <w:tcW w:type="dxa" w:w="71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Sellers: no business registration, COD-deposit protection, low operational burden. Buyers: 100% curated/authentic catalog, secure payments, dispute support.</w:t>
            </w:r>
          </w:p>
        </w:tc>
      </w:tr>
      <w:tr>
        <w:tc>
          <w:tcPr>
            <w:tcW w:type="dxa" w:w="2600"/>
            <w:shd w:fill="FCFAF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567F4F"/>
                <w:sz w:val="20"/>
                <w:szCs w:val="20"/>
              </w:rPr>
              <w:t xml:space="preserve">Revenue Streams</w:t>
            </w:r>
          </w:p>
        </w:tc>
        <w:tc>
          <w:tcPr>
            <w:tcW w:type="dxa" w:w="7100"/>
            <w:shd w:fill="FCFAF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Transaction commission (5% flat at launch, tiered by seller subscription later), seller subscriptions (Growth / Studio), promotion boosts (₱49/3-day). PayMongo's own processing fee is deducted separately and is not part of Knot &amp; Bloom's revenue.</w:t>
            </w:r>
          </w:p>
        </w:tc>
      </w:tr>
      <w:tr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567F4F"/>
                <w:sz w:val="20"/>
                <w:szCs w:val="20"/>
              </w:rPr>
              <w:t xml:space="preserve">Channels</w:t>
            </w:r>
          </w:p>
        </w:tc>
        <w:tc>
          <w:tcPr>
            <w:tcW w:type="dxa" w:w="71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Personal network → Facebook crafter groups → Instagram/TikTok → school communities (sellers). Facebook + Instagram/TikTok equally, plus seller-driven sharing (buyers).</w:t>
            </w:r>
          </w:p>
        </w:tc>
      </w:tr>
      <w:tr>
        <w:tc>
          <w:tcPr>
            <w:tcW w:type="dxa" w:w="2600"/>
            <w:shd w:fill="FCFAF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567F4F"/>
                <w:sz w:val="20"/>
                <w:szCs w:val="20"/>
              </w:rPr>
              <w:t xml:space="preserve">Customer Relationships</w:t>
            </w:r>
          </w:p>
        </w:tc>
        <w:tc>
          <w:tcPr>
            <w:tcW w:type="dxa" w:w="7100"/>
            <w:shd w:fill="FCFAF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Self-service (FAQs/help center) as the primary model, backed by a private seller Facebook community; founder handles disputes and edge cases personally.</w:t>
            </w:r>
          </w:p>
        </w:tc>
      </w:tr>
      <w:tr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567F4F"/>
                <w:sz w:val="20"/>
                <w:szCs w:val="20"/>
              </w:rPr>
              <w:t xml:space="preserve">Key Activities</w:t>
            </w:r>
          </w:p>
        </w:tc>
        <w:tc>
          <w:tcPr>
            <w:tcW w:type="dxa" w:w="71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Seller verification &amp; curation, order/payment orchestration, Trust Score management, dispute resolution, community management, platform development, acquisition outreach.</w:t>
            </w:r>
          </w:p>
        </w:tc>
      </w:tr>
      <w:tr>
        <w:tc>
          <w:tcPr>
            <w:tcW w:type="dxa" w:w="2600"/>
            <w:shd w:fill="FCFAF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567F4F"/>
                <w:sz w:val="20"/>
                <w:szCs w:val="20"/>
              </w:rPr>
              <w:t xml:space="preserve">Key Resources</w:t>
            </w:r>
          </w:p>
        </w:tc>
        <w:tc>
          <w:tcPr>
            <w:tcW w:type="dxa" w:w="7100"/>
            <w:shd w:fill="FCFAF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The platform itself, PayMongo integration, Trust Score &amp; verification system, founder's crafter relationships, brand/curation standard, founder's own time.</w:t>
            </w:r>
          </w:p>
        </w:tc>
      </w:tr>
      <w:tr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567F4F"/>
                <w:sz w:val="20"/>
                <w:szCs w:val="20"/>
              </w:rPr>
              <w:t xml:space="preserve">Key Partnerships</w:t>
            </w:r>
          </w:p>
        </w:tc>
        <w:tc>
          <w:tcPr>
            <w:tcW w:type="dxa" w:w="71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PayMongo (payments/escrow — core dependency); couriers used informally by sellers (e.g. J&amp;T); DTI/BIR (compliance); crafter communities and school orgs (informal).</w:t>
            </w:r>
          </w:p>
        </w:tc>
      </w:tr>
      <w:tr>
        <w:tc>
          <w:tcPr>
            <w:tcW w:type="dxa" w:w="2600"/>
            <w:shd w:fill="FCFAF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567F4F"/>
                <w:sz w:val="20"/>
                <w:szCs w:val="20"/>
              </w:rPr>
              <w:t xml:space="preserve">Cost Structure</w:t>
            </w:r>
          </w:p>
        </w:tc>
        <w:tc>
          <w:tcPr>
            <w:tcW w:type="dxa" w:w="7100"/>
            <w:shd w:fill="FCFAF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Phase 1: solo-run, ~₱1,000–₱3,000/month infrastructure only, ₱0 paid marketing. Helpers and paid tools added later, funded by revenue — not savings.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B36979" w:sz="8" w:space="6"/>
        </w:pBdr>
        <w:spacing w:after="200" w:before="480"/>
      </w:pPr>
      <w:r>
        <w:rPr>
          <w:rFonts w:ascii="Georgia" w:cs="Georgia" w:eastAsia="Georgia" w:hAnsi="Georgia"/>
          <w:b/>
          <w:bCs/>
          <w:color w:val="B36979"/>
          <w:sz w:val="30"/>
          <w:szCs w:val="30"/>
        </w:rPr>
        <w:t xml:space="preserve">3.  Customer Segments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567F4F"/>
          <w:sz w:val="22"/>
          <w:szCs w:val="22"/>
        </w:rPr>
        <w:t xml:space="preserve">Sellers (Supply Side)</w:t>
      </w:r>
    </w:p>
    <w:p>
      <w:pPr>
        <w:spacing w:after="160" w:line="288"/>
      </w:pPr>
      <w:r>
        <w:rPr>
          <w:rFonts w:ascii="Calibri" w:cs="Calibri" w:eastAsia="Calibri" w:hAnsi="Calibri"/>
          <w:i w:val="false"/>
          <w:iCs w:val="false"/>
          <w:color w:val="1F2937"/>
          <w:sz w:val="21"/>
          <w:szCs w:val="21"/>
        </w:rPr>
        <w:t xml:space="preserve">Individual and micro-scale Filipino creators — not registered businesses. Defined by producing genuine, limited-quantity handcrafted goods, and by lacking the staff, logistics, or marketing budget of a commercial seller.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567F4F"/>
          <w:sz w:val="22"/>
          <w:szCs w:val="22"/>
        </w:rPr>
        <w:t xml:space="preserve">Buyers (Demand Side)</w:t>
      </w:r>
    </w:p>
    <w:p>
      <w:pPr>
        <w:spacing w:after="160" w:line="288"/>
      </w:pPr>
      <w:r>
        <w:rPr>
          <w:rFonts w:ascii="Calibri" w:cs="Calibri" w:eastAsia="Calibri" w:hAnsi="Calibri"/>
          <w:i w:val="false"/>
          <w:iCs w:val="false"/>
          <w:color w:val="1F2937"/>
          <w:sz w:val="21"/>
          <w:szCs w:val="21"/>
        </w:rPr>
        <w:t xml:space="preserve">Shoppers seeking authentic, verifiably handmade goods, who are currently underserved by both mass-market marketplaces (Shopee, Lazada) and unstructured social commerce (Facebook, Instagram, TikTok).</w:t>
      </w:r>
    </w:p>
    <w:p>
      <w:pPr>
        <w:pStyle w:val="Heading1"/>
        <w:pBdr>
          <w:bottom w:val="single" w:color="B36979" w:sz="8" w:space="6"/>
        </w:pBdr>
        <w:spacing w:after="200" w:before="480"/>
      </w:pPr>
      <w:r>
        <w:rPr>
          <w:rFonts w:ascii="Georgia" w:cs="Georgia" w:eastAsia="Georgia" w:hAnsi="Georgia"/>
          <w:b/>
          <w:bCs/>
          <w:color w:val="B36979"/>
          <w:sz w:val="30"/>
          <w:szCs w:val="30"/>
        </w:rPr>
        <w:t xml:space="preserve">4.  Value Propositions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567F4F"/>
          <w:sz w:val="22"/>
          <w:szCs w:val="22"/>
        </w:rPr>
        <w:t xml:space="preserve">For Sellers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No business registration required — verified identity and genuine handcrafted goods are enough to start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Protection from bogus COD buyers via the 20% deposit and Trust Score system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Reduced operational burden — unified order management in place of DMs, spreadsheets, and manual GCash tracking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567F4F"/>
          <w:sz w:val="22"/>
          <w:szCs w:val="22"/>
        </w:rPr>
        <w:t xml:space="preserve">For Buyers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A fully curated catalog — 100% authentic, handcrafted, vetted sellers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Secure payments and order tracking in place of a stranger's bank account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Confidence they are supporting a verified Filipino maker</w:t>
      </w:r>
    </w:p>
    <w:p>
      <w:pPr>
        <w:pStyle w:val="Heading1"/>
        <w:pBdr>
          <w:bottom w:val="single" w:color="B36979" w:sz="8" w:space="6"/>
        </w:pBdr>
        <w:spacing w:after="200" w:before="480"/>
      </w:pPr>
      <w:r>
        <w:rPr>
          <w:rFonts w:ascii="Georgia" w:cs="Georgia" w:eastAsia="Georgia" w:hAnsi="Georgia"/>
          <w:b/>
          <w:bCs/>
          <w:color w:val="B36979"/>
          <w:sz w:val="30"/>
          <w:szCs w:val="30"/>
        </w:rPr>
        <w:t xml:space="preserve">5.  Revenue Streams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567F4F"/>
          <w:sz w:val="22"/>
          <w:szCs w:val="22"/>
        </w:rPr>
        <w:t xml:space="preserve">Stream 1 — Transaction Commission (primary)</w:t>
      </w:r>
    </w:p>
    <w:p>
      <w:pPr>
        <w:spacing w:after="160" w:line="288"/>
      </w:pPr>
      <w:r>
        <w:rPr>
          <w:rFonts w:ascii="Calibri" w:cs="Calibri" w:eastAsia="Calibri" w:hAnsi="Calibri"/>
          <w:i w:val="false"/>
          <w:iCs w:val="false"/>
          <w:color w:val="1F2937"/>
          <w:sz w:val="21"/>
          <w:szCs w:val="21"/>
        </w:rPr>
        <w:t xml:space="preserve">A percentage of each completed sale, deducted at final settlement — never from the buyer's deposit.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00"/>
      </w:tblGrid>
      <w:tr>
        <w:tc>
          <w:tcPr>
            <w:tcW w:type="dxa" w:w="2400"/>
            <w:shd w:fill="FCFAF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B36979"/>
                <w:sz w:val="20"/>
                <w:szCs w:val="20"/>
              </w:rPr>
              <w:t xml:space="preserve">Phase 1 (Launch)</w:t>
            </w:r>
          </w:p>
        </w:tc>
        <w:tc>
          <w:tcPr>
            <w:tcW w:type="dxa" w:w="7300"/>
            <w:shd w:fill="FCFAF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Flat 5% on all completed sales, single rate for every seller — deducted separately from PayMongo's own processing fee, which is not part of Knot &amp; Bloom's revenue.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B36979"/>
                <w:sz w:val="20"/>
                <w:szCs w:val="20"/>
              </w:rPr>
              <w:t xml:space="preserve">Phase 2 (Scale)</w:t>
            </w:r>
          </w:p>
        </w:tc>
        <w:tc>
          <w:tcPr>
            <w:tcW w:type="dxa" w:w="73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Tiered by seller subscription — Free (highest), Growth, Studio (lowest) — revisited once the Phase 2 trigger is met (see Section 12).</w:t>
            </w:r>
          </w:p>
        </w:tc>
      </w:tr>
      <w:tr>
        <w:tc>
          <w:tcPr>
            <w:tcW w:type="dxa" w:w="2400"/>
            <w:shd w:fill="FCFAF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B36979"/>
                <w:sz w:val="20"/>
                <w:szCs w:val="20"/>
              </w:rPr>
              <w:t xml:space="preserve">Applied to</w:t>
            </w:r>
          </w:p>
        </w:tc>
        <w:tc>
          <w:tcPr>
            <w:tcW w:type="dxa" w:w="7300"/>
            <w:shd w:fill="FCFAF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Final sale value only. The COD deposit is a pure pass-through and is never commissioned directly.</w:t>
            </w:r>
          </w:p>
        </w:tc>
      </w:tr>
    </w:tbl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567F4F"/>
          <w:sz w:val="22"/>
          <w:szCs w:val="22"/>
        </w:rPr>
        <w:t xml:space="preserve">Stream 2 — Seller Subscriptions (Phase 2)</w:t>
      </w:r>
    </w:p>
    <w:p>
      <w:pPr>
        <w:spacing w:after="160" w:line="288"/>
      </w:pPr>
      <w:r>
        <w:rPr>
          <w:rFonts w:ascii="Calibri" w:cs="Calibri" w:eastAsia="Calibri" w:hAnsi="Calibri"/>
          <w:i w:val="false"/>
          <w:iCs w:val="false"/>
          <w:color w:val="1F2937"/>
          <w:sz w:val="21"/>
          <w:szCs w:val="21"/>
        </w:rPr>
        <w:t xml:space="preserve">Optional paid tiers that lower a seller's commission rate and add visibility and analytics benefits. Deferred at launch — activated only once there is enough seller volume for the tiers to mean anything (see Section 12).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00"/>
      </w:tblGrid>
      <w:tr>
        <w:tc>
          <w:tcPr>
            <w:tcW w:type="dxa" w:w="2400"/>
            <w:shd w:fill="FCFAF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B36979"/>
                <w:sz w:val="20"/>
                <w:szCs w:val="20"/>
              </w:rPr>
              <w:t xml:space="preserve">Free</w:t>
            </w:r>
          </w:p>
        </w:tc>
        <w:tc>
          <w:tcPr>
            <w:tcW w:type="dxa" w:w="7300"/>
            <w:shd w:fill="FCFAF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₱0/mo · baseline commission · basic analytics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B36979"/>
                <w:sz w:val="20"/>
                <w:szCs w:val="20"/>
              </w:rPr>
              <w:t xml:space="preserve">Growth</w:t>
            </w:r>
          </w:p>
        </w:tc>
        <w:tc>
          <w:tcPr>
            <w:tcW w:type="dxa" w:w="73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₱149/mo · reduced commission · minor discovery boost · actionable analytics</w:t>
            </w:r>
          </w:p>
        </w:tc>
      </w:tr>
      <w:tr>
        <w:tc>
          <w:tcPr>
            <w:tcW w:type="dxa" w:w="2400"/>
            <w:shd w:fill="FCFAF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B36979"/>
                <w:sz w:val="20"/>
                <w:szCs w:val="20"/>
              </w:rPr>
              <w:t xml:space="preserve">Studio</w:t>
            </w:r>
          </w:p>
        </w:tc>
        <w:tc>
          <w:tcPr>
            <w:tcW w:type="dxa" w:w="7300"/>
            <w:shd w:fill="FCFAF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₱249/mo · lowest commission · higher discovery boost · full analytics · fastest payout release</w:t>
            </w:r>
          </w:p>
        </w:tc>
      </w:tr>
    </w:tbl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567F4F"/>
          <w:sz w:val="22"/>
          <w:szCs w:val="22"/>
        </w:rPr>
        <w:t xml:space="preserve">Stream 3 — Promotion / Boost</w:t>
      </w:r>
    </w:p>
    <w:p>
      <w:pPr>
        <w:spacing w:after="160" w:line="288"/>
      </w:pPr>
      <w:r>
        <w:rPr>
          <w:rFonts w:ascii="Calibri" w:cs="Calibri" w:eastAsia="Calibri" w:hAnsi="Calibri"/>
          <w:i w:val="false"/>
          <w:iCs w:val="false"/>
          <w:color w:val="1F2937"/>
          <w:sz w:val="21"/>
          <w:szCs w:val="21"/>
        </w:rPr>
        <w:t xml:space="preserve">A single, low-commitment option at launch: ₱49 for a 3-day homepage/category boost. Intentionally simple — an easy impulse purchase rather than a marketing decision.</w:t>
      </w:r>
    </w:p>
    <w:p>
      <w:r>
        <w:br w:type="page"/>
      </w:r>
    </w:p>
    <w:p>
      <w:pPr>
        <w:pStyle w:val="Heading1"/>
        <w:pBdr>
          <w:bottom w:val="single" w:color="B36979" w:sz="8" w:space="6"/>
        </w:pBdr>
        <w:spacing w:after="200" w:before="480"/>
      </w:pPr>
      <w:r>
        <w:rPr>
          <w:rFonts w:ascii="Georgia" w:cs="Georgia" w:eastAsia="Georgia" w:hAnsi="Georgia"/>
          <w:b/>
          <w:bCs/>
          <w:color w:val="B36979"/>
          <w:sz w:val="30"/>
          <w:szCs w:val="30"/>
        </w:rPr>
        <w:t xml:space="preserve">6.  Channels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567F4F"/>
          <w:sz w:val="22"/>
          <w:szCs w:val="22"/>
        </w:rPr>
        <w:t xml:space="preserve">Seller Acquisition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Founder's personal crafter network — first, highest-trust cohort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Facebook crafter/hobbyist groups — highest-yield channel for volume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Instagram / TikTok — creators already posting handmade process content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School and university craft communities — direct match to the student segment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567F4F"/>
          <w:sz w:val="22"/>
          <w:szCs w:val="22"/>
        </w:rPr>
        <w:t xml:space="preserve">Buyer Acquisition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Facebook and Instagram/TikTok, weighted equally — different buyer psychology, both relevant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Sellers themselves as a distribution channel — each onboarded seller shares their storefront with their own existing audience</w:t>
      </w:r>
    </w:p>
    <w:p>
      <w:pPr>
        <w:pBdr>
          <w:left w:val="single" w:color="B36979" w:sz="24" w:space="8"/>
        </w:pBdr>
        <w:shd w:fill="E8D5D9" w:val="clear"/>
        <w:spacing w:after="160" w:before="100" w:line="276"/>
        <w:ind w:left="200"/>
      </w:pPr>
      <w:r>
        <w:rPr>
          <w:rFonts w:ascii="Calibri" w:cs="Calibri" w:eastAsia="Calibri" w:hAnsi="Calibri"/>
          <w:b/>
          <w:bCs/>
          <w:color w:val="B36979"/>
          <w:sz w:val="19"/>
          <w:szCs w:val="19"/>
        </w:rPr>
        <w:t xml:space="preserve">NOTE  </w:t>
      </w:r>
      <w:r>
        <w:rPr>
          <w:rFonts w:ascii="Calibri" w:cs="Calibri" w:eastAsia="Calibri" w:hAnsi="Calibri"/>
          <w:i/>
          <w:iCs/>
          <w:color w:val="1F2937"/>
          <w:sz w:val="20"/>
          <w:szCs w:val="20"/>
        </w:rPr>
        <w:t xml:space="preserve">Channels function as trust chains, not ad placements: the founder's personal trust transfers to first sellers, whose success stories transfer trust into crafter communities, which transfers to their buyers. This mirrors the platform's core value proposition — trust — and should stay explicit as channels are executed, not just treated as a media-buying decision.</w:t>
      </w:r>
    </w:p>
    <w:p>
      <w:pPr>
        <w:pStyle w:val="Heading1"/>
        <w:pBdr>
          <w:bottom w:val="single" w:color="B36979" w:sz="8" w:space="6"/>
        </w:pBdr>
        <w:spacing w:after="200" w:before="480"/>
      </w:pPr>
      <w:r>
        <w:rPr>
          <w:rFonts w:ascii="Georgia" w:cs="Georgia" w:eastAsia="Georgia" w:hAnsi="Georgia"/>
          <w:b/>
          <w:bCs/>
          <w:color w:val="B36979"/>
          <w:sz w:val="30"/>
          <w:szCs w:val="30"/>
        </w:rPr>
        <w:t xml:space="preserve">7.  Customer Relationships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00"/>
      </w:tblGrid>
      <w:tr>
        <w:tc>
          <w:tcPr>
            <w:tcW w:type="dxa" w:w="2400"/>
            <w:shd w:fill="FCFAF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B36979"/>
                <w:sz w:val="20"/>
                <w:szCs w:val="20"/>
              </w:rPr>
              <w:t xml:space="preserve">Primary model</w:t>
            </w:r>
          </w:p>
        </w:tc>
        <w:tc>
          <w:tcPr>
            <w:tcW w:type="dxa" w:w="7300"/>
            <w:shd w:fill="FCFAF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Self-service — FAQs and help-center content for both sellers and buyers, to protect founder time.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B36979"/>
                <w:sz w:val="20"/>
                <w:szCs w:val="20"/>
              </w:rPr>
              <w:t xml:space="preserve">Seller community</w:t>
            </w:r>
          </w:p>
        </w:tc>
        <w:tc>
          <w:tcPr>
            <w:tcW w:type="dxa" w:w="73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 private Facebook group, launched alongside the platform. Sellers support each other, reducing repeat 1:1 questions to the founder.</w:t>
            </w:r>
          </w:p>
        </w:tc>
      </w:tr>
      <w:tr>
        <w:tc>
          <w:tcPr>
            <w:tcW w:type="dxa" w:w="2400"/>
            <w:shd w:fill="FCFAF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B36979"/>
                <w:sz w:val="20"/>
                <w:szCs w:val="20"/>
              </w:rPr>
              <w:t xml:space="preserve">Founder involvement</w:t>
            </w:r>
          </w:p>
        </w:tc>
        <w:tc>
          <w:tcPr>
            <w:tcW w:type="dxa" w:w="7300"/>
            <w:shd w:fill="FCFAF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Reserved for what self-service and peer support cannot resolve — disputes, platform issues, trust/verification edge cases.</w:t>
            </w:r>
          </w:p>
        </w:tc>
      </w:tr>
    </w:tbl>
    <w:p>
      <w:pPr>
        <w:pStyle w:val="Heading1"/>
        <w:pBdr>
          <w:bottom w:val="single" w:color="B36979" w:sz="8" w:space="6"/>
        </w:pBdr>
        <w:spacing w:after="200" w:before="480"/>
      </w:pPr>
      <w:r>
        <w:rPr>
          <w:rFonts w:ascii="Georgia" w:cs="Georgia" w:eastAsia="Georgia" w:hAnsi="Georgia"/>
          <w:b/>
          <w:bCs/>
          <w:color w:val="B36979"/>
          <w:sz w:val="30"/>
          <w:szCs w:val="30"/>
        </w:rPr>
        <w:t xml:space="preserve">8.  Key Activities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Seller onboarding &amp; verification — application form, ID check, and manual spot-check of sample work (semi-automated)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Ongoing product &amp; listing curation — ad hoc and triggered re-review, not just at onboarding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Order &amp; payment orchestration — deposit collection, hold, and release logic via the payment partner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Trust Score management — tracking buyer and seller reliability over time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Dispute resolution — the judgment calls self-service cannot replace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Community management — running the private seller Facebook group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Platform development &amp; maintenance — solo-built, ongoing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Seller &amp; buyer acquisition — active outreach and relationship-building, not passive</w:t>
      </w:r>
    </w:p>
    <w:p>
      <w:pPr>
        <w:pStyle w:val="Heading1"/>
        <w:pBdr>
          <w:bottom w:val="single" w:color="B36979" w:sz="8" w:space="6"/>
        </w:pBdr>
        <w:spacing w:after="200" w:before="480"/>
      </w:pPr>
      <w:r>
        <w:rPr>
          <w:rFonts w:ascii="Georgia" w:cs="Georgia" w:eastAsia="Georgia" w:hAnsi="Georgia"/>
          <w:b/>
          <w:bCs/>
          <w:color w:val="B36979"/>
          <w:sz w:val="30"/>
          <w:szCs w:val="30"/>
        </w:rPr>
        <w:t xml:space="preserve">9.  Key Resources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The platform itself — storefront, order management, catalog, and messaging systems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Payment &amp; escrow infrastructure — the PayMongo integration underpinning every transaction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Trust Score &amp; verification system — a proprietary, increasingly defensible dataset over time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Seller relationships &amp; community — the founder's personal network and the private Facebook group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Brand &amp; curation standard — what “Knot &amp; Bloom” and “genuine handcrafted” concretely mean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Founder's own time and skillset — currently the platform's single largest bottleneck and point of failure</w:t>
      </w:r>
    </w:p>
    <w:p>
      <w:r>
        <w:br w:type="page"/>
      </w:r>
    </w:p>
    <w:p>
      <w:pPr>
        <w:pStyle w:val="Heading1"/>
        <w:pBdr>
          <w:bottom w:val="single" w:color="B36979" w:sz="8" w:space="6"/>
        </w:pBdr>
        <w:spacing w:after="200" w:before="480"/>
      </w:pPr>
      <w:r>
        <w:rPr>
          <w:rFonts w:ascii="Georgia" w:cs="Georgia" w:eastAsia="Georgia" w:hAnsi="Georgia"/>
          <w:b/>
          <w:bCs/>
          <w:color w:val="B36979"/>
          <w:sz w:val="30"/>
          <w:szCs w:val="30"/>
        </w:rPr>
        <w:t xml:space="preserve">10.  Key Partnerships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00"/>
      </w:tblGrid>
      <w:tr>
        <w:tc>
          <w:tcPr>
            <w:tcW w:type="dxa" w:w="2400"/>
            <w:shd w:fill="FCFAF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B36979"/>
                <w:sz w:val="20"/>
                <w:szCs w:val="20"/>
              </w:rPr>
              <w:t xml:space="preserve">PayMongo</w:t>
            </w:r>
          </w:p>
        </w:tc>
        <w:tc>
          <w:tcPr>
            <w:tcW w:type="dxa" w:w="7300"/>
            <w:shd w:fill="FCFAF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Core dependency — every commission, deposit, and payout runs through it, and it deducts its own processing fee from each transaction before payout. Actively monitored, not treated as a plug-and-play vendor.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B36979"/>
                <w:sz w:val="20"/>
                <w:szCs w:val="20"/>
              </w:rPr>
              <w:t xml:space="preserve">Couriers (e.g. J&amp;T)</w:t>
            </w:r>
          </w:p>
        </w:tc>
        <w:tc>
          <w:tcPr>
            <w:tcW w:type="dxa" w:w="73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Informal — sellers self-manage shipping and courier choice. No exclusive contract or integration required at launch.</w:t>
            </w:r>
          </w:p>
        </w:tc>
      </w:tr>
      <w:tr>
        <w:tc>
          <w:tcPr>
            <w:tcW w:type="dxa" w:w="2400"/>
            <w:shd w:fill="FCFAF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B36979"/>
                <w:sz w:val="20"/>
                <w:szCs w:val="20"/>
              </w:rPr>
              <w:t xml:space="preserve">DTI / BIR</w:t>
            </w:r>
          </w:p>
        </w:tc>
        <w:tc>
          <w:tcPr>
            <w:tcW w:type="dxa" w:w="7300"/>
            <w:shd w:fill="FCFAF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Required administrative relationship for Knot &amp; Bloom's legal operation as a business entity.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B36979"/>
                <w:sz w:val="20"/>
                <w:szCs w:val="20"/>
              </w:rPr>
              <w:t xml:space="preserve">Crafter communities &amp; school orgs</w:t>
            </w:r>
          </w:p>
        </w:tc>
        <w:tc>
          <w:tcPr>
            <w:tcW w:type="dxa" w:w="73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Informal, relationship-based — doubles as the seller acquisition pipeline (see Section 6).</w:t>
            </w:r>
          </w:p>
        </w:tc>
      </w:tr>
    </w:tbl>
    <w:p>
      <w:pPr>
        <w:spacing w:after="160" w:line="288"/>
      </w:pPr>
      <w:r>
        <w:rPr>
          <w:rFonts w:ascii="Calibri" w:cs="Calibri" w:eastAsia="Calibri" w:hAnsi="Calibri"/>
          <w:i w:val="false"/>
          <w:iCs w:val="false"/>
          <w:color w:val="1F2937"/>
          <w:sz w:val="21"/>
          <w:szCs w:val="21"/>
        </w:rPr>
        <w:t xml:space="preserve">The list is intentionally short. Because sellers self-handle logistics, the platform's real dependencies are payments (PayMongo) and people (community relationships) — not a web of vendor contracts. This suits a solo, self-funded founder.</w:t>
      </w:r>
    </w:p>
    <w:p>
      <w:pPr>
        <w:pStyle w:val="Heading1"/>
        <w:pBdr>
          <w:bottom w:val="single" w:color="B36979" w:sz="8" w:space="6"/>
        </w:pBdr>
        <w:spacing w:after="200" w:before="480"/>
      </w:pPr>
      <w:r>
        <w:rPr>
          <w:rFonts w:ascii="Georgia" w:cs="Georgia" w:eastAsia="Georgia" w:hAnsi="Georgia"/>
          <w:b/>
          <w:bCs/>
          <w:color w:val="B36979"/>
          <w:sz w:val="30"/>
          <w:szCs w:val="30"/>
        </w:rPr>
        <w:t xml:space="preserve">11.  Cost Structure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567F4F"/>
          <w:sz w:val="22"/>
          <w:szCs w:val="22"/>
        </w:rPr>
        <w:t xml:space="preserve">Phase 1 (Launch, ~80 active sellers)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00"/>
      </w:tblGrid>
      <w:tr>
        <w:tc>
          <w:tcPr>
            <w:tcW w:type="dxa" w:w="2400"/>
            <w:shd w:fill="FCFAF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B36979"/>
                <w:sz w:val="20"/>
                <w:szCs w:val="20"/>
              </w:rPr>
              <w:t xml:space="preserve">Hosting / tools</w:t>
            </w:r>
          </w:p>
        </w:tc>
        <w:tc>
          <w:tcPr>
            <w:tcW w:type="dxa" w:w="7300"/>
            <w:shd w:fill="FCFAF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~₱1,000–₱3,000 / month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B36979"/>
                <w:sz w:val="20"/>
                <w:szCs w:val="20"/>
              </w:rPr>
              <w:t xml:space="preserve">Paid operations help</w:t>
            </w:r>
          </w:p>
        </w:tc>
        <w:tc>
          <w:tcPr>
            <w:tcW w:type="dxa" w:w="73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₱0 — founder runs support, verification, and disputes personally</w:t>
            </w:r>
          </w:p>
        </w:tc>
      </w:tr>
      <w:tr>
        <w:tc>
          <w:tcPr>
            <w:tcW w:type="dxa" w:w="2400"/>
            <w:shd w:fill="FCFAF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B36979"/>
                <w:sz w:val="20"/>
                <w:szCs w:val="20"/>
              </w:rPr>
              <w:t xml:space="preserve">Marketing</w:t>
            </w:r>
          </w:p>
        </w:tc>
        <w:tc>
          <w:tcPr>
            <w:tcW w:type="dxa" w:w="7300"/>
            <w:shd w:fill="FCFAF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₱0 — organic / relationship-driven acquisition only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B36979"/>
                <w:sz w:val="20"/>
                <w:szCs w:val="20"/>
              </w:rPr>
              <w:t xml:space="preserve">Estimated monthly burn</w:t>
            </w:r>
          </w:p>
        </w:tc>
        <w:tc>
          <w:tcPr>
            <w:tcW w:type="dxa" w:w="73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~₱1,000–₱3,000 / month, self-funded</w:t>
            </w:r>
          </w:p>
        </w:tc>
      </w:tr>
    </w:tbl>
    <w:p>
      <w:pPr>
        <w:pBdr>
          <w:left w:val="single" w:color="B36979" w:sz="24" w:space="8"/>
        </w:pBdr>
        <w:shd w:fill="E8D5D9" w:val="clear"/>
        <w:spacing w:after="160" w:before="100" w:line="276"/>
        <w:ind w:left="200"/>
      </w:pPr>
      <w:r>
        <w:rPr>
          <w:rFonts w:ascii="Calibri" w:cs="Calibri" w:eastAsia="Calibri" w:hAnsi="Calibri"/>
          <w:b/>
          <w:bCs/>
          <w:color w:val="B36979"/>
          <w:sz w:val="19"/>
          <w:szCs w:val="19"/>
        </w:rPr>
        <w:t xml:space="preserve">NOTE  </w:t>
      </w:r>
      <w:r>
        <w:rPr>
          <w:rFonts w:ascii="Calibri" w:cs="Calibri" w:eastAsia="Calibri" w:hAnsi="Calibri"/>
          <w:i/>
          <w:iCs/>
          <w:color w:val="1F2937"/>
          <w:sz w:val="20"/>
          <w:szCs w:val="20"/>
        </w:rPr>
        <w:t xml:space="preserve">Paid part-time help and paid tools are deferred until commission revenue can fund them — not drawn from savings. This keeps Phase 1 burn low and the breakeven point close, which matters given the platform is bootstrapped with limited capital set aside.</w:t>
      </w:r>
    </w:p>
    <w:p>
      <w:pPr>
        <w:pBdr>
          <w:left w:val="single" w:color="B36979" w:sz="24" w:space="8"/>
        </w:pBdr>
        <w:shd w:fill="E8D5D9" w:val="clear"/>
        <w:spacing w:after="160" w:before="100" w:line="276"/>
        <w:ind w:left="200"/>
      </w:pPr>
      <w:r>
        <w:rPr>
          <w:rFonts w:ascii="Calibri" w:cs="Calibri" w:eastAsia="Calibri" w:hAnsi="Calibri"/>
          <w:b/>
          <w:bCs/>
          <w:color w:val="B36979"/>
          <w:sz w:val="19"/>
          <w:szCs w:val="19"/>
        </w:rPr>
        <w:t xml:space="preserve">NOTE  </w:t>
      </w:r>
      <w:r>
        <w:rPr>
          <w:rFonts w:ascii="Calibri" w:cs="Calibri" w:eastAsia="Calibri" w:hAnsi="Calibri"/>
          <w:i/>
          <w:iCs/>
          <w:color w:val="1F2937"/>
          <w:sz w:val="20"/>
          <w:szCs w:val="20"/>
        </w:rPr>
        <w:t xml:space="preserve">The 5% commission is Knot &amp; Bloom's revenue only. PayMongo deducts its own processing fee from the same held deposit before payout, on top of this commission — it is a real cost of doing business but not platform income. That combined cost (commission + PayMongo fee) is still well under the 20% deposit rate, which is the headroom this lower commission was set to protect.</w:t>
      </w:r>
    </w:p>
    <w:p>
      <w:pPr>
        <w:pStyle w:val="Heading1"/>
        <w:pBdr>
          <w:bottom w:val="single" w:color="B36979" w:sz="8" w:space="6"/>
        </w:pBdr>
        <w:spacing w:after="200" w:before="480"/>
      </w:pPr>
      <w:r>
        <w:rPr>
          <w:rFonts w:ascii="Georgia" w:cs="Georgia" w:eastAsia="Georgia" w:hAnsi="Georgia"/>
          <w:b/>
          <w:bCs/>
          <w:color w:val="B36979"/>
          <w:sz w:val="30"/>
          <w:szCs w:val="30"/>
        </w:rPr>
        <w:t xml:space="preserve">12.  Phased Rollout Strategy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567F4F"/>
          <w:sz w:val="22"/>
          <w:szCs w:val="22"/>
        </w:rPr>
        <w:t xml:space="preserve">Phase 1 — Launch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Free tier only — single flat 5% commission, no subscription complexity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Single promotion option — ₱49 / 3-day boost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Founder handles all operations personally; self-service support model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567F4F"/>
          <w:sz w:val="22"/>
          <w:szCs w:val="22"/>
        </w:rPr>
        <w:t xml:space="preserve">Phase 2 — Trigger to Unlock Growth / Studio Tiers</w:t>
      </w:r>
    </w:p>
    <w:p>
      <w:pPr>
        <w:spacing w:after="160" w:line="288"/>
      </w:pPr>
      <w:r>
        <w:rPr>
          <w:rFonts w:ascii="Calibri" w:cs="Calibri" w:eastAsia="Calibri" w:hAnsi="Calibri"/>
          <w:b/>
          <w:bCs/>
          <w:color w:val="B36979"/>
          <w:sz w:val="21"/>
          <w:szCs w:val="21"/>
        </w:rPr>
        <w:t xml:space="preserve">Trigger: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100 active sellers AND an average of 2+ sales per seller per month — both conditions required, not either alone. This avoids activating paid tiers on headcount that isn't actually transacting.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Introduce tiered commission (Free / Growth / Studio) once real transaction data replaces launch assumptions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Revisit promotion packages and seller-community moderation needs</w:t>
      </w:r>
    </w:p>
    <w:p>
      <w:pPr>
        <w:pStyle w:val="Heading1"/>
        <w:pBdr>
          <w:bottom w:val="single" w:color="B36979" w:sz="8" w:space="6"/>
        </w:pBdr>
        <w:spacing w:after="200" w:before="480"/>
      </w:pPr>
      <w:r>
        <w:rPr>
          <w:rFonts w:ascii="Georgia" w:cs="Georgia" w:eastAsia="Georgia" w:hAnsi="Georgia"/>
          <w:b/>
          <w:bCs/>
          <w:color w:val="B36979"/>
          <w:sz w:val="30"/>
          <w:szCs w:val="30"/>
        </w:rPr>
        <w:t xml:space="preserve">13.  Transaction Flow &amp; Core Policies</w:t>
      </w:r>
    </w:p>
    <w:p>
      <w:pPr>
        <w:spacing w:after="160" w:line="288"/>
      </w:pPr>
      <w:r>
        <w:rPr>
          <w:rFonts w:ascii="Calibri" w:cs="Calibri" w:eastAsia="Calibri" w:hAnsi="Calibri"/>
          <w:i w:val="false"/>
          <w:iCs w:val="false"/>
          <w:color w:val="1F2937"/>
          <w:sz w:val="21"/>
          <w:szCs w:val="21"/>
        </w:rPr>
        <w:t xml:space="preserve">Verified end-to-end using a worked example: a ₱850 custom order, from a buyer discovering a seller's storefront through to final payout.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567F4F"/>
          <w:sz w:val="22"/>
          <w:szCs w:val="22"/>
        </w:rPr>
        <w:t xml:space="preserve">13.1  How Money Moves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Buyer pays a 20% deposit through the payment partner (e.g. ₱170 on a ₱850 order); funds are held in escrow, not by Knot &amp; Bloom directly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Remaining 80% is paid as true cash-on-delivery, directly between buyer and seller — this portion never touches the platform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On order completion, PayMongo deducts its own processing fee from the held deposit, Knot &amp; Bloom's commission (5% of the full order value) is deducted next, and the remainder is released to the seller</w:t>
      </w:r>
    </w:p>
    <w:p>
      <w:pPr>
        <w:pBdr>
          <w:left w:val="single" w:color="B36979" w:sz="24" w:space="8"/>
        </w:pBdr>
        <w:shd w:fill="E8D5D9" w:val="clear"/>
        <w:spacing w:after="160" w:before="100" w:line="276"/>
        <w:ind w:left="200"/>
      </w:pPr>
      <w:r>
        <w:rPr>
          <w:rFonts w:ascii="Calibri" w:cs="Calibri" w:eastAsia="Calibri" w:hAnsi="Calibri"/>
          <w:b/>
          <w:bCs/>
          <w:color w:val="B36979"/>
          <w:sz w:val="19"/>
          <w:szCs w:val="19"/>
        </w:rPr>
        <w:t xml:space="preserve">NOTE  </w:t>
      </w:r>
      <w:r>
        <w:rPr>
          <w:rFonts w:ascii="Calibri" w:cs="Calibri" w:eastAsia="Calibri" w:hAnsi="Calibri"/>
          <w:i/>
          <w:iCs/>
          <w:color w:val="1F2937"/>
          <w:sz w:val="20"/>
          <w:szCs w:val="20"/>
        </w:rPr>
        <w:t xml:space="preserve">This mechanism only works because the deposit rate (20%) is set higher than the combined cost of the commission (5%) and PayMongo's own processing fee. This is a hard constraint: commission plus the PayMongo fee may never exceed the prevailing deposit rate, or there is no held balance to deduct them from.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567F4F"/>
          <w:sz w:val="22"/>
          <w:szCs w:val="22"/>
        </w:rPr>
        <w:t xml:space="preserve">13.2  Cancellation &amp; Refund Policy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Deposit is non-refundable if the buyer cancels — protects the seller, who may have already purchased materials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Deposit is refundable if the seller fails to fulfill the order — protects the buyer from a non-performing seller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567F4F"/>
          <w:sz w:val="22"/>
          <w:szCs w:val="22"/>
        </w:rPr>
        <w:t xml:space="preserve">13.3  Buyer Protection Policy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The 20% deposit is the platform's only real escrow lever, and the only funds it can act on directly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The 80% cash-COD portion is peer-to-peer once it changes hands; Knot &amp; Bloom does not mediate or hold these funds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Disputes on the cash portion are resolved directly between buyer and seller; the platform's enforcement is reputational — the Trust Score — not a refund from held funds</w:t>
      </w:r>
    </w:p>
    <w:p>
      <w:pPr>
        <w:pBdr>
          <w:left w:val="single" w:color="B36979" w:sz="24" w:space="8"/>
        </w:pBdr>
        <w:shd w:fill="E8D5D9" w:val="clear"/>
        <w:spacing w:after="160" w:before="100" w:line="276"/>
        <w:ind w:left="200"/>
      </w:pPr>
      <w:r>
        <w:rPr>
          <w:rFonts w:ascii="Calibri" w:cs="Calibri" w:eastAsia="Calibri" w:hAnsi="Calibri"/>
          <w:b/>
          <w:bCs/>
          <w:color w:val="B36979"/>
          <w:sz w:val="19"/>
          <w:szCs w:val="19"/>
        </w:rPr>
        <w:t xml:space="preserve">NOTE  </w:t>
      </w:r>
      <w:r>
        <w:rPr>
          <w:rFonts w:ascii="Calibri" w:cs="Calibri" w:eastAsia="Calibri" w:hAnsi="Calibri"/>
          <w:i/>
          <w:iCs/>
          <w:color w:val="1F2937"/>
          <w:sz w:val="20"/>
          <w:szCs w:val="20"/>
        </w:rPr>
        <w:t xml:space="preserve">This is a genuine, deliberate limit on buyer protection — not an oversight. It should be stated plainly to buyers at checkout so expectations match what the platform can structurally deliver, rather than left implied.</w:t>
      </w:r>
    </w:p>
    <w:p>
      <w:r>
        <w:br w:type="page"/>
      </w:r>
    </w:p>
    <w:p>
      <w:pPr>
        <w:pStyle w:val="Heading1"/>
        <w:pBdr>
          <w:bottom w:val="single" w:color="B36979" w:sz="8" w:space="6"/>
        </w:pBdr>
        <w:spacing w:after="200" w:before="480"/>
      </w:pPr>
      <w:r>
        <w:rPr>
          <w:rFonts w:ascii="Georgia" w:cs="Georgia" w:eastAsia="Georgia" w:hAnsi="Georgia"/>
          <w:b/>
          <w:bCs/>
          <w:color w:val="B36979"/>
          <w:sz w:val="30"/>
          <w:szCs w:val="30"/>
        </w:rPr>
        <w:t xml:space="preserve">14.  Key Risks &amp; Open Considerations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00"/>
      </w:tblGrid>
      <w:tr>
        <w:tc>
          <w:tcPr>
            <w:tcW w:type="dxa" w:w="2400"/>
            <w:shd w:fill="FCFAF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B36979"/>
                <w:sz w:val="20"/>
                <w:szCs w:val="20"/>
              </w:rPr>
              <w:t xml:space="preserve">Founder as single point of failure</w:t>
            </w:r>
          </w:p>
        </w:tc>
        <w:tc>
          <w:tcPr>
            <w:tcW w:type="dxa" w:w="7300"/>
            <w:shd w:fill="FCFAF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Curation, dispute resolution, and platform maintenance currently depend entirely on one person's availability.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B36979"/>
                <w:sz w:val="20"/>
                <w:szCs w:val="20"/>
              </w:rPr>
              <w:t xml:space="preserve">Commission vs. deposit ceiling</w:t>
            </w:r>
          </w:p>
        </w:tc>
        <w:tc>
          <w:tcPr>
            <w:tcW w:type="dxa" w:w="73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Any future commission rate, combined with PayMongo's own processing fee, must stay below the deposit rate (20%), or the payout mechanism breaks.</w:t>
            </w:r>
          </w:p>
        </w:tc>
      </w:tr>
      <w:tr>
        <w:tc>
          <w:tcPr>
            <w:tcW w:type="dxa" w:w="2400"/>
            <w:shd w:fill="FCFAF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B36979"/>
                <w:sz w:val="20"/>
                <w:szCs w:val="20"/>
              </w:rPr>
              <w:t xml:space="preserve">Buyer-protection promise vs. reality</w:t>
            </w:r>
          </w:p>
        </w:tc>
        <w:tc>
          <w:tcPr>
            <w:tcW w:type="dxa" w:w="7300"/>
            <w:shd w:fill="FCFAF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“As safe as a major retailer” holds for the deposit-covered portion; the cash-COD portion has real, disclosed limits.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B36979"/>
                <w:sz w:val="20"/>
                <w:szCs w:val="20"/>
              </w:rPr>
              <w:t xml:space="preserve">Payment partner dependency</w:t>
            </w:r>
          </w:p>
        </w:tc>
        <w:tc>
          <w:tcPr>
            <w:tcW w:type="dxa" w:w="73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PayMongo downtime or policy change directly halts the transaction flow — no current fallback.</w:t>
            </w:r>
          </w:p>
        </w:tc>
      </w:tr>
      <w:tr>
        <w:tc>
          <w:tcPr>
            <w:tcW w:type="dxa" w:w="2400"/>
            <w:shd w:fill="FCFAF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B36979"/>
                <w:sz w:val="20"/>
                <w:szCs w:val="20"/>
              </w:rPr>
              <w:t xml:space="preserve">Growth pace assumption</w:t>
            </w:r>
          </w:p>
        </w:tc>
        <w:tc>
          <w:tcPr>
            <w:tcW w:type="dxa" w:w="7300"/>
            <w:shd w:fill="FCFAF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Word-of-mouth and personal outreach are strong first channels, but multi-week ramp time — not overnight — should be the planning assumption.</w:t>
            </w:r>
          </w:p>
        </w:tc>
      </w:tr>
    </w:tbl>
    <w:p>
      <w:pPr>
        <w:spacing w:after="160" w:line="288"/>
      </w:pPr>
      <w:r>
        <w:rPr>
          <w:rFonts w:ascii="Calibri" w:cs="Calibri" w:eastAsia="Calibri" w:hAnsi="Calibri"/>
          <w:i/>
          <w:iCs/>
          <w:color w:val="1F2937"/>
          <w:sz w:val="21"/>
          <w:szCs w:val="21"/>
        </w:rPr>
        <w:t xml:space="preserve">This document reflects the model as reasoned through to date. Figures marked as estimates (commission %, subscription pricing, cost ranges) are directional starting points meant to be pressure-tested against real seller and buyer behavior post-launch, not treated as final.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4B5563"/>
        <w:sz w:val="16"/>
        <w:szCs w:val="16"/>
      </w:rPr>
      <w:t xml:space="preserve">Page </w:t>
    </w:r>
    <w:r>
      <w:rPr>
        <w:rFonts w:ascii="Calibri" w:cs="Calibri" w:eastAsia="Calibri" w:hAnsi="Calibri"/>
        <w:color w:val="4B5563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4B5563"/>
        <w:sz w:val="16"/>
        <w:szCs w:val="16"/>
      </w:rPr>
      <w:t xml:space="preserve"> of </w:t>
    </w:r>
    <w:r>
      <w:rPr>
        <w:rFonts w:ascii="Calibri" w:cs="Calibri" w:eastAsia="Calibri" w:hAnsi="Calibri"/>
        <w:color w:val="4B5563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CFC0" w:sz="4" w:space="4"/>
      </w:pBdr>
      <w:jc w:val="right"/>
    </w:pPr>
    <w:r>
      <w:rPr>
        <w:rFonts w:ascii="Calibri" w:cs="Calibri" w:eastAsia="Calibri" w:hAnsi="Calibri"/>
        <w:color w:val="4B5563"/>
        <w:sz w:val="16"/>
        <w:szCs w:val="16"/>
      </w:rPr>
      <w:t xml:space="preserve">KNOT &amp; BLOOM  ·  BUSINESS MODEL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  <w:lvl w:ilvl="1" w15:tentative="1">
      <w:start w:val="1"/>
      <w:numFmt w:val="bullet"/>
      <w:lvlText w:val="–"/>
      <w:lvlJc w:val="left"/>
      <w:pPr>
        <w:ind w:left="8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B36979"/>
      <w:sz w:val="32"/>
      <w:szCs w:val="32"/>
    </w:rPr>
  </w:style>
  <w:style w:type="paragraph" w:styleId="Heading2">
    <w:name w:val="Heading 2"/>
    <w:basedOn w:val="Normal"/>
    <w:next w:val="Normal"/>
    <w:qFormat/>
    <w:rPr>
      <w:color w:val="B36979"/>
      <w:sz w:val="26"/>
      <w:szCs w:val="26"/>
    </w:rPr>
  </w:style>
  <w:style w:type="paragraph" w:styleId="Heading3">
    <w:name w:val="Heading 3"/>
    <w:basedOn w:val="Normal"/>
    <w:next w:val="Normal"/>
    <w:qFormat/>
    <w:rPr>
      <w:color w:val="8F5461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B36979"/>
    </w:rPr>
  </w:style>
  <w:style w:type="paragraph" w:styleId="Heading5">
    <w:name w:val="Heading 5"/>
    <w:basedOn w:val="Normal"/>
    <w:next w:val="Normal"/>
    <w:qFormat/>
    <w:rPr>
      <w:color w:val="B36979"/>
    </w:rPr>
  </w:style>
  <w:style w:type="paragraph" w:styleId="Heading6">
    <w:name w:val="Heading 6"/>
    <w:basedOn w:val="Normal"/>
    <w:next w:val="Normal"/>
    <w:qFormat/>
    <w:rPr>
      <w:color w:val="8F5461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B36979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Knot &amp; Bloom — Business Model</dc:title>
  <dc:creator>Knot &amp; Bloom</dc:creator>
  <cp:lastModifiedBy>Un-named</cp:lastModifiedBy>
  <cp:revision>1</cp:revision>
  <dcterms:created xsi:type="dcterms:W3CDTF">2026-08-01T14:47:40.535Z</dcterms:created>
  <dcterms:modified xsi:type="dcterms:W3CDTF">2026-08-01T14:47:40.535Z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