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F35645"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F35645"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F35645"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F35645"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F35645"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F35645"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F35645"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F35645"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F35645"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F35645"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F35645"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F35645"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F35645"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F35645"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F35645"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F35645"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F35645"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F35645"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F35645"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F35645"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F35645"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F35645"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F35645"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F35645"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F35645"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F35645"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F35645"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F35645"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F35645"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F35645"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lastRenderedPageBreak/>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w:t>
      </w:r>
      <w:r w:rsidR="00180B31">
        <w:rPr>
          <w:rFonts w:hint="eastAsia"/>
        </w:rPr>
        <w:lastRenderedPageBreak/>
        <w:t>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lastRenderedPageBreak/>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F35645"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w:t>
      </w:r>
      <w:r w:rsidR="007B3A57">
        <w:rPr>
          <w:rFonts w:hint="eastAsia"/>
        </w:rPr>
        <w:lastRenderedPageBreak/>
        <w:t>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lastRenderedPageBreak/>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lastRenderedPageBreak/>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F35645"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F35645"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F35645"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lastRenderedPageBreak/>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lastRenderedPageBreak/>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lastRenderedPageBreak/>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lastRenderedPageBreak/>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lastRenderedPageBreak/>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lastRenderedPageBreak/>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lastRenderedPageBreak/>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lastRenderedPageBreak/>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lastRenderedPageBreak/>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w:t>
      </w:r>
      <w:r w:rsidR="00594AF6">
        <w:rPr>
          <w:rFonts w:hint="eastAsia"/>
        </w:rPr>
        <w:lastRenderedPageBreak/>
        <w:t>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F35645"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F35645"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w:t>
      </w:r>
      <w:r w:rsidR="00C4605B">
        <w:rPr>
          <w:rFonts w:ascii="Arial" w:hAnsi="Arial" w:cs="Arial" w:hint="eastAsia"/>
          <w:color w:val="34302D"/>
          <w:shd w:val="clear" w:color="auto" w:fill="FFFFFF"/>
        </w:rPr>
        <w:lastRenderedPageBreak/>
        <w:t>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lastRenderedPageBreak/>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w:t>
      </w:r>
      <w:r w:rsidR="000319BD">
        <w:rPr>
          <w:rFonts w:hint="eastAsia"/>
        </w:rPr>
        <w:lastRenderedPageBreak/>
        <w:t>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lastRenderedPageBreak/>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lastRenderedPageBreak/>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lastRenderedPageBreak/>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lastRenderedPageBreak/>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lastRenderedPageBreak/>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lastRenderedPageBreak/>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w:t>
      </w:r>
      <w:r w:rsidR="00F12AD4">
        <w:rPr>
          <w:rFonts w:ascii="Arial" w:hAnsi="Arial" w:cs="Arial" w:hint="eastAsia"/>
          <w:color w:val="34302D"/>
          <w:shd w:val="clear" w:color="auto" w:fill="FFFFFF"/>
        </w:rPr>
        <w:lastRenderedPageBreak/>
        <w:t>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w:t>
      </w:r>
      <w:r>
        <w:rPr>
          <w:rFonts w:ascii="Arial" w:hAnsi="Arial" w:cs="Arial" w:hint="eastAsia"/>
          <w:color w:val="34302D"/>
          <w:shd w:val="clear" w:color="auto" w:fill="FFFFFF"/>
        </w:rPr>
        <w:lastRenderedPageBreak/>
        <w:t>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lastRenderedPageBreak/>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lastRenderedPageBreak/>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lastRenderedPageBreak/>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w:t>
      </w:r>
      <w:r>
        <w:rPr>
          <w:rFonts w:ascii="Arial" w:hAnsi="Arial" w:cs="Arial" w:hint="eastAsia"/>
          <w:color w:val="34302D"/>
          <w:shd w:val="clear" w:color="auto" w:fill="FFFFFF"/>
        </w:rPr>
        <w:lastRenderedPageBreak/>
        <w:t>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lastRenderedPageBreak/>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lastRenderedPageBreak/>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lastRenderedPageBreak/>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lastRenderedPageBreak/>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lastRenderedPageBreak/>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lastRenderedPageBreak/>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w:t>
      </w:r>
      <w:r w:rsidR="001C2D7B">
        <w:rPr>
          <w:rFonts w:hint="eastAsia"/>
        </w:rPr>
        <w:lastRenderedPageBreak/>
        <w:t>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w:t>
      </w:r>
      <w:r w:rsidR="001263E8">
        <w:lastRenderedPageBreak/>
        <w:t>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lastRenderedPageBreak/>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lastRenderedPageBreak/>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lastRenderedPageBreak/>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lastRenderedPageBreak/>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lastRenderedPageBreak/>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lastRenderedPageBreak/>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w:t>
      </w:r>
      <w:r w:rsidR="005D151C">
        <w:rPr>
          <w:rFonts w:hint="eastAsia"/>
        </w:rPr>
        <w:lastRenderedPageBreak/>
        <w:t>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lastRenderedPageBreak/>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lastRenderedPageBreak/>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lastRenderedPageBreak/>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lastRenderedPageBreak/>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lastRenderedPageBreak/>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lastRenderedPageBreak/>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lastRenderedPageBreak/>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lastRenderedPageBreak/>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lastRenderedPageBreak/>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lastRenderedPageBreak/>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lastRenderedPageBreak/>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lastRenderedPageBreak/>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lastRenderedPageBreak/>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lastRenderedPageBreak/>
        <w:t>连接点。程序执行时的点，如方法的执行或异常的处理。在</w:t>
      </w:r>
      <w:r>
        <w:rPr>
          <w:rFonts w:hint="eastAsia"/>
        </w:rPr>
        <w:t>Spring</w:t>
      </w:r>
      <w:r>
        <w:t xml:space="preserve"> AOP</w:t>
      </w:r>
      <w:r>
        <w:rPr>
          <w:rFonts w:hint="eastAsia"/>
        </w:rPr>
        <w:t>中，连接点总是表示方法的执行。</w:t>
      </w:r>
    </w:p>
    <w:p w14:paraId="331356C6" w14:textId="76167E3F" w:rsidR="004564CF" w:rsidRDefault="004564CF" w:rsidP="00B51D3C">
      <w:pPr>
        <w:pStyle w:val="a1"/>
      </w:pPr>
      <w:r>
        <w:t>A</w:t>
      </w:r>
      <w:r>
        <w:rPr>
          <w:rFonts w:hint="eastAsia"/>
        </w:rPr>
        <w:t>dvice</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22D88A89" w:rsidR="00F072DC" w:rsidRDefault="00F6162C" w:rsidP="00B51D3C">
      <w:pPr>
        <w:pStyle w:val="a1"/>
      </w:pPr>
      <w:r>
        <w:rPr>
          <w:rFonts w:hint="eastAsia"/>
        </w:rPr>
        <w:t>introduction</w:t>
      </w:r>
      <w:r w:rsidR="003D41F3">
        <w:rPr>
          <w:rFonts w:hint="eastAsia"/>
        </w:rPr>
        <w:t>：声明其他的</w:t>
      </w:r>
      <w:r w:rsidR="00A24880">
        <w:rPr>
          <w:rFonts w:hint="eastAsia"/>
        </w:rPr>
        <w:t>方法和成员变量以</w:t>
      </w:r>
      <w:r>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Pr>
          <w:rFonts w:hint="eastAsia"/>
        </w:rPr>
        <w:t>增加新的接口（及其相关实现类）。例如，你可以利用</w:t>
      </w:r>
      <w:r>
        <w:rPr>
          <w:rFonts w:hint="eastAsia"/>
        </w:rPr>
        <w:t>introduction</w:t>
      </w:r>
      <w:r>
        <w:rPr>
          <w:rFonts w:hint="eastAsia"/>
        </w:rPr>
        <w:t>来使得</w:t>
      </w:r>
      <w:r>
        <w:rPr>
          <w:rFonts w:hint="eastAsia"/>
        </w:rPr>
        <w:t>bean</w:t>
      </w:r>
      <w:r>
        <w:rPr>
          <w:rFonts w:hint="eastAsia"/>
        </w:rPr>
        <w:t>实现</w:t>
      </w:r>
      <w:r>
        <w:rPr>
          <w:rFonts w:ascii="Consolas" w:hAnsi="Consolas"/>
          <w:sz w:val="23"/>
          <w:szCs w:val="23"/>
          <w:shd w:val="clear" w:color="auto" w:fill="F7F7F8"/>
        </w:rPr>
        <w:t>IsModified</w:t>
      </w:r>
      <w:r>
        <w:rPr>
          <w:rFonts w:hint="eastAsia"/>
        </w:rPr>
        <w:t>接口，以简化缓存。（</w:t>
      </w:r>
      <w:r>
        <w:rPr>
          <w:rFonts w:hint="eastAsia"/>
        </w:rPr>
        <w:t>introduction</w:t>
      </w:r>
      <w:r>
        <w:rPr>
          <w:rFonts w:hint="eastAsia"/>
        </w:rPr>
        <w:t>在</w:t>
      </w:r>
      <w:r>
        <w:rPr>
          <w:rFonts w:hint="eastAsia"/>
        </w:rPr>
        <w:t>A</w:t>
      </w:r>
      <w:r>
        <w:t>spectJ</w:t>
      </w:r>
      <w:r>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lastRenderedPageBreak/>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lastRenderedPageBreak/>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w:t>
      </w:r>
      <w:r w:rsidR="003F620B">
        <w:rPr>
          <w:rFonts w:hint="eastAsia"/>
        </w:rPr>
        <w:t>你的代码库中</w:t>
      </w:r>
      <w:r w:rsidR="003F620B">
        <w:rPr>
          <w:rFonts w:hint="eastAsia"/>
        </w:rPr>
        <w:t>：提供该选择的基本原理是因为在某种特定情况下为了可读性或完成某种特殊的功能。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w:t>
      </w:r>
      <w:r>
        <w:rPr>
          <w:rFonts w:hint="eastAsia"/>
        </w:rPr>
        <w:lastRenderedPageBreak/>
        <w:t>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spectJ</w:t>
        </w:r>
        <w:r>
          <w:rPr>
            <w:rStyle w:val="a8"/>
            <w:rFonts w:ascii="Arial" w:hAnsi="Arial" w:cs="Arial"/>
            <w:color w:val="487A28"/>
            <w:shd w:val="clear" w:color="auto" w:fill="EBF1E7"/>
          </w:rPr>
          <w:t xml:space="preserve">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lastRenderedPageBreak/>
        <w:t>声明一个切面</w:t>
      </w:r>
    </w:p>
    <w:p w14:paraId="51E4A7E9" w14:textId="77777777" w:rsidR="00C76213" w:rsidRPr="00C76213" w:rsidRDefault="00C76213" w:rsidP="00C76213">
      <w:pPr>
        <w:ind w:firstLine="420"/>
        <w:rPr>
          <w:rFonts w:hint="eastAsia"/>
        </w:rPr>
      </w:pPr>
      <w:bookmarkStart w:id="1" w:name="_GoBack"/>
      <w:bookmarkEnd w:id="1"/>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3"/>
      <w:headerReference w:type="default" r:id="rId254"/>
      <w:footerReference w:type="even" r:id="rId255"/>
      <w:footerReference w:type="default" r:id="rId256"/>
      <w:headerReference w:type="first" r:id="rId257"/>
      <w:footerReference w:type="first" r:id="rId25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7AA37" w14:textId="77777777" w:rsidR="00E62D32" w:rsidRDefault="00E62D32" w:rsidP="00E61F7E">
      <w:pPr>
        <w:ind w:firstLine="420"/>
      </w:pPr>
      <w:r>
        <w:separator/>
      </w:r>
    </w:p>
  </w:endnote>
  <w:endnote w:type="continuationSeparator" w:id="0">
    <w:p w14:paraId="400D6071" w14:textId="77777777" w:rsidR="00E62D32" w:rsidRDefault="00E62D32"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F35645" w:rsidRDefault="00F35645">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F35645" w:rsidRDefault="00F35645">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F35645" w:rsidRDefault="00F35645">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A6919" w14:textId="77777777" w:rsidR="00E62D32" w:rsidRDefault="00E62D32" w:rsidP="00E61F7E">
      <w:pPr>
        <w:ind w:firstLine="420"/>
      </w:pPr>
      <w:r>
        <w:separator/>
      </w:r>
    </w:p>
  </w:footnote>
  <w:footnote w:type="continuationSeparator" w:id="0">
    <w:p w14:paraId="4C01F64C" w14:textId="77777777" w:rsidR="00E62D32" w:rsidRDefault="00E62D32"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F35645" w:rsidRDefault="00F35645">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F35645" w:rsidRDefault="00F35645">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F35645" w:rsidRDefault="00F35645">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BE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A5352"/>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5095A"/>
    <w:rsid w:val="00651701"/>
    <w:rsid w:val="006523CD"/>
    <w:rsid w:val="006534C9"/>
    <w:rsid w:val="006554A7"/>
    <w:rsid w:val="00655D3D"/>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57147"/>
    <w:rsid w:val="00A61167"/>
    <w:rsid w:val="00A61EE1"/>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8E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footer" Target="footer3.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fontTable" Target="fontTable.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theme" Target="theme/theme1.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eader" Target="head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eader" Target="head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footer" Target="footer1.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footer" Target="footer2.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8D18B-1E6E-43A0-9508-CF1AD5EE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219238</TotalTime>
  <Pages>1</Pages>
  <Words>39851</Words>
  <Characters>227151</Characters>
  <Application>Microsoft Office Word</Application>
  <DocSecurity>0</DocSecurity>
  <Lines>1892</Lines>
  <Paragraphs>532</Paragraphs>
  <ScaleCrop>false</ScaleCrop>
  <Company/>
  <LinksUpToDate>false</LinksUpToDate>
  <CharactersWithSpaces>266470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145</cp:revision>
  <dcterms:created xsi:type="dcterms:W3CDTF">2019-01-15T14:29:00Z</dcterms:created>
  <dcterms:modified xsi:type="dcterms:W3CDTF">2020-01-20T09:59:00Z</dcterms:modified>
</cp:coreProperties>
</file>