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9246B5"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9246B5"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9246B5"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9246B5"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9246B5"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9246B5"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9246B5"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9246B5"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9246B5"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9246B5"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9246B5"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9246B5"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9246B5"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9246B5"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9246B5"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9246B5"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9246B5"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9246B5"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9246B5"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9246B5"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9246B5"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9246B5"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9246B5"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9246B5"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9246B5"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9246B5"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9246B5"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9246B5"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9246B5"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9246B5"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lastRenderedPageBreak/>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lastRenderedPageBreak/>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lastRenderedPageBreak/>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w:t>
      </w:r>
      <w:r>
        <w:rPr>
          <w:rFonts w:hint="eastAsia"/>
        </w:rPr>
        <w:lastRenderedPageBreak/>
        <w:t>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lastRenderedPageBreak/>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w:t>
      </w:r>
      <w:r w:rsidR="00DE395C">
        <w:rPr>
          <w:rFonts w:hint="eastAsia"/>
        </w:rPr>
        <w:lastRenderedPageBreak/>
        <w:t>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lastRenderedPageBreak/>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9246B5"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9246B5"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9246B5"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9246B5"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9246B5"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9246B5"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lastRenderedPageBreak/>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lastRenderedPageBreak/>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lastRenderedPageBreak/>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lastRenderedPageBreak/>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lastRenderedPageBreak/>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lastRenderedPageBreak/>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 xml:space="preserve">Expression support for defining </w:t>
        </w:r>
        <w:r w:rsidR="009F2CA6" w:rsidRPr="009F2CA6">
          <w:rPr>
            <w:rStyle w:val="a8"/>
          </w:rPr>
          <w:lastRenderedPageBreak/>
          <w:t>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lastRenderedPageBreak/>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lastRenderedPageBreak/>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w:t>
      </w:r>
      <w:r w:rsidR="00DF0B25">
        <w:rPr>
          <w:rFonts w:hint="eastAsia"/>
        </w:rPr>
        <w:lastRenderedPageBreak/>
        <w:t>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lastRenderedPageBreak/>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lastRenderedPageBreak/>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lastRenderedPageBreak/>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lastRenderedPageBreak/>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lastRenderedPageBreak/>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lastRenderedPageBreak/>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lastRenderedPageBreak/>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lastRenderedPageBreak/>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lastRenderedPageBreak/>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lastRenderedPageBreak/>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lastRenderedPageBreak/>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lastRenderedPageBreak/>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rPr>
          <w:rFonts w:hint="eastAsia"/>
        </w:rPr>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rPr>
          <w:rFonts w:hint="eastAsia"/>
        </w:rPr>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bookmarkStart w:id="1" w:name="_GoBack"/>
      <w:bookmarkEnd w:id="1"/>
    </w:p>
    <w:p w14:paraId="78102082" w14:textId="1DBC1690" w:rsidR="00151F95" w:rsidRDefault="00151F95" w:rsidP="000308F5">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2228D1C3" w:rsidR="00151F95" w:rsidRDefault="00151F95" w:rsidP="000308F5">
      <w:pPr>
        <w:ind w:firstLine="420"/>
      </w:pPr>
    </w:p>
    <w:p w14:paraId="1303F7BD" w14:textId="1A43D598" w:rsidR="00151F95"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39"/>
      <w:headerReference w:type="default" r:id="rId240"/>
      <w:footerReference w:type="even" r:id="rId241"/>
      <w:footerReference w:type="default" r:id="rId242"/>
      <w:headerReference w:type="first" r:id="rId243"/>
      <w:footerReference w:type="first" r:id="rId24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C464B" w14:textId="77777777" w:rsidR="00D641DD" w:rsidRDefault="00D641DD" w:rsidP="00E61F7E">
      <w:pPr>
        <w:ind w:firstLine="420"/>
      </w:pPr>
      <w:r>
        <w:separator/>
      </w:r>
    </w:p>
  </w:endnote>
  <w:endnote w:type="continuationSeparator" w:id="0">
    <w:p w14:paraId="22D52C65" w14:textId="77777777" w:rsidR="00D641DD" w:rsidRDefault="00D641DD"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9246B5" w:rsidRDefault="009246B5">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9246B5" w:rsidRDefault="009246B5">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9246B5" w:rsidRDefault="009246B5">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58495" w14:textId="77777777" w:rsidR="00D641DD" w:rsidRDefault="00D641DD" w:rsidP="00E61F7E">
      <w:pPr>
        <w:ind w:firstLine="420"/>
      </w:pPr>
      <w:r>
        <w:separator/>
      </w:r>
    </w:p>
  </w:footnote>
  <w:footnote w:type="continuationSeparator" w:id="0">
    <w:p w14:paraId="1DC75D8F" w14:textId="77777777" w:rsidR="00D641DD" w:rsidRDefault="00D641DD"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9246B5" w:rsidRDefault="009246B5">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9246B5" w:rsidRDefault="009246B5">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9246B5" w:rsidRDefault="009246B5">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6648"/>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6B7F"/>
    <w:rsid w:val="00457DC8"/>
    <w:rsid w:val="00461EAD"/>
    <w:rsid w:val="00463319"/>
    <w:rsid w:val="00464374"/>
    <w:rsid w:val="00464451"/>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5095A"/>
    <w:rsid w:val="00651701"/>
    <w:rsid w:val="006523CD"/>
    <w:rsid w:val="006534C9"/>
    <w:rsid w:val="006554A7"/>
    <w:rsid w:val="00655D3D"/>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8B6"/>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636"/>
    <w:rsid w:val="006E7D8E"/>
    <w:rsid w:val="006E7E99"/>
    <w:rsid w:val="006F0450"/>
    <w:rsid w:val="006F5209"/>
    <w:rsid w:val="006F6107"/>
    <w:rsid w:val="006F61B4"/>
    <w:rsid w:val="006F671C"/>
    <w:rsid w:val="00700F05"/>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206BD"/>
    <w:rsid w:val="00720E9C"/>
    <w:rsid w:val="0072190A"/>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437D"/>
    <w:rsid w:val="0074503B"/>
    <w:rsid w:val="007456F4"/>
    <w:rsid w:val="00747379"/>
    <w:rsid w:val="007502F5"/>
    <w:rsid w:val="00754443"/>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314C"/>
    <w:rsid w:val="0090566A"/>
    <w:rsid w:val="00905CC3"/>
    <w:rsid w:val="00912CBC"/>
    <w:rsid w:val="00915A30"/>
    <w:rsid w:val="00915AC4"/>
    <w:rsid w:val="00917603"/>
    <w:rsid w:val="00920045"/>
    <w:rsid w:val="0092169E"/>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CD3"/>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57147"/>
    <w:rsid w:val="00A61167"/>
    <w:rsid w:val="00A61EE1"/>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7753"/>
    <w:rsid w:val="00D8797B"/>
    <w:rsid w:val="00D91B40"/>
    <w:rsid w:val="00D92523"/>
    <w:rsid w:val="00D930B6"/>
    <w:rsid w:val="00D95760"/>
    <w:rsid w:val="00D95BFD"/>
    <w:rsid w:val="00DA3AB7"/>
    <w:rsid w:val="00DA3BCD"/>
    <w:rsid w:val="00DB00C3"/>
    <w:rsid w:val="00DB1820"/>
    <w:rsid w:val="00DB1D98"/>
    <w:rsid w:val="00DB2450"/>
    <w:rsid w:val="00DB2760"/>
    <w:rsid w:val="00DB2CA4"/>
    <w:rsid w:val="00DB6823"/>
    <w:rsid w:val="00DB778A"/>
    <w:rsid w:val="00DC156A"/>
    <w:rsid w:val="00DC1923"/>
    <w:rsid w:val="00DC1EBB"/>
    <w:rsid w:val="00DC1F88"/>
    <w:rsid w:val="00DC2E4A"/>
    <w:rsid w:val="00DC32D6"/>
    <w:rsid w:val="00DC3835"/>
    <w:rsid w:val="00DC4EB2"/>
    <w:rsid w:val="00DC5D82"/>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eader" Target="header1.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eader" Target="header2.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footer" Target="footer1.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footer" Target="footer2.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eader" Target="header3.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footer" Target="footer3.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fontTable" Target="fontTable.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theme" Target="theme/theme1.xm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523D-B449-4B2D-A4D1-A3926BAA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216496</TotalTime>
  <Pages>224</Pages>
  <Words>38352</Words>
  <Characters>218609</Characters>
  <Application>Microsoft Office Word</Application>
  <DocSecurity>0</DocSecurity>
  <Lines>1821</Lines>
  <Paragraphs>512</Paragraphs>
  <ScaleCrop>false</ScaleCrop>
  <Company/>
  <LinksUpToDate>false</LinksUpToDate>
  <CharactersWithSpaces>256449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123</cp:revision>
  <dcterms:created xsi:type="dcterms:W3CDTF">2019-01-15T14:29:00Z</dcterms:created>
  <dcterms:modified xsi:type="dcterms:W3CDTF">2020-01-10T09:58:00Z</dcterms:modified>
</cp:coreProperties>
</file>