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attacco_brute_force_su_utente_spe_7e70fa"/>
      <w:r>
        <w:rPr>
          <w:rFonts w:eastAsia="georgia" w:cs="georgia" w:ascii="georgia" w:hAnsi="georgia"/>
          <w:b/>
          <w:color w:val="000000"/>
          <w:sz w:val="39"/>
        </w:rPr>
        <w:t xml:space="preserve">Attacco brute force su utente specifico / Accesso a servizio SMB-Samba</w:t>
      </w:r>
      <w:bookmarkEnd w:id="0"/>
    </w:p>
    <w:p>
      <w:pPr>
        <w:spacing w:line="360" w:before="315" w:after="105" w:lineRule="auto"/>
        <w:ind w:left="-30"/>
        <w:jc w:val="left"/>
      </w:pPr>
      <w:bookmarkStart w:id="1" w:name="executive_summary"/>
      <w:r>
        <w:rPr>
          <w:rFonts w:eastAsia="georgia" w:cs="georgia" w:ascii="georgia" w:hAnsi="georgia"/>
          <w:b/>
          <w:color w:val="000000"/>
          <w:sz w:val="24"/>
        </w:rPr>
        <w:t xml:space="preserve">Executive Summary</w:t>
      </w:r>
      <w:bookmarkEnd w:id="1"/>
    </w:p>
    <w:p>
      <w:pPr>
        <w:spacing w:line="360" w:after="210" w:lineRule="auto"/>
      </w:pPr>
      <w:r>
        <w:rPr>
          <w:rFonts w:eastAsia="georgia" w:cs="georgia" w:ascii="georgia" w:hAnsi="georgia"/>
          <w:color w:val="000000"/>
        </w:rPr>
        <w:t xml:space="preserve">L'attività descrive una simulazione di attacco condotta in laboratorio su una macchina target con servizio SMB/Samba esposto sulla porta 445, con l'obiettivo di identificare la superficie d'attacco, verificare la presenza di vulnerabilità sfruttabili e documentare il percorso tecnico seguito fino all'ottenimento dell'accesso. Il contesto è chiaramente didattico e limitato a un ambiente controllato, composto da due host appartenenti alla stessa rete privata.</w:t>
      </w:r>
    </w:p>
    <w:p>
      <w:pPr>
        <w:spacing w:line="360" w:after="210" w:lineRule="auto"/>
      </w:pPr>
      <w:r>
        <w:rPr>
          <w:rFonts w:eastAsia="georgia" w:cs="georgia" w:ascii="georgia" w:hAnsi="georgia"/>
          <w:color w:val="000000"/>
        </w:rPr>
        <w:t xml:space="preserve">L'evidenza raccolta mostra una sequenza operativa coerente: identificazione dell'host target, enumerazione dei servizi, analisi preliminare delle vulnerabilità e successivo utilizzo di Metasploit Framework per la fase di exploit. Il report è stato riorganizzato in forma professionale, con separazione tra obiettivi, metodologia, risultati, rischi e raccomandazioni.</w:t>
      </w:r>
    </w:p>
    <w:p>
      <w:pPr>
        <w:spacing w:line="360" w:before="315" w:after="105" w:lineRule="auto"/>
        <w:ind w:left="-30"/>
        <w:jc w:val="left"/>
      </w:pPr>
      <w:bookmarkStart w:id="2" w:name="obiettivi_e_perimetro"/>
      <w:r>
        <w:rPr>
          <w:rFonts w:eastAsia="georgia" w:cs="georgia" w:ascii="georgia" w:hAnsi="georgia"/>
          <w:b/>
          <w:color w:val="000000"/>
          <w:sz w:val="24"/>
        </w:rPr>
        <w:t xml:space="preserve">Obiettivi e Perimetro</w:t>
      </w:r>
      <w:bookmarkEnd w:id="2"/>
    </w:p>
    <w:p>
      <w:pPr>
        <w:spacing w:line="360" w:after="210" w:lineRule="auto"/>
      </w:pPr>
      <w:r>
        <w:rPr>
          <w:rFonts w:eastAsia="georgia" w:cs="georgia" w:ascii="georgia" w:hAnsi="georgia"/>
          <w:color w:val="000000"/>
        </w:rPr>
        <w:t xml:space="preserve">L'obiettivo dell'attività è verificare la sicurezza di una macchina Metasploitable esposta in rete locale, con particolare attenzione al servizio Samba/SMB raggiungibile sulla porta TCP 445. L'intento operativo consiste nel dimostrare come un servizio vulnerabile, se non correttamente aggiornato o configurato, possa consentire compromissione del sistema a seguito di una corretta fase di ricognizione e sfruttamento.</w:t>
      </w:r>
    </w:p>
    <w:p>
      <w:pPr>
        <w:spacing w:line="360" w:after="210" w:lineRule="auto"/>
      </w:pPr>
      <w:r>
        <w:rPr>
          <w:rFonts w:eastAsia="georgia" w:cs="georgia" w:ascii="georgia" w:hAnsi="georgia"/>
          <w:color w:val="000000"/>
        </w:rPr>
        <w:t xml:space="preserve">Il perimetro dell'analisi comprende esclusivamente due macchine di laboratorio, configurate su rete privata, con indirizzamento indicato come 192.168.200.100 e 192.168.200.200. L'attività non coinvolge sistemi di produzione, utenti reali o reti pubbliche, e deve quindi essere interpretata come esercitazione tecnica controllata.</w:t>
      </w:r>
    </w:p>
    <w:p>
      <w:pPr>
        <w:spacing w:line="360" w:before="315" w:after="105" w:lineRule="auto"/>
        <w:ind w:left="-30"/>
        <w:jc w:val="left"/>
      </w:pPr>
      <w:bookmarkStart w:id="3" w:name="metodologia"/>
      <w:r>
        <w:rPr>
          <w:rFonts w:eastAsia="georgia" w:cs="georgia" w:ascii="georgia" w:hAnsi="georgia"/>
          <w:b/>
          <w:color w:val="000000"/>
          <w:sz w:val="24"/>
        </w:rPr>
        <w:t xml:space="preserve">Metodologia</w:t>
      </w:r>
      <w:bookmarkEnd w:id="3"/>
    </w:p>
    <w:p>
      <w:pPr>
        <w:spacing w:line="360" w:after="210" w:lineRule="auto"/>
      </w:pPr>
      <w:r>
        <w:rPr>
          <w:rFonts w:eastAsia="georgia" w:cs="georgia" w:ascii="georgia" w:hAnsi="georgia"/>
          <w:color w:val="000000"/>
        </w:rPr>
        <w:t xml:space="preserve">La metodologia adottata segue le classiche fasi di un vulnerability assessment con successiva validazione pratica delle evidenze. In particolare, il lavoro è stato articolato in: ricognizione della rete, enumerazione dei servizi esposti, verifica delle vulnerabilità note, selezione del vettore d'attacco più plausibile e infine tentativo di sfruttamento tramite framework dedicato.</w:t>
      </w:r>
    </w:p>
    <w:p>
      <w:pPr>
        <w:spacing w:line="360" w:after="210" w:lineRule="auto"/>
      </w:pPr>
      <w:r>
        <w:rPr>
          <w:rFonts w:eastAsia="georgia" w:cs="georgia" w:ascii="georgia" w:hAnsi="georgia"/>
          <w:color w:val="000000"/>
        </w:rPr>
        <w:t xml:space="preserve">Dal punto di vista documentale, l'approccio è di tipo proof-of-concept: non mira a massimizzare l'impatto, ma a dimostrare che una vulnerabilità individuata è concretamente sfruttabile in uno scenario realistico di laboratorio. Questa impostazione rende il report adatto a finalità didattiche, di verifica o di presentazione accademica.</w:t>
      </w:r>
    </w:p>
    <w:p>
      <w:pPr>
        <w:spacing w:line="360" w:before="315" w:after="105" w:lineRule="auto"/>
        <w:ind w:left="-30"/>
        <w:jc w:val="left"/>
      </w:pPr>
      <w:bookmarkStart w:id="4" w:name="ambiente_e_strumenti"/>
      <w:r>
        <w:rPr>
          <w:rFonts w:eastAsia="georgia" w:cs="georgia" w:ascii="georgia" w:hAnsi="georgia"/>
          <w:b/>
          <w:color w:val="000000"/>
          <w:sz w:val="24"/>
        </w:rPr>
        <w:t xml:space="preserve">Ambiente e Strumenti</w:t>
      </w:r>
      <w:bookmarkEnd w:id="4"/>
    </w:p>
    <w:p>
      <w:pPr>
        <w:spacing w:line="360" w:after="210" w:lineRule="auto"/>
      </w:pPr>
      <w:r>
        <w:rPr>
          <w:rFonts w:eastAsia="georgia" w:cs="georgia" w:ascii="georgia" w:hAnsi="georgia"/>
          <w:color w:val="000000"/>
        </w:rPr>
        <w:t xml:space="preserve">L'ambiente è composto da una macchina attaccante e da una macchina target vulnerabile. La macchina target ospita un servizio Samba/SMB attivo sulla porta 445, mentre la macchina attaccante è dotata degli strumenti necessari per scansione, analisi ed exploit.</w:t>
      </w:r>
    </w:p>
    <w:p>
      <w:pPr>
        <w:spacing w:line="360" w:after="210" w:lineRule="auto"/>
      </w:pPr>
      <w:r>
        <w:rPr>
          <w:rFonts w:eastAsia="georgia" w:cs="georgia" w:ascii="georgia" w:hAnsi="georgia"/>
          <w:color w:val="000000"/>
        </w:rPr>
        <w:t xml:space="preserve">Gli strumenti utilizzati sono:</w:t>
      </w:r>
    </w:p>
    <w:p>
      <w:pPr>
        <w:numPr>
          <w:ilvl w:val="0"/>
          <w:numId w:val="1"/>
        </w:numPr>
        <w:spacing w:line="360" w:before="105" w:after="105" w:lineRule="auto"/>
      </w:pPr>
      <w:r>
        <w:rPr>
          <w:rFonts w:eastAsia="georgia" w:cs="georgia" w:ascii="georgia" w:hAnsi="georgia"/>
          <w:color w:val="000000"/>
          <w:sz w:val="21"/>
        </w:rPr>
        <w:t xml:space="preserve">Nmap, per individuazione host, porte aperte, version detection ed eventuale analisi tramite script NSE.</w:t>
      </w:r>
    </w:p>
    <w:p>
      <w:pPr>
        <w:numPr>
          <w:ilvl w:val="0"/>
          <w:numId w:val="1"/>
        </w:numPr>
        <w:spacing w:line="360" w:before="105" w:after="105" w:lineRule="auto"/>
      </w:pPr>
      <w:r>
        <w:rPr>
          <w:rFonts w:eastAsia="georgia" w:cs="georgia" w:ascii="georgia" w:hAnsi="georgia"/>
          <w:color w:val="000000"/>
          <w:sz w:val="21"/>
        </w:rPr>
        <w:t xml:space="preserve">Nessus, previsto inizialmente per vulnerability scanning ma non utilizzabile fino in fondo a causa del limite della versione gratuita.</w:t>
      </w:r>
    </w:p>
    <w:p>
      <w:pPr>
        <w:numPr>
          <w:ilvl w:val="0"/>
          <w:numId w:val="1"/>
        </w:numPr>
        <w:spacing w:line="360" w:before="105" w:after="105" w:lineRule="auto"/>
      </w:pPr>
      <w:r>
        <w:rPr>
          <w:rFonts w:eastAsia="georgia" w:cs="georgia" w:ascii="georgia" w:hAnsi="georgia"/>
          <w:color w:val="000000"/>
          <w:sz w:val="21"/>
        </w:rPr>
        <w:t xml:space="preserve">Metasploit Framework, per la ricerca del modulo di exploit compatibile e per l'esecuzione controllata dell'attacco.</w:t>
      </w:r>
    </w:p>
    <w:p>
      <w:pPr>
        <w:numPr>
          <w:ilvl w:val="0"/>
          <w:numId w:val="1"/>
        </w:numPr>
        <w:spacing w:line="360" w:before="105" w:after="105" w:lineRule="auto"/>
      </w:pPr>
      <w:r>
        <w:rPr>
          <w:rFonts w:eastAsia="georgia" w:cs="georgia" w:ascii="georgia" w:hAnsi="georgia"/>
          <w:color w:val="000000"/>
          <w:sz w:val="21"/>
        </w:rPr>
        <w:t xml:space="preserve">Terminale Linux, per avvio tool, verifica connettività e raccolta output.</w:t>
      </w:r>
    </w:p>
    <w:p>
      <w:pPr>
        <w:spacing w:line="360" w:before="315" w:after="105" w:lineRule="auto"/>
        <w:ind w:left="-30"/>
        <w:jc w:val="left"/>
      </w:pPr>
      <w:bookmarkStart w:id="5" w:name="procedura_e_attività"/>
      <w:r>
        <w:rPr>
          <w:rFonts w:eastAsia="georgia" w:cs="georgia" w:ascii="georgia" w:hAnsi="georgia"/>
          <w:b/>
          <w:color w:val="000000"/>
          <w:sz w:val="24"/>
        </w:rPr>
        <w:t xml:space="preserve">Procedura e Attività</w:t>
      </w:r>
      <w:bookmarkEnd w:id="5"/>
    </w:p>
    <w:p>
      <w:pPr>
        <w:spacing w:line="360" w:before="315" w:after="105" w:lineRule="auto"/>
        <w:ind w:left="-30"/>
        <w:jc w:val="left"/>
      </w:pPr>
      <w:bookmarkStart w:id="6" w:name="bm_1_configurazione_iniziale"/>
      <w:r>
        <w:rPr>
          <w:rFonts w:eastAsia="georgia" w:cs="georgia" w:ascii="georgia" w:hAnsi="georgia"/>
          <w:b/>
          <w:color w:val="000000"/>
          <w:sz w:val="24"/>
        </w:rPr>
        <w:t xml:space="preserve">1. Configurazione iniziale</w:t>
      </w:r>
      <w:bookmarkEnd w:id="6"/>
    </w:p>
    <w:p>
      <w:pPr>
        <w:spacing w:line="360" w:after="210" w:lineRule="auto"/>
      </w:pPr>
      <w:r>
        <w:rPr>
          <w:rFonts w:eastAsia="georgia" w:cs="georgia" w:ascii="georgia" w:hAnsi="georgia"/>
          <w:color w:val="000000"/>
        </w:rPr>
        <w:t xml:space="preserve">Sono state configurate le interfacce di rete delle due macchine in modo da collocarle nella stessa sottorete privata e consentire la raggiungibilità reciproca. Dopo l'assegnazione degli indirizzi IP, è stata verificata la comunicazione tra host, così da confermare la corretta predisposizione del laboratorio.</w:t>
      </w:r>
    </w:p>
    <w:p>
      <w:pPr>
        <w:spacing w:line="360" w:before="315" w:after="105" w:lineRule="auto"/>
        <w:ind w:left="-30"/>
        <w:jc w:val="left"/>
      </w:pPr>
      <w:bookmarkStart w:id="7" w:name="bm_2_ricognizione_della_rete"/>
      <w:r>
        <w:rPr>
          <w:rFonts w:eastAsia="georgia" w:cs="georgia" w:ascii="georgia" w:hAnsi="georgia"/>
          <w:b/>
          <w:color w:val="000000"/>
          <w:sz w:val="24"/>
        </w:rPr>
        <w:t xml:space="preserve">2. Ricognizione della rete</w:t>
      </w:r>
      <w:bookmarkEnd w:id="7"/>
    </w:p>
    <w:p>
      <w:pPr>
        <w:spacing w:line="360" w:after="210" w:lineRule="auto"/>
      </w:pPr>
      <w:r>
        <w:rPr>
          <w:rFonts w:eastAsia="georgia" w:cs="georgia" w:ascii="georgia" w:hAnsi="georgia"/>
          <w:color w:val="000000"/>
        </w:rPr>
        <w:t xml:space="preserve">La prima attività operativa ha previsto la ricerca degli host attivi nella rete locale, nonostante l'indirizzo IP del target fosse già noto. Questo passaggio resta utile perché riproduce un comportamento realistico di attaccante e consente di validare visibilità, presenza e risposta dell'host target.</w:t>
      </w:r>
    </w:p>
    <w:p>
      <w:pPr>
        <w:spacing w:line="360" w:before="315" w:after="105" w:lineRule="auto"/>
        <w:ind w:left="-30"/>
        <w:jc w:val="left"/>
      </w:pPr>
      <w:bookmarkStart w:id="8" w:name="bm_3_enumerazione_di_porte_e_servizi"/>
      <w:r>
        <w:rPr>
          <w:rFonts w:eastAsia="georgia" w:cs="georgia" w:ascii="georgia" w:hAnsi="georgia"/>
          <w:b/>
          <w:color w:val="000000"/>
          <w:sz w:val="24"/>
        </w:rPr>
        <w:t xml:space="preserve">3. Enumerazione di porte e servizi</w:t>
      </w:r>
      <w:bookmarkEnd w:id="8"/>
    </w:p>
    <w:p>
      <w:pPr>
        <w:spacing w:line="360" w:after="210" w:lineRule="auto"/>
      </w:pPr>
      <w:r>
        <w:rPr>
          <w:rFonts w:eastAsia="georgia" w:cs="georgia" w:ascii="georgia" w:hAnsi="georgia"/>
          <w:color w:val="000000"/>
        </w:rPr>
        <w:t xml:space="preserve">Una volta individuata la macchina target, è stata eseguita una scansione con Nmap finalizzata a identificare le porte aperte e i servizi in ascolto. L'attenzione si è concentrata sul servizio SMB/Samba in esecuzione sulla porta 445/TCP, considerato il principale punto di ingresso per la fase successiva.</w:t>
      </w:r>
    </w:p>
    <w:p>
      <w:pPr>
        <w:spacing w:line="360" w:before="315" w:after="105" w:lineRule="auto"/>
        <w:ind w:left="-30"/>
        <w:jc w:val="left"/>
      </w:pPr>
      <w:bookmarkStart w:id="9" w:name="bm_4_analisi_vulnerabilità"/>
      <w:r>
        <w:rPr>
          <w:rFonts w:eastAsia="georgia" w:cs="georgia" w:ascii="georgia" w:hAnsi="georgia"/>
          <w:b/>
          <w:color w:val="000000"/>
          <w:sz w:val="24"/>
        </w:rPr>
        <w:t xml:space="preserve">4. Analisi vulnerabilità</w:t>
      </w:r>
      <w:bookmarkEnd w:id="9"/>
    </w:p>
    <w:p>
      <w:pPr>
        <w:spacing w:line="360" w:after="210" w:lineRule="auto"/>
      </w:pPr>
      <w:r>
        <w:rPr>
          <w:rFonts w:eastAsia="georgia" w:cs="georgia" w:ascii="georgia" w:hAnsi="georgia"/>
          <w:color w:val="000000"/>
        </w:rPr>
        <w:t xml:space="preserve">L'analisi con Nessus era stata pianificata per ottenere una classificazione strutturata delle vulnerabilità, ma il limite massimo della versione gratuita ne ha impedito l'utilizzo completo. Per non interrompere l'attività, la verifica è proseguita con Nmap e con l'analisi dei servizi esposti, ricorrendo anche al confronto con vulnerabilità note del software individuato.</w:t>
      </w:r>
    </w:p>
    <w:p>
      <w:pPr>
        <w:spacing w:line="360" w:before="315" w:after="105" w:lineRule="auto"/>
        <w:ind w:left="-30"/>
        <w:jc w:val="left"/>
      </w:pPr>
      <w:bookmarkStart w:id="10" w:name="bm_5_sfruttamento_con_metasploit"/>
      <w:r>
        <w:rPr>
          <w:rFonts w:eastAsia="georgia" w:cs="georgia" w:ascii="georgia" w:hAnsi="georgia"/>
          <w:b/>
          <w:color w:val="000000"/>
          <w:sz w:val="24"/>
        </w:rPr>
        <w:t xml:space="preserve">5. Sfruttamento con Metasploit</w:t>
      </w:r>
      <w:bookmarkEnd w:id="10"/>
    </w:p>
    <w:p>
      <w:pPr>
        <w:spacing w:line="360" w:after="210" w:lineRule="auto"/>
      </w:pPr>
      <w:r>
        <w:rPr>
          <w:rFonts w:eastAsia="georgia" w:cs="georgia" w:ascii="georgia" w:hAnsi="georgia"/>
          <w:color w:val="000000"/>
        </w:rPr>
        <w:t xml:space="preserve">Dopo la fase di enumerazione, è stato avviato Metasploit Framework per ricercare un modulo coerente con la vulnerabilità del servizio Samba rilevato. Impostati correttamente parametri come indirizzo del target, payload e opzioni richieste dal modulo, l'attacco è stato eseguito con esito positivo secondo quanto riportato negli appunti di laboratorio.</w:t>
      </w:r>
    </w:p>
    <w:p>
      <w:pPr>
        <w:spacing w:line="360" w:before="315" w:after="105" w:lineRule="auto"/>
        <w:ind w:left="-30"/>
        <w:jc w:val="left"/>
      </w:pPr>
      <w:bookmarkStart w:id="11" w:name="vulnerabilità_rilevate"/>
      <w:r>
        <w:rPr>
          <w:rFonts w:eastAsia="georgia" w:cs="georgia" w:ascii="georgia" w:hAnsi="georgia"/>
          <w:b/>
          <w:color w:val="000000"/>
          <w:sz w:val="24"/>
        </w:rPr>
        <w:t xml:space="preserve">Vulnerabilità Rilevate</w:t>
      </w:r>
      <w:bookmarkEnd w:id="11"/>
    </w:p>
    <w:p>
      <w:pPr>
        <w:spacing w:line="360" w:after="210" w:lineRule="auto"/>
      </w:pPr>
      <w:r>
        <w:rPr>
          <w:rFonts w:eastAsia="georgia" w:cs="georgia" w:ascii="georgia" w:hAnsi="georgia"/>
          <w:color w:val="000000"/>
        </w:rPr>
        <w:t xml:space="preserve">La principale criticità emersa riguarda l'esposizione del servizio SMB/Samba su porta 445, elemento che aumenta sensibilmente la superficie d'attacco del sistema quando associato a versioni obsolete o vulnerabili. In ambienti di test come Metasploitable, questo servizio è spesso deliberatamente configurato in modo insicuro per finalità formative, rendendo plausibile la presenza di vulnerabilità note sfruttabili da remoto.</w:t>
      </w:r>
    </w:p>
    <w:p>
      <w:pPr>
        <w:spacing w:line="360" w:after="210" w:lineRule="auto"/>
      </w:pPr>
      <w:r>
        <w:rPr>
          <w:rFonts w:eastAsia="georgia" w:cs="georgia" w:ascii="georgia" w:hAnsi="georgia"/>
          <w:color w:val="000000"/>
        </w:rPr>
        <w:t xml:space="preserve">A livello tecnico, le condizioni di rischio osservate sono riconducibili a:</w:t>
      </w:r>
    </w:p>
    <w:p>
      <w:pPr>
        <w:numPr>
          <w:ilvl w:val="0"/>
          <w:numId w:val="2"/>
        </w:numPr>
        <w:spacing w:line="360" w:before="105" w:after="105" w:lineRule="auto"/>
      </w:pPr>
      <w:r>
        <w:rPr>
          <w:rFonts w:eastAsia="georgia" w:cs="georgia" w:ascii="georgia" w:hAnsi="georgia"/>
          <w:color w:val="000000"/>
          <w:sz w:val="21"/>
        </w:rPr>
        <w:t xml:space="preserve">esposizione di un servizio di file sharing verso la rete locale;</w:t>
      </w:r>
    </w:p>
    <w:p>
      <w:pPr>
        <w:numPr>
          <w:ilvl w:val="0"/>
          <w:numId w:val="2"/>
        </w:numPr>
        <w:spacing w:line="360" w:before="105" w:after="105" w:lineRule="auto"/>
      </w:pPr>
      <w:r>
        <w:rPr>
          <w:rFonts w:eastAsia="georgia" w:cs="georgia" w:ascii="georgia" w:hAnsi="georgia"/>
          <w:color w:val="000000"/>
          <w:sz w:val="21"/>
        </w:rPr>
        <w:t xml:space="preserve">possibile presenza di una versione Samba vulnerabile;</w:t>
      </w:r>
    </w:p>
    <w:p>
      <w:pPr>
        <w:numPr>
          <w:ilvl w:val="0"/>
          <w:numId w:val="2"/>
        </w:numPr>
        <w:spacing w:line="360" w:before="105" w:after="105" w:lineRule="auto"/>
      </w:pPr>
      <w:r>
        <w:rPr>
          <w:rFonts w:eastAsia="georgia" w:cs="georgia" w:ascii="georgia" w:hAnsi="georgia"/>
          <w:color w:val="000000"/>
          <w:sz w:val="21"/>
        </w:rPr>
        <w:t xml:space="preserve">assenza di hardening del sistema target;</w:t>
      </w:r>
    </w:p>
    <w:p>
      <w:pPr>
        <w:numPr>
          <w:ilvl w:val="0"/>
          <w:numId w:val="2"/>
        </w:numPr>
        <w:spacing w:line="360" w:before="105" w:after="105" w:lineRule="auto"/>
      </w:pPr>
      <w:r>
        <w:rPr>
          <w:rFonts w:eastAsia="georgia" w:cs="georgia" w:ascii="georgia" w:hAnsi="georgia"/>
          <w:color w:val="000000"/>
          <w:sz w:val="21"/>
        </w:rPr>
        <w:t xml:space="preserve">elevata prevedibilità dello scenario di exploit in un ambiente volutamente insicuro.</w:t>
      </w:r>
    </w:p>
    <w:p>
      <w:pPr>
        <w:spacing w:line="360" w:after="210" w:lineRule="auto"/>
      </w:pPr>
      <w:r>
        <w:rPr>
          <w:rFonts w:eastAsia="georgia" w:cs="georgia" w:ascii="georgia" w:hAnsi="georgia"/>
          <w:color w:val="000000"/>
        </w:rPr>
        <w:t xml:space="preserve">Poiché il testo originale non riporta output completi di scansione, CVE specifiche o versione esatta del demone Samba, è opportuno descrivere la vulnerabilità in termini di "servizio SMB/Samba vulnerabile e sfruttabile tramite Metasploit", evitando attribuzioni più puntuali non supportate da prove testuali nel materiale disponibile.</w:t>
      </w:r>
    </w:p>
    <w:p>
      <w:pPr>
        <w:spacing w:line="360" w:before="315" w:after="105" w:lineRule="auto"/>
        <w:ind w:left="-30"/>
        <w:jc w:val="left"/>
      </w:pPr>
      <w:bookmarkStart w:id="12" w:name="prove_e_screenshot"/>
      <w:r>
        <w:rPr>
          <w:rFonts w:eastAsia="georgia" w:cs="georgia" w:ascii="georgia" w:hAnsi="georgia"/>
          <w:b/>
          <w:color w:val="000000"/>
          <w:sz w:val="24"/>
        </w:rPr>
        <w:t xml:space="preserve">Prove e Screenshot</w:t>
      </w:r>
      <w:bookmarkEnd w:id="12"/>
    </w:p>
    <w:p>
      <w:pPr>
        <w:spacing w:line="360" w:after="210" w:lineRule="auto"/>
      </w:pPr>
      <w:r>
        <w:rPr>
          <w:rFonts w:eastAsia="georgia" w:cs="georgia" w:ascii="georgia" w:hAnsi="georgia"/>
          <w:color w:val="000000"/>
        </w:rPr>
        <w:t xml:space="preserve">Gli screenshot allegati documentano la struttura iniziale del report e l'indice dei contenuti sviluppati durante l'attività.</w:t>
      </w:r>
    </w:p>
    <w:p>
      <w:pPr>
        <w:spacing w:line="360" w:before="315" w:after="105" w:lineRule="auto"/>
        <w:ind w:left="-30"/>
        <w:jc w:val="left"/>
      </w:pPr>
      <w:bookmarkStart w:id="13" w:name="evidenza_1_frontespizio_e_sommari_9e999e"/>
      <w:r>
        <w:rPr>
          <w:rFonts w:eastAsia="georgia" w:cs="georgia" w:ascii="georgia" w:hAnsi="georgia"/>
          <w:b/>
          <w:color w:val="000000"/>
          <w:sz w:val="24"/>
        </w:rPr>
        <w:t xml:space="preserve">Evidenza 1 – Frontespizio e sommario iniziale</w:t>
      </w:r>
      <w:bookmarkEnd w:id="13"/>
    </w:p>
    <w:p>
      <w:pPr>
        <w:spacing w:line="360" w:after="210" w:lineRule="auto"/>
      </w:pPr>
      <w:r>
        <w:rPr>
          <w:rFonts w:eastAsia="georgia" w:cs="georgia" w:ascii="georgia" w:hAnsi="georgia"/>
          <w:color w:val="000000"/>
        </w:rPr>
        <w:t xml:space="preserve">L'immagine seguente mostra il titolo del lavoro e il sommario originario, utile per comprendere l'impostazione iniziale del documento prima della riorganizzazione editoriale.</w:t>
      </w:r>
    </w:p>
    <w:p>
      <w:pPr>
        <w:spacing w:line="360" w:after="210" w:lineRule="auto"/>
      </w:pPr>
      <w:r>
        <w:rPr>
          <w:rFonts w:eastAsia="georgia" w:cs="georgia" w:ascii="georgia" w:hAnsi="georgia"/>
          <w:color w:val="000000"/>
        </w:rPr>
        <w:t xml:space="preserve">[image:1]</w:t>
      </w:r>
    </w:p>
    <w:p>
      <w:pPr>
        <w:spacing w:line="360" w:before="315" w:after="105" w:lineRule="auto"/>
        <w:ind w:left="-30"/>
        <w:jc w:val="left"/>
      </w:pPr>
      <w:bookmarkStart w:id="14" w:name="evidenza_2_struttura_dei_capitoli_1238c0"/>
      <w:r>
        <w:rPr>
          <w:rFonts w:eastAsia="georgia" w:cs="georgia" w:ascii="georgia" w:hAnsi="georgia"/>
          <w:b/>
          <w:color w:val="000000"/>
          <w:sz w:val="24"/>
        </w:rPr>
        <w:t xml:space="preserve">Evidenza 2 – Struttura dei capitoli proposta</w:t>
      </w:r>
      <w:bookmarkEnd w:id="14"/>
    </w:p>
    <w:p>
      <w:pPr>
        <w:spacing w:line="360" w:after="210" w:lineRule="auto"/>
      </w:pPr>
      <w:r>
        <w:rPr>
          <w:rFonts w:eastAsia="georgia" w:cs="georgia" w:ascii="georgia" w:hAnsi="georgia"/>
          <w:color w:val="000000"/>
        </w:rPr>
        <w:t xml:space="preserve">La seconda immagine riporta la nuova articolazione in capitoli del report, coerente con una presentazione più professionale delle evidenze tecniche e dei risultati.</w:t>
      </w:r>
    </w:p>
    <w:p>
      <w:pPr>
        <w:spacing w:line="360" w:after="210" w:lineRule="auto"/>
      </w:pPr>
      <w:r>
        <w:rPr>
          <w:rFonts w:eastAsia="georgia" w:cs="georgia" w:ascii="georgia" w:hAnsi="georgia"/>
          <w:color w:val="000000"/>
        </w:rPr>
        <w:t xml:space="preserve">[image:2]</w:t>
      </w:r>
    </w:p>
    <w:p>
      <w:pPr>
        <w:spacing w:line="360" w:after="210" w:lineRule="auto"/>
      </w:pPr>
      <w:r>
        <w:rPr>
          <w:rFonts w:eastAsia="georgia" w:cs="georgia" w:ascii="georgia" w:hAnsi="georgia"/>
          <w:color w:val="000000"/>
        </w:rPr>
        <w:t xml:space="preserve">Per una versione finale completa, è consigliabile aggiungere ulteriori screenshot operativi: configurazione IP, ping di verifica, scansione Nmap, eventuale output NSE, schermata di Metasploit con ricerca modulo, impostazione parametri ed esito della sessione.</w:t>
      </w:r>
    </w:p>
    <w:p>
      <w:pPr>
        <w:spacing w:line="360" w:before="315" w:after="105" w:lineRule="auto"/>
        <w:ind w:left="-30"/>
        <w:jc w:val="left"/>
      </w:pPr>
      <w:bookmarkStart w:id="15" w:name="analisi_del_rischio"/>
      <w:r>
        <w:rPr>
          <w:rFonts w:eastAsia="georgia" w:cs="georgia" w:ascii="georgia" w:hAnsi="georgia"/>
          <w:b/>
          <w:color w:val="000000"/>
          <w:sz w:val="24"/>
        </w:rPr>
        <w:t xml:space="preserve">Analisi del Rischio</w:t>
      </w:r>
      <w:bookmarkEnd w:id="15"/>
    </w:p>
    <w:p>
      <w:pPr>
        <w:spacing w:line="360" w:after="210" w:lineRule="auto"/>
      </w:pPr>
      <w:r>
        <w:rPr>
          <w:rFonts w:eastAsia="georgia" w:cs="georgia" w:ascii="georgia" w:hAnsi="georgia"/>
          <w:color w:val="000000"/>
        </w:rPr>
        <w:t xml:space="preserve">Il rischio associato al servizio individuato può essere classificato come alto in un contesto reale, perché la compromissione di un servizio SMB vulnerabile può consentire accesso non autorizzato, esecuzione di codice, movimento laterale o acquisizione di informazioni sensibili. Nel laboratorio analizzato, l'impatto è volutamente confinato, ma il caso resta rappresentativo di una debolezza molto rilevante in infrastrutture non aggiornate.</w:t>
      </w:r>
    </w:p>
    <w:p>
      <w:pPr>
        <w:spacing w:line="360" w:after="210" w:lineRule="auto"/>
      </w:pPr>
      <w:r>
        <w:rPr>
          <w:rFonts w:eastAsia="georgia" w:cs="georgia" w:ascii="georgia" w:hAnsi="georgia"/>
          <w:color w:val="000000"/>
        </w:rPr>
        <w:t xml:space="preserve">Una valutazione sintetica del rischio può essere espressa come segue: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Fattore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Valutazione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Motivazione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Superficie d'attacco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Alta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Porta 445 esposta e servizio noto per essere bersaglio frequente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Facilità di individuazione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Alta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Il servizio emerge già nelle attività base di scansione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Probabilità di sfruttamento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Medio-Alta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Cresce in presenza di versioni obsolete o sistemi volutamente vulnerabili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Impatto potenziale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Alto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Possibile compromissione completa del sistema</w:t>
            </w:r>
          </w:p>
        </w:tc>
      </w:tr>
    </w:tbl>
    <w:p>
      <w:pPr>
        <w:spacing w:lineRule="auto"/>
      </w:pPr>
    </w:p>
    <w:p>
      <w:pPr>
        <w:spacing w:line="360" w:before="315" w:after="105" w:lineRule="auto"/>
        <w:ind w:left="-30"/>
        <w:jc w:val="left"/>
      </w:pPr>
      <w:bookmarkStart w:id="16" w:name="risultati"/>
      <w:r>
        <w:rPr>
          <w:rFonts w:eastAsia="georgia" w:cs="georgia" w:ascii="georgia" w:hAnsi="georgia"/>
          <w:b/>
          <w:color w:val="000000"/>
          <w:sz w:val="24"/>
        </w:rPr>
        <w:t xml:space="preserve">Risultati</w:t>
      </w:r>
      <w:bookmarkEnd w:id="16"/>
    </w:p>
    <w:p>
      <w:pPr>
        <w:spacing w:line="360" w:after="210" w:lineRule="auto"/>
      </w:pPr>
      <w:r>
        <w:rPr>
          <w:rFonts w:eastAsia="georgia" w:cs="georgia" w:ascii="georgia" w:hAnsi="georgia"/>
          <w:color w:val="000000"/>
        </w:rPr>
        <w:t xml:space="preserve">L'attività ha consentito di confermare la presenza del target in rete, identificare il servizio SMB/Samba come punto di interesse principale e proseguire dalla fase di scansione a quella di exploit. L'utilizzo di Metasploit ha permesso di validare operativamente l'ipotesi di vulnerabilità, dimostrando che il servizio risultava effettivamente sfruttabile nel contesto del laboratorio.</w:t>
      </w:r>
    </w:p>
    <w:p>
      <w:pPr>
        <w:spacing w:line="360" w:after="210" w:lineRule="auto"/>
      </w:pPr>
      <w:r>
        <w:rPr>
          <w:rFonts w:eastAsia="georgia" w:cs="georgia" w:ascii="georgia" w:hAnsi="georgia"/>
          <w:color w:val="000000"/>
        </w:rPr>
        <w:t xml:space="preserve">Dal punto di vista formativo, il risultato più importante non è solo l'accesso ottenuto, ma la comprensione del flusso logico dell'attacco: ricognizione, enumerazione, verifica, sfruttamento e documentazione delle evidenze.</w:t>
      </w:r>
    </w:p>
    <w:p>
      <w:pPr>
        <w:spacing w:line="360" w:before="315" w:after="105" w:lineRule="auto"/>
        <w:ind w:left="-30"/>
        <w:jc w:val="left"/>
      </w:pPr>
      <w:bookmarkStart w:id="17" w:name="raccomandazioni"/>
      <w:r>
        <w:rPr>
          <w:rFonts w:eastAsia="georgia" w:cs="georgia" w:ascii="georgia" w:hAnsi="georgia"/>
          <w:b/>
          <w:color w:val="000000"/>
          <w:sz w:val="24"/>
        </w:rPr>
        <w:t xml:space="preserve">Raccomandazioni</w:t>
      </w:r>
      <w:bookmarkEnd w:id="17"/>
    </w:p>
    <w:p>
      <w:pPr>
        <w:spacing w:line="360" w:after="210" w:lineRule="auto"/>
      </w:pPr>
      <w:r>
        <w:rPr>
          <w:rFonts w:eastAsia="georgia" w:cs="georgia" w:ascii="georgia" w:hAnsi="georgia"/>
          <w:color w:val="000000"/>
        </w:rPr>
        <w:t xml:space="preserve">Per ridurre il rischio di scenari analoghi in ambienti reali, sono raccomandate le seguenti misure:</w:t>
      </w:r>
    </w:p>
    <w:p>
      <w:pPr>
        <w:numPr>
          <w:ilvl w:val="0"/>
          <w:numId w:val="3"/>
        </w:numPr>
        <w:spacing w:line="360" w:before="105" w:after="105" w:lineRule="auto"/>
      </w:pPr>
      <w:r>
        <w:rPr>
          <w:rFonts w:eastAsia="georgia" w:cs="georgia" w:ascii="georgia" w:hAnsi="georgia"/>
          <w:color w:val="000000"/>
          <w:sz w:val="21"/>
        </w:rPr>
        <w:t xml:space="preserve">aggiornare regolarmente Samba e tutti i servizi esposti in rete;</w:t>
      </w:r>
    </w:p>
    <w:p>
      <w:pPr>
        <w:numPr>
          <w:ilvl w:val="0"/>
          <w:numId w:val="3"/>
        </w:numPr>
        <w:spacing w:line="360" w:before="105" w:after="105" w:lineRule="auto"/>
      </w:pPr>
      <w:r>
        <w:rPr>
          <w:rFonts w:eastAsia="georgia" w:cs="georgia" w:ascii="georgia" w:hAnsi="georgia"/>
          <w:color w:val="000000"/>
          <w:sz w:val="21"/>
        </w:rPr>
        <w:t xml:space="preserve">limitare l'esposizione della porta 445 tramite firewall e segmentazione;</w:t>
      </w:r>
    </w:p>
    <w:p>
      <w:pPr>
        <w:numPr>
          <w:ilvl w:val="0"/>
          <w:numId w:val="3"/>
        </w:numPr>
        <w:spacing w:line="360" w:before="105" w:after="105" w:lineRule="auto"/>
      </w:pPr>
      <w:r>
        <w:rPr>
          <w:rFonts w:eastAsia="georgia" w:cs="georgia" w:ascii="georgia" w:hAnsi="georgia"/>
          <w:color w:val="000000"/>
          <w:sz w:val="21"/>
        </w:rPr>
        <w:t xml:space="preserve">disabilitare i servizi non necessari;</w:t>
      </w:r>
    </w:p>
    <w:p>
      <w:pPr>
        <w:numPr>
          <w:ilvl w:val="0"/>
          <w:numId w:val="3"/>
        </w:numPr>
        <w:spacing w:line="360" w:before="105" w:after="105" w:lineRule="auto"/>
      </w:pPr>
      <w:r>
        <w:rPr>
          <w:rFonts w:eastAsia="georgia" w:cs="georgia" w:ascii="georgia" w:hAnsi="georgia"/>
          <w:color w:val="000000"/>
          <w:sz w:val="21"/>
        </w:rPr>
        <w:t xml:space="preserve">applicare hardening del sistema operativo e del servizio SMB;</w:t>
      </w:r>
    </w:p>
    <w:p>
      <w:pPr>
        <w:numPr>
          <w:ilvl w:val="0"/>
          <w:numId w:val="3"/>
        </w:numPr>
        <w:spacing w:line="360" w:before="105" w:after="105" w:lineRule="auto"/>
      </w:pPr>
      <w:r>
        <w:rPr>
          <w:rFonts w:eastAsia="georgia" w:cs="georgia" w:ascii="georgia" w:hAnsi="georgia"/>
          <w:color w:val="000000"/>
          <w:sz w:val="21"/>
        </w:rPr>
        <w:t xml:space="preserve">monitorare i log per tentativi di accesso anomali o scansioni;</w:t>
      </w:r>
    </w:p>
    <w:p>
      <w:pPr>
        <w:numPr>
          <w:ilvl w:val="0"/>
          <w:numId w:val="3"/>
        </w:numPr>
        <w:spacing w:line="360" w:before="105" w:after="105" w:lineRule="auto"/>
      </w:pPr>
      <w:r>
        <w:rPr>
          <w:rFonts w:eastAsia="georgia" w:cs="georgia" w:ascii="georgia" w:hAnsi="georgia"/>
          <w:color w:val="000000"/>
          <w:sz w:val="21"/>
        </w:rPr>
        <w:t xml:space="preserve">utilizzare vulnerability assessment periodici con strumenti multipli, non dipendendo da un solo scanner.</w:t>
      </w:r>
    </w:p>
    <w:p>
      <w:pPr>
        <w:spacing w:line="360" w:after="210" w:lineRule="auto"/>
      </w:pPr>
      <w:r>
        <w:rPr>
          <w:rFonts w:eastAsia="georgia" w:cs="georgia" w:ascii="georgia" w:hAnsi="georgia"/>
          <w:color w:val="000000"/>
        </w:rPr>
        <w:t xml:space="preserve">In un report accademico o professionale, è utile distinguere tra mitigazioni immediate (patching, chiusura porta, filtraggio ACL) e misure strutturali (asset inventory, patch management, segmentazione, controllo continuo).</w:t>
      </w:r>
    </w:p>
    <w:p>
      <w:pPr>
        <w:spacing w:line="360" w:before="315" w:after="105" w:lineRule="auto"/>
        <w:ind w:left="-30"/>
        <w:jc w:val="left"/>
      </w:pPr>
      <w:bookmarkStart w:id="18" w:name="difficoltà_incontrate"/>
      <w:r>
        <w:rPr>
          <w:rFonts w:eastAsia="georgia" w:cs="georgia" w:ascii="georgia" w:hAnsi="georgia"/>
          <w:b/>
          <w:color w:val="000000"/>
          <w:sz w:val="24"/>
        </w:rPr>
        <w:t xml:space="preserve">Difficoltà Incontrate</w:t>
      </w:r>
      <w:bookmarkEnd w:id="18"/>
    </w:p>
    <w:p>
      <w:pPr>
        <w:spacing w:line="360" w:after="210" w:lineRule="auto"/>
      </w:pPr>
      <w:r>
        <w:rPr>
          <w:rFonts w:eastAsia="georgia" w:cs="georgia" w:ascii="georgia" w:hAnsi="georgia"/>
          <w:color w:val="000000"/>
        </w:rPr>
        <w:t xml:space="preserve">La principale difficoltà emersa durante l'attività è stata l'impossibilità di completare la scansione con Nessus a causa del raggiungimento del limite massimo previsto dalla licenza gratuita. Questo vincolo ha richiesto una modifica del piano operativo e l'adozione di Nmap come strumento alternativo per ottenere indicazioni sulle vulnerabilità.</w:t>
      </w:r>
    </w:p>
    <w:p>
      <w:pPr>
        <w:spacing w:line="360" w:after="210" w:lineRule="auto"/>
      </w:pPr>
      <w:r>
        <w:rPr>
          <w:rFonts w:eastAsia="georgia" w:cs="georgia" w:ascii="georgia" w:hAnsi="georgia"/>
          <w:color w:val="000000"/>
        </w:rPr>
        <w:t xml:space="preserve">Una seconda criticità riguarda la documentazione delle prove: nel materiale disponibile non compaiono gli output completi dei comandi né gli screenshot delle singole fasi tecniche. In ottica di reportistica professionale, tale aspetto riduce la tracciabilità delle evidenze e rende meno forte la dimostrazione tecnica.</w:t>
      </w:r>
    </w:p>
    <w:p>
      <w:pPr>
        <w:spacing w:line="360" w:before="315" w:after="105" w:lineRule="auto"/>
        <w:ind w:left="-30"/>
        <w:jc w:val="left"/>
      </w:pPr>
      <w:bookmarkStart w:id="19" w:name="conclusioni"/>
      <w:r>
        <w:rPr>
          <w:rFonts w:eastAsia="georgia" w:cs="georgia" w:ascii="georgia" w:hAnsi="georgia"/>
          <w:b/>
          <w:color w:val="000000"/>
          <w:sz w:val="24"/>
        </w:rPr>
        <w:t xml:space="preserve">Conclusioni</w:t>
      </w:r>
      <w:bookmarkEnd w:id="19"/>
    </w:p>
    <w:p>
      <w:pPr>
        <w:spacing w:line="360" w:after="210" w:lineRule="auto"/>
      </w:pPr>
      <w:r>
        <w:rPr>
          <w:rFonts w:eastAsia="georgia" w:cs="georgia" w:ascii="georgia" w:hAnsi="georgia"/>
          <w:color w:val="000000"/>
        </w:rPr>
        <w:t xml:space="preserve">L'esercitazione dimostra che un servizio SMB/Samba vulnerabile, se raggiungibile in rete e privo di adeguate contromisure, può rappresentare un vettore d'attacco estremamente efficace. La combinazione tra scansione iniziale, enumerazione mirata e utilizzo corretto di Metasploit ha consentito di ottenere l'accesso alla macchina target nel contesto del laboratorio.</w:t>
      </w:r>
    </w:p>
    <w:p>
      <w:pPr>
        <w:spacing w:line="360" w:after="210" w:lineRule="auto"/>
      </w:pPr>
      <w:r>
        <w:rPr>
          <w:rFonts w:eastAsia="georgia" w:cs="georgia" w:ascii="georgia" w:hAnsi="georgia"/>
          <w:color w:val="000000"/>
        </w:rPr>
        <w:t xml:space="preserve">La riorganizzazione del documento in capitoli strutturati migliora la leggibilità del lavoro, separa con chiarezza aspetti tecnici e valutativi e rende il report più adatto a consegna accademica, presentazione orale o documentazione interna di un'attività di sicurezza.</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it-IT"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it-IT"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2026-05-27T07:09:13.578Z</dcterms:created>
  <dcterms:modified xsi:type="dcterms:W3CDTF">2026-05-27T07:09:13.578Z</dcterms:modified>
</cp:coreProperties>
</file>