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rFonts w:ascii="宋体" w:hAnsi="宋体" w:eastAsia="宋体"/>
          <w:b/>
          <w:i w:val="0"/>
          <w:sz w:val="52"/>
        </w:rPr>
        <w:t>金融营销材料合规审查 Skill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i w:val="0"/>
          <w:color w:val="444444"/>
          <w:sz w:val="30"/>
        </w:rPr>
        <w:t>说 明 文 档</w:t>
      </w:r>
    </w:p>
    <w:p>
      <w:pPr>
        <w:spacing w:after="1200"/>
        <w:jc w:val="center"/>
      </w:pPr>
      <w:r>
        <w:rPr>
          <w:rFonts w:ascii="宋体" w:hAnsi="宋体" w:eastAsia="宋体"/>
          <w:b w:val="0"/>
          <w:i w:val="0"/>
          <w:color w:val="666666"/>
          <w:sz w:val="22"/>
        </w:rPr>
        <w:t>基于本地规则库的营销宣传材料发布前合规审查工具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576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运行平台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WorkBuddy Agent Skill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规则库规模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43 条规则，分 4 个规则文件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法条索引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39 个条目，覆盖法律至自律规则五个位阶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回归测试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129 个内嵌测试用例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运行环境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Python 3.9+，零第三方依赖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全本地运行，材料内容不出网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文档生成时间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2026 年 08 月 18 日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宋体" w:hAnsi="宋体" w:eastAsia="宋体"/>
          <w:b w:val="0"/>
          <w:i w:val="0"/>
          <w:color w:val="888888"/>
          <w:sz w:val="18"/>
        </w:rPr>
        <w:t>本文档的规则清单与统计数据由 tools/gen_doc.py 从规则库实时提取生成，与 references/ 下的规则文件保持一致。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rFonts w:ascii="宋体" w:hAnsi="宋体" w:eastAsia="宋体"/>
          <w:sz w:val="22"/>
        </w:rPr>
        <w:t>一、Skill 是什么：定位与要解决的问题</w:t>
      </w:r>
    </w:p>
    <w:p>
      <w:pPr>
        <w:spacing w:after="120"/>
      </w:pPr>
      <w:r>
        <w:rPr>
          <w:rFonts w:ascii="宋体" w:hAnsi="宋体" w:eastAsia="宋体"/>
          <w:sz w:val="22"/>
        </w:rPr>
        <w:t>二、工作逻辑：一份材料是怎么被审查的</w:t>
      </w:r>
    </w:p>
    <w:p>
      <w:pPr>
        <w:spacing w:after="120"/>
      </w:pPr>
      <w:r>
        <w:rPr>
          <w:rFonts w:ascii="宋体" w:hAnsi="宋体" w:eastAsia="宋体"/>
          <w:sz w:val="22"/>
        </w:rPr>
        <w:t>三、支持检测的素材范围</w:t>
      </w:r>
    </w:p>
    <w:p>
      <w:pPr>
        <w:spacing w:after="120"/>
      </w:pPr>
      <w:r>
        <w:rPr>
          <w:rFonts w:ascii="宋体" w:hAnsi="宋体" w:eastAsia="宋体"/>
          <w:sz w:val="22"/>
        </w:rPr>
        <w:t>四、规则库完整清单</w:t>
      </w:r>
    </w:p>
    <w:p>
      <w:pPr>
        <w:spacing w:after="120"/>
      </w:pPr>
      <w:r>
        <w:rPr>
          <w:rFonts w:ascii="宋体" w:hAnsi="宋体" w:eastAsia="宋体"/>
          <w:sz w:val="22"/>
        </w:rPr>
        <w:t>五、法律依据来源</w:t>
      </w:r>
    </w:p>
    <w:p>
      <w:pPr>
        <w:spacing w:after="120"/>
      </w:pPr>
      <w:r>
        <w:rPr>
          <w:rFonts w:ascii="宋体" w:hAnsi="宋体" w:eastAsia="宋体"/>
          <w:sz w:val="22"/>
        </w:rPr>
        <w:t>六、质量保障机制</w:t>
      </w:r>
    </w:p>
    <w:p>
      <w:pPr>
        <w:spacing w:after="120"/>
      </w:pPr>
      <w:r>
        <w:rPr>
          <w:rFonts w:ascii="宋体" w:hAnsi="宋体" w:eastAsia="宋体"/>
          <w:sz w:val="22"/>
        </w:rPr>
        <w:t>七、已知边界</w:t>
      </w:r>
    </w:p>
    <w:p>
      <w:pPr>
        <w:spacing w:after="120"/>
      </w:pPr>
      <w:r>
        <w:rPr>
          <w:rFonts w:ascii="宋体" w:hAnsi="宋体" w:eastAsia="宋体"/>
          <w:sz w:val="22"/>
        </w:rPr>
        <w:t>八、使用方式</w:t>
      </w:r>
    </w:p>
    <w:p>
      <w:r>
        <w:br w:type="page"/>
      </w:r>
    </w:p>
    <w:p>
      <w:pPr>
        <w:pStyle w:val="Heading1"/>
      </w:pPr>
      <w:r>
        <w:t>一、Skill 是什么：定位与要解决的问题</w:t>
      </w:r>
    </w:p>
    <w:p>
      <w:pPr>
        <w:pStyle w:val="Heading2"/>
      </w:pPr>
      <w:r>
        <w:t>1.1 一句话定位</w:t>
      </w:r>
    </w:p>
    <w:p>
      <w:r>
        <w:rPr>
          <w:rFonts w:ascii="宋体" w:hAnsi="宋体" w:eastAsia="宋体"/>
          <w:b/>
          <w:i w:val="0"/>
          <w:sz w:val="21"/>
        </w:rPr>
        <w:t>对基金、资管、理财产品的营销宣传材料做发布前合规审查，输出可追溯到法条原文的问题清单与修改建议。定位是合规人员的第一道筛子，不是最终判定者。</w:t>
      </w:r>
    </w:p>
    <w:p>
      <w:pPr>
        <w:pStyle w:val="Heading2"/>
      </w:pPr>
      <w:r>
        <w:t>1.2 要解决的问题</w:t>
      </w:r>
    </w:p>
    <w:p>
      <w:r>
        <w:rPr>
          <w:rFonts w:ascii="宋体" w:hAnsi="宋体" w:eastAsia="宋体"/>
          <w:b w:val="0"/>
          <w:i w:val="0"/>
          <w:sz w:val="21"/>
        </w:rPr>
        <w:t>资管机构的营销材料在对外发布前必须经合规审查。现状是合规人员逐字读稿，凭经验对照几十份监管文件判断。这件事的痛点不在难，在于三点：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量大且重复。</w:t>
      </w:r>
      <w:r>
        <w:rPr>
          <w:rFonts w:ascii="宋体" w:hAnsi="宋体" w:eastAsia="宋体"/>
          <w:sz w:val="21"/>
        </w:rPr>
        <w:t>新品发行、公众号推文、路演材料、海报，一家中型基金公司每周几十份。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规则分散且分层。</w:t>
      </w:r>
      <w:r>
        <w:rPr>
          <w:rFonts w:ascii="宋体" w:hAnsi="宋体" w:eastAsia="宋体"/>
          <w:sz w:val="21"/>
        </w:rPr>
        <w:t>从《广告法》到中基协自律规则散落在十几份文件里，且公募、私募、资管计划、理财产品适用的条款各不相同。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规则会变。</w:t>
      </w:r>
      <w:r>
        <w:rPr>
          <w:rFonts w:ascii="宋体" w:hAnsi="宋体" w:eastAsia="宋体"/>
          <w:sz w:val="21"/>
        </w:rPr>
        <w:t>《金融产品网络营销管理办法》2026 年 9 月 30 日施行，一旦生效，存量材料里的「低风险」「秒到账」全部触线，需要批量重扫。</w:t>
      </w:r>
    </w:p>
    <w:p>
      <w:pPr>
        <w:pStyle w:val="Heading2"/>
      </w:pPr>
      <w:r>
        <w:t>1.3 两条硬约束</w:t>
      </w:r>
    </w:p>
    <w:p>
      <w:r>
        <w:rPr>
          <w:rFonts w:ascii="宋体" w:hAnsi="宋体" w:eastAsia="宋体"/>
          <w:b w:val="0"/>
          <w:i w:val="0"/>
          <w:sz w:val="21"/>
        </w:rPr>
        <w:t>以下两点决定了技术方案的形态，不是可选项：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材料内容高度敏感。</w:t>
      </w:r>
      <w:r>
        <w:rPr>
          <w:rFonts w:ascii="宋体" w:hAnsi="宋体" w:eastAsia="宋体"/>
          <w:sz w:val="21"/>
        </w:rPr>
        <w:t>未发布的产品信息属于内幕信息（MNPI），不能出网、不能过第三方 SaaS 平台。因此全部处理在本地完成，不调用任何外部 API。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合规结论不能由机器下。</w:t>
      </w:r>
      <w:r>
        <w:rPr>
          <w:rFonts w:ascii="宋体" w:hAnsi="宋体" w:eastAsia="宋体"/>
          <w:sz w:val="21"/>
        </w:rPr>
        <w:t>合规意见书需要签字担责，工具只能做第一道筛子。因此输出的是待复核清单，不是审批结论。</w:t>
      </w:r>
    </w:p>
    <w:p>
      <w:pPr>
        <w:pStyle w:val="Heading2"/>
      </w:pPr>
      <w:r>
        <w:t>1.4 三条边界声明</w:t>
      </w:r>
    </w:p>
    <w:p>
      <w:r>
        <w:rPr>
          <w:rFonts w:ascii="宋体" w:hAnsi="宋体" w:eastAsia="宋体"/>
          <w:b w:val="0"/>
          <w:i w:val="0"/>
          <w:sz w:val="21"/>
        </w:rPr>
        <w:t>以下三点在每次输出报告时都会向使用者明确，不得省略：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793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20"/>
              </w:rPr>
              <w:t>边界声明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本工具输出的是待复核清单，不是合规结论，最终判定权在合规人员。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标记为「需人工研判」的项必须由人工确认，工具只标记触发位置。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20"/>
              </w:rPr>
              <w:t>未检出问题不等于材料合规，规则库覆盖范围有已知边界。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1"/>
        </w:rPr>
        <w:t>报告中禁止使用「审核通过」「合规」「可以发布」这类结论性表述。</w:t>
      </w:r>
    </w:p>
    <w:p>
      <w:r>
        <w:br w:type="page"/>
      </w:r>
    </w:p>
    <w:p>
      <w:pPr>
        <w:pStyle w:val="Heading1"/>
      </w:pPr>
      <w:r>
        <w:t>二、工作逻辑：一份材料是怎么被审查的</w:t>
      </w:r>
    </w:p>
    <w:p>
      <w:pPr>
        <w:pStyle w:val="Heading2"/>
      </w:pPr>
      <w:r>
        <w:t>2.1 整体流程</w:t>
      </w:r>
    </w:p>
    <w:p>
      <w:pPr>
        <w:spacing w:before="80" w:after="160" w:line="276" w:lineRule="auto"/>
        <w:ind w:left="340"/>
      </w:pPr>
      <w:r>
        <w:rPr>
          <w:rFonts w:ascii="Consolas" w:hAnsi="Consolas" w:eastAsia="Consolas"/>
          <w:color w:val="333333"/>
          <w:sz w:val="17"/>
        </w:rPr>
        <w:t xml:space="preserve">      待审材料（md / txt / 由 Agent 解析的 pdf、docx、pptx）</w:t>
        <w:br/>
        <w:t xml:space="preserve">                        |</w:t>
        <w:br/>
        <w:t xml:space="preserve">                        v</w:t>
        <w:br/>
        <w:t xml:space="preserve">        [ 第一步 ] 确认四维审查上下文</w:t>
        <w:br/>
        <w:t xml:space="preserve">                   产品类型 / 受众范围 / 材料载体 / 机构类型</w:t>
        <w:br/>
        <w:t xml:space="preserve">                        |</w:t>
        <w:br/>
        <w:t xml:space="preserve">                        v</w:t>
        <w:br/>
        <w:t xml:space="preserve">        [ 第二步 ] 确定性规则扫描  scan_rules.py -&gt; rule_engine.py</w:t>
        <w:br/>
        <w:t xml:space="preserve">                   作用域路由 -&gt; 五类检测器 -&gt; 排除上下文 -&gt; 重叠去重</w:t>
        <w:br/>
        <w:t xml:space="preserve">                        |</w:t>
        <w:br/>
        <w:t xml:space="preserve">                        |  读取</w:t>
        <w:br/>
        <w:t xml:space="preserve">                        v</w:t>
        <w:br/>
        <w:t xml:space="preserve">           references/rules/*.json  --ref_id--&gt;  references/legal-index.md</w:t>
        <w:br/>
        <w:t xml:space="preserve">                        |</w:t>
        <w:br/>
        <w:t xml:space="preserve">                        v</w:t>
        <w:br/>
        <w:t xml:space="preserve">                   JSON 输出（每条含法条原文四元组）</w:t>
        <w:br/>
        <w:t xml:space="preserve">                        |</w:t>
        <w:br/>
        <w:t xml:space="preserve">                        v</w:t>
        <w:br/>
        <w:t xml:space="preserve">        [ 第三步 ] Agent 语义研判</w:t>
        <w:br/>
        <w:t xml:space="preserve">                   整体印象误导 / 变相承诺 / 风格漂移 / 数据矛盾 / 术语未解释</w:t>
        <w:br/>
        <w:t xml:space="preserve">                        |</w:t>
        <w:br/>
        <w:t xml:space="preserve">                        v</w:t>
        <w:br/>
        <w:t xml:space="preserve">        [ 第四步 ] 生成分级报告</w:t>
        <w:br/>
        <w:t xml:space="preserve">                        |</w:t>
        <w:br/>
        <w:t xml:space="preserve">                        v</w:t>
        <w:br/>
        <w:t xml:space="preserve">        [ 第五步 ] 批量重扫（可选，用于新规生效后的存量材料排查）</w:t>
        <w:br/>
        <w:t xml:space="preserve">                        |</w:t>
        <w:br/>
        <w:t xml:space="preserve">                        v</w:t>
        <w:br/>
        <w:t xml:space="preserve">                  待复核清单 --&gt; 合规人员判定</w:t>
      </w:r>
    </w:p>
    <w:p>
      <w:r>
        <w:rPr>
          <w:rFonts w:ascii="宋体" w:hAnsi="宋体" w:eastAsia="宋体"/>
          <w:b w:val="0"/>
          <w:i w:val="0"/>
          <w:sz w:val="21"/>
        </w:rPr>
        <w:t>确定性扫描与语义研判是分离的两层，各管各的：能被规则表达的交给规则，规则表达不了的交给大模型。不让大模型去做关键词匹配（结果不稳定、不可复现），也不指望正则去理解「通篇只讲收益不讲风险」（做不到）。</w:t>
      </w:r>
    </w:p>
    <w:p>
      <w:pPr>
        <w:pStyle w:val="Heading2"/>
      </w:pPr>
      <w:r>
        <w:t>2.2 四维上下文路由</w:t>
      </w:r>
    </w:p>
    <w:p>
      <w:r>
        <w:rPr>
          <w:rFonts w:ascii="宋体" w:hAnsi="宋体" w:eastAsia="宋体"/>
          <w:b w:val="0"/>
          <w:i w:val="0"/>
          <w:sz w:val="21"/>
        </w:rPr>
        <w:t>同一句话在不同场景下适用的法条不同，因此每条规则声明四个维度的作用域，扫描时据此决定是否应用该规则。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969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取值</w:t>
            </w:r>
          </w:p>
        </w:tc>
        <w:tc>
          <w:tcPr>
            <w:tcW w:type="dxa" w:w="3515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判断依据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产品类型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公募基金 / 私募基金 / 资管计划 / 理财产品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产品全称、「证券投资基金」字样、备案编码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受众范围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面向不特定对象 / 面向特定对象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是否公开发布、有无合格投资者确认环节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材料载体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平面 / 线上 / 视频 / 音频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投放渠道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机构类型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基金管理人 / 证券公司 / 银行 / 理财子公司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材料落款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最典型的例子是 BAN-001 与 BAN-002：都是「承诺保本保收益」，但公募依据《广告法》第二十五条与《基金宣传推介暂行规定》第十五条，私募依据《私募投资基金监督管理条例》第二十条（位阶为行政法规）。二者在「避险」一词上还有实质差异——私募场景明文禁用，公募场景无现行依据。合并成一条规则就会引用错误法条。</w:t>
      </w:r>
    </w:p>
    <w:p>
      <w:r>
        <w:rPr>
          <w:rFonts w:ascii="宋体" w:hAnsi="宋体" w:eastAsia="宋体"/>
          <w:b/>
          <w:i w:val="0"/>
          <w:sz w:val="21"/>
        </w:rPr>
        <w:t>上下文未提供时，相关规则跳过而非默认适用，即宁可漏报也不在信息不足时误报，报告中会说明哪些规则因此未被应用。</w:t>
      </w:r>
    </w:p>
    <w:p>
      <w:pPr>
        <w:pStyle w:val="Heading2"/>
      </w:pPr>
      <w:r>
        <w:t>2.3 五类检测器</w:t>
      </w:r>
    </w:p>
    <w:p>
      <w:r>
        <w:rPr>
          <w:rFonts w:ascii="宋体" w:hAnsi="宋体" w:eastAsia="宋体"/>
          <w:b w:val="0"/>
          <w:i w:val="0"/>
          <w:sz w:val="21"/>
        </w:rPr>
        <w:t>规则不是清一色的关键词匹配。这个领域大量条款不是「禁止说什么」，而是「说了 A 就必须同时说 B」，纯敏感词方案覆盖不了。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检测方式</w:t>
            </w:r>
          </w:p>
        </w:tc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6576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机制说明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关键词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正则匹配命中即报，支持排除上下文以规避否定语境误报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人工研判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触发词命中后仅标记位置，交由人工结合上下文研判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条件必备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若材料出现 A 则必须同时出现 B，缺 B 即报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必备要素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材料必须包含某要素，缺失即报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数值判断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从文本提取数值并做区间判断，如业绩区间是否满 6 个月</w:t>
            </w:r>
          </w:p>
        </w:tc>
      </w:tr>
    </w:tbl>
    <w:p>
      <w:pPr>
        <w:spacing w:after="40"/>
      </w:pPr>
    </w:p>
    <w:p>
      <w:pPr>
        <w:pStyle w:val="Heading2"/>
      </w:pPr>
      <w:r>
        <w:t>2.4 四种判定类型</w:t>
      </w:r>
    </w:p>
    <w:p>
      <w:r>
        <w:rPr>
          <w:rFonts w:ascii="宋体" w:hAnsi="宋体" w:eastAsia="宋体"/>
          <w:b w:val="0"/>
          <w:i w:val="0"/>
          <w:sz w:val="21"/>
        </w:rPr>
        <w:t>早期版本只有「违规 / 不违规」二分。问题在于大量规则本质上无法由文本判定，例如「销售机构标注的风险等级不得低于管理人评级」需要查管理人官方评级。这类检查既不能报违规（没有依据），也不能不报（确实是检查项）。拆成四类之后，每类在报告中的呈现方式与责任归属都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4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判定类型</w:t>
            </w:r>
          </w:p>
        </w:tc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24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06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报告中如何处理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违规 violation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命中即违规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直接列入报告，附法条原文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需人工研判 manual_review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需上下文或外部数据判断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标记位置，注明须合规人员核验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建议 advisory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无条款依据的优化建议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列入建议区，禁止表述为违规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需补充证据 evidence_required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法条限定未提供客观证据时才违规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提示补充数据出处，而非要求删除</w:t>
            </w:r>
          </w:p>
        </w:tc>
      </w:tr>
    </w:tbl>
    <w:p>
      <w:pPr>
        <w:spacing w:after="40"/>
      </w:pPr>
    </w:p>
    <w:p>
      <w:pPr>
        <w:pStyle w:val="Heading2"/>
      </w:pPr>
      <w:r>
        <w:t>2.5 法定依据与行业惯例的区分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依据类型</w:t>
            </w:r>
          </w:p>
        </w:tc>
        <w:tc>
          <w:tcPr>
            <w:tcW w:type="dxa" w:w="90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5556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处理方式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法定 statutory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40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挂条款号，报告中引用法条原文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行业惯例 industry_practice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禁止挂条款号，报告中必须标注「无现行条款依据」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这个区分不是洁癖。市面上大量合规工具仍在使用证监会公告〔2008〕2 号的禁用词表（净值归一、首只、最大、最好、最强、避险），而该文件已被证监会公告〔2020〕59 号第二十条明文废止。把废止文件的词表当作法条引用，等于给合规人员一个假的举证依据。本规则库保留这些词的检查（行业惯例仍有参考价值），但强制标注无条款依据，校验脚本会拒绝给行业惯例类规则挂条款号。</w:t>
      </w:r>
    </w:p>
    <w:p>
      <w:pPr>
        <w:pStyle w:val="Heading2"/>
      </w:pPr>
      <w:r>
        <w:t>2.6 新规过渡期处理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生效状态</w:t>
            </w:r>
          </w:p>
        </w:tc>
        <w:tc>
          <w:tcPr>
            <w:tcW w:type="dxa" w:w="90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5556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现行有效 active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41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正常应用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已发布未生效 pending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报告中单独分节，标明生效日期，不与现行规则混列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当前未生效规则：BAN-010（网络营销诱导性用语，2026-09-30 施行）；PERF-013（网络渠道业绩展示禁止行为，2026-09-30 施行）</w:t>
      </w:r>
    </w:p>
    <w:p>
      <w:pPr>
        <w:pStyle w:val="Heading2"/>
      </w:pPr>
      <w:r>
        <w:t>2.7 报告输出结构</w:t>
      </w:r>
    </w:p>
    <w:p>
      <w:r>
        <w:rPr>
          <w:rFonts w:ascii="宋体" w:hAnsi="宋体" w:eastAsia="宋体"/>
          <w:b w:val="0"/>
          <w:i w:val="0"/>
          <w:sz w:val="21"/>
        </w:rPr>
        <w:t>扫描引擎输出 JSON，每条发现包含以下四元组，这是本工具与通用文案检查工具的根本差异：合规人员需要据此向监管举证。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7143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原文引用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命中文本、所在行号、上下文片段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法条依据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法规全称 + 条款号 + 条款原文（不改写、不转述）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处罚案例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对应的真实监管处罚案例与原始认定措辞（如有）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修改建议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具体的修改方向，而非「违反相关规定」这类模糊表述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报告由 Agent 基于 JSON 渲染，而非硬编码模板。理由是报告的呈现需求是变的——有人要按严重度排序，有人要按材料章节排序，有人要导出简版给业务方。硬编码模板每变一次需求就要改一次代码，Agent 渲染只需调整 SKILL.md 中的指令。</w:t>
      </w:r>
    </w:p>
    <w:p>
      <w:r>
        <w:br w:type="page"/>
      </w:r>
    </w:p>
    <w:p>
      <w:pPr>
        <w:pStyle w:val="Heading1"/>
      </w:pPr>
      <w:r>
        <w:t>三、支持检测的素材范围</w:t>
      </w:r>
    </w:p>
    <w:p>
      <w:pPr>
        <w:pStyle w:val="Heading2"/>
      </w:pPr>
      <w:r>
        <w:t>3.1 支持的文件格式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支持程度</w:t>
            </w:r>
          </w:p>
        </w:tc>
        <w:tc>
          <w:tcPr>
            <w:tcW w:type="dxa" w:w="306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格式</w:t>
            </w:r>
          </w:p>
        </w:tc>
        <w:tc>
          <w:tcPr>
            <w:tcW w:type="dxa" w:w="4422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直接支持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Markdown（.md）、纯文本（.txt）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扫描脚本直接读取，无需转换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经解析支持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PDF、Word（.docx）、PPT（.pptx）、HTML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由 WorkBuddy Agent 先提取纯文本，再交给扫描脚本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不支持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图片中的文字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需 OCR 能力，当前未集成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不支持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视频、音频成片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仅能审查对应的文字脚本，无法从成片中提取</w:t>
            </w:r>
          </w:p>
        </w:tc>
      </w:tr>
    </w:tbl>
    <w:p>
      <w:pPr>
        <w:spacing w:after="40"/>
      </w:pPr>
    </w:p>
    <w:p>
      <w:pPr>
        <w:pStyle w:val="Heading2"/>
      </w:pPr>
      <w:r>
        <w:t>3.2 支持的材料类型</w:t>
      </w:r>
    </w:p>
    <w:p>
      <w:r>
        <w:rPr>
          <w:rFonts w:ascii="宋体" w:hAnsi="宋体" w:eastAsia="宋体"/>
          <w:b w:val="0"/>
          <w:i w:val="0"/>
          <w:sz w:val="21"/>
        </w:rPr>
        <w:t>覆盖资管机构对外发布的主要营销材料形态：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材料类型</w:t>
            </w:r>
          </w:p>
        </w:tc>
        <w:tc>
          <w:tcPr>
            <w:tcW w:type="dxa" w:w="3515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典型场景</w:t>
            </w:r>
          </w:p>
        </w:tc>
        <w:tc>
          <w:tcPr>
            <w:tcW w:type="dxa" w:w="3515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适配说明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产品说明书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新产品发行前的产品要素说明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必备要素与风险揭示检查为主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产品推介材料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宣传单页、产品手册、销售话术稿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覆盖全部四类规则，检出率最高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公众号推文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线上渠道的产品推广文章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触发线上载体专属规则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路演 PPT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面向机构或个人投资者的演示材料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需先由 Agent 提取文本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海报与长图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活动海报、产品长图的文案部分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仅审查文案，版式与字号不在覆盖范围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短视频与音频脚本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投放前的口播稿、分镜脚本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含风险提示时长检查（FMT-003）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存量材料批量重扫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新规发布后对已发布材料的合规排查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按规则维度聚合，标记受同一新规影响的材料</w:t>
            </w:r>
          </w:p>
        </w:tc>
      </w:tr>
    </w:tbl>
    <w:p>
      <w:pPr>
        <w:spacing w:after="40"/>
      </w:pPr>
    </w:p>
    <w:p>
      <w:pPr>
        <w:pStyle w:val="Heading2"/>
      </w:pPr>
      <w:r>
        <w:t>3.3 支持的产品类型与规则覆盖</w:t>
      </w:r>
    </w:p>
    <w:p>
      <w:r>
        <w:rPr>
          <w:rFonts w:ascii="宋体" w:hAnsi="宋体" w:eastAsia="宋体"/>
          <w:b w:val="0"/>
          <w:i w:val="0"/>
          <w:sz w:val="21"/>
        </w:rPr>
        <w:t>不同产品类型适用的规则数量差异较大，反映了监管规则本身的密度差异，也反映了当前规则库的建设重点。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产品类型</w:t>
            </w:r>
          </w:p>
        </w:tc>
        <w:tc>
          <w:tcPr>
            <w:tcW w:type="dxa" w:w="136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适用规则数</w:t>
            </w:r>
          </w:p>
        </w:tc>
        <w:tc>
          <w:tcPr>
            <w:tcW w:type="dxa" w:w="1928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占总数（43 条）比例</w:t>
            </w:r>
          </w:p>
        </w:tc>
        <w:tc>
          <w:tcPr>
            <w:tcW w:type="dxa" w:w="3855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公募基金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34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79%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监管规则最密集，规则库建设重点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私募基金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46%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以中基协自律规则与《私募条例》为主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资管计划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证券期货经营机构私募资管业务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理财产品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18%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银行理财，当前覆盖偏薄，后续需补充</w:t>
            </w:r>
          </w:p>
        </w:tc>
      </w:tr>
    </w:tbl>
    <w:p>
      <w:pPr>
        <w:spacing w:after="40"/>
      </w:pPr>
    </w:p>
    <w:p>
      <w:pPr>
        <w:pStyle w:val="Heading2"/>
      </w:pPr>
      <w:r>
        <w:t>3.4 支持的载体、受众与机构类型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7143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支持取值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材料载体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平面（print）、线上（online）、视频（video）、音频（audio）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受众范围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面向不特定对象（public）、面向特定对象（specific）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机构类型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基金管理人、证券公司、银行、理财子公司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机构类型会影响必备要素检查。例如 REQ-005（券商推广材料未标明必备三项）仅在机构类型为证券公司时应用，依据是中证协《证券公司投资者适当性制度指引》第二十二条。</w:t>
      </w:r>
    </w:p>
    <w:p>
      <w:r>
        <w:br w:type="page"/>
      </w:r>
    </w:p>
    <w:p>
      <w:pPr>
        <w:pStyle w:val="Heading1"/>
      </w:pPr>
      <w:r>
        <w:t>四、规则库完整清单</w:t>
      </w:r>
    </w:p>
    <w:p>
      <w:pPr>
        <w:pStyle w:val="Heading2"/>
      </w:pPr>
      <w:r>
        <w:t>4.1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规则文件</w:t>
            </w:r>
          </w:p>
        </w:tc>
        <w:tc>
          <w:tcPr>
            <w:tcW w:type="dxa" w:w="4762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检查内容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规则数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违禁表述规则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材料中不该出现的表述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业绩展示规则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业绩数据的展示方式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必备要素规则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必须出现的要素与法定声明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呈现形式规则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排版与呈现形式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规则按「检查什么」而非「违反哪条法」分文件，因为使用者查找规则时通常是按现象查找的。严重级别分布：橙级 30 条、红级 8 条、黄级 5 条。</w:t>
      </w:r>
    </w:p>
    <w:p>
      <w:r>
        <w:rPr>
          <w:rFonts w:ascii="宋体" w:hAnsi="宋体" w:eastAsia="宋体"/>
          <w:b w:val="0"/>
          <w:i w:val="0"/>
          <w:color w:val="666666"/>
          <w:sz w:val="18"/>
        </w:rPr>
        <w:t>下列各表中，「判定」列取值含义见 2.4 节，「检测」列取值含义见 2.3 节，「法条依据」列使用法规简称，简称与全称的对照见 5.1 节。</w:t>
      </w:r>
    </w:p>
    <w:p>
      <w:pPr>
        <w:pStyle w:val="Heading2"/>
      </w:pPr>
      <w:r>
        <w:t>4.2 违禁表述规则（banned-expressions.json）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850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规则名称</w:t>
            </w:r>
          </w:p>
        </w:tc>
        <w:tc>
          <w:tcPr>
            <w:tcW w:type="dxa" w:w="107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判定／级别</w:t>
            </w:r>
          </w:p>
        </w:tc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检测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适用范围</w:t>
            </w:r>
          </w:p>
        </w:tc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法条依据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承诺保本保收益（公募基金）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《广告法》第二十五条第（一）项；《基金销售机构办法》第二十四条第（二）项；《基金宣传推介暂行规定》第十五条第（二）项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承诺保本保收益（私募基金）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《私募条例》第二十条；《私募若干规定》第六条第一款第（四）项；中基协《私募募集办法》第二十四条第（四）项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变相承诺收益：预期收益率类表述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《基金销售机构办法》第二十四条第（三）项；《私募资管办法》第五十二条第（二）项；中基协《私募募集办法》第二十四条第（三）项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变相承诺收益：结构化增信安排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《私募条例》第二十条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无客观证据的业绩褒扬表述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需补充证据／橙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《基金宣传推介暂行规定》第十五条第（一）项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绝对化用语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全部产品；面向公众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《广告法》第九条第三项；《基金宣传推介暂行规定》第十五条第（七）项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BAN-007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饥饿营销：片面强调集中营销时间限制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《基金宣传推介暂行规定》第十五条第（三）项；中基协《私募募集办法》第二十四条第（五）项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推荐性文字与代言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《广告法》第二十五条第（二）项；《基金宣传推介暂行规定》第十五条第（六）项；中基协《私募募集办法》第二十四条第（七）项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BAN-009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诋毁贬低同业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《基金宣传推介暂行规定》第十五条第（四）项；《私募资管办法》第五十二条第（五）项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网络营销诱导性用语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违规（未生效）／橙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全部产品；线上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《网络营销办法》第十条第（七）项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BAN-011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利用监管备案或托管安排增信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《私募若干规定》第六条第一款第（七）项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BAN-012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安全性表述的语境审查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《基金宣传推介暂行规定》第十五条第（二）项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BAN-013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承诺保本保收益或暗示无风险（理财产品）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《广告法》第二十五条第（一）项</w:t>
            </w:r>
          </w:p>
        </w:tc>
      </w:tr>
    </w:tbl>
    <w:p>
      <w:pPr>
        <w:spacing w:after="40"/>
      </w:pPr>
    </w:p>
    <w:p>
      <w:pPr>
        <w:pStyle w:val="Heading2"/>
      </w:pPr>
      <w:r>
        <w:t>4.3 业绩展示规则（performance-display.json）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850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规则名称</w:t>
            </w:r>
          </w:p>
        </w:tc>
        <w:tc>
          <w:tcPr>
            <w:tcW w:type="dxa" w:w="107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判定／级别</w:t>
            </w:r>
          </w:p>
        </w:tc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检测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适用范围</w:t>
            </w:r>
          </w:p>
        </w:tc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法条依据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业绩展示区间不足 6 个月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数值判断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《基金宣传推介暂行规定》第四条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基金合同生效不足 6 个月不得展示过往业绩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《基金宣传推介暂行规定》第四条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业绩展示须覆盖完整会计年度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《基金宣传推介暂行规定》第四条第（一）至（三）项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展示过往业绩须同时登载业绩比较基准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《基金宣传推介暂行规定》第四条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不得展示非基金合同约定的业绩比较基准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《业绩基准指引》第十六条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业绩数据须注明出处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《基金宣传推介暂行规定》第五条第（二）项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PERF-007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基金经理业绩须覆盖全部同类产品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《基金宣传推介暂行规定》第六条第二款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引用评价结果的时效与要素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《基金宣传推介暂行规定》第九条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PERF-009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模拟与回测业绩的披露要求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《基金宣传推介暂行规定》第五条第（二）项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私募证券基金业绩展示门槛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中基协《私募证券运作指引》第六条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PERF-011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私募不得节选少于 6 个月的过往业绩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数值判断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中基协《私募募集办法》第二十四条第（六）项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PERF-012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业绩比较的方法论要求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需人工研判／黄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《基金宣传推介暂行规定》第七条；中基协《私募募集办法》第二十四条第（八）项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PERF-013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网络渠道业绩展示禁止行为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需人工研判（未生效）／橙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全部产品；线上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《网络营销办法》第十条第（三）项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PERF-014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理财产品突出展示业绩比较基准数值且未说明测算依据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《理财销售办法》第二十五条第三项</w:t>
            </w:r>
          </w:p>
        </w:tc>
      </w:tr>
    </w:tbl>
    <w:p>
      <w:pPr>
        <w:spacing w:after="40"/>
      </w:pPr>
    </w:p>
    <w:p>
      <w:pPr>
        <w:pStyle w:val="Heading2"/>
      </w:pPr>
      <w:r>
        <w:t>4.4 必备要素规则（mandatory-elements.json）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850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规则名称</w:t>
            </w:r>
          </w:p>
        </w:tc>
        <w:tc>
          <w:tcPr>
            <w:tcW w:type="dxa" w:w="107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判定／级别</w:t>
            </w:r>
          </w:p>
        </w:tc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检测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适用范围</w:t>
            </w:r>
          </w:p>
        </w:tc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法条依据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缺少风险揭示或风险提示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必备要素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《广告法》第二十五条；《基金宣传推介暂行规定》第十二条第一款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登载过往业绩但缺少法定声明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《基金宣传推介暂行规定》第六条第一款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提及证监会注册但缺少免责声明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《基金宣传推介暂行规定》第十四条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登载股东背景但缺少业务隔离声明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券商推广材料未标明必备三项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全部产品；证券公司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中证协《适当性指引》第二十二条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产品风险等级标注（公募基金场景）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建议／黄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必备要素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无条款依据（行业惯例）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REQ-007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理财产品未标明风险等级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必备要素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《理财销售办法》第三十条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销售机构标注的风险等级不得低于管理人评级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中基协《适当性细则》第十一条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REQ-009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特殊基金品种缺少专门揭示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条件必备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《基金宣传推介暂行规定》第十一条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通用风险提示语（行业惯例）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建议／黄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必备要素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无条款依据（行业惯例）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REQ-011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理财产品材料缺少风险提示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必备要素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理财产品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《广告法》第二十五条第一款</w:t>
            </w:r>
          </w:p>
        </w:tc>
      </w:tr>
    </w:tbl>
    <w:p>
      <w:pPr>
        <w:spacing w:after="40"/>
      </w:pPr>
    </w:p>
    <w:p>
      <w:pPr>
        <w:pStyle w:val="Heading2"/>
      </w:pPr>
      <w:r>
        <w:t>4.5 呈现形式规则（format-presentation.json）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850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规则名称</w:t>
            </w:r>
          </w:p>
        </w:tc>
        <w:tc>
          <w:tcPr>
            <w:tcW w:type="dxa" w:w="107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判定／级别</w:t>
            </w:r>
          </w:p>
        </w:tc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检测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适用范围</w:t>
            </w:r>
          </w:p>
        </w:tc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6"/>
              </w:rPr>
              <w:t>法条依据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FMT-001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业绩与业绩比较基准未在同一位置展示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《业绩基准指引》第十六条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FMT-002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募集上限被强调或作为销售主题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需人工研判／橙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《基金宣传推介暂行规定》第十三条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FMT-003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动态素材风险提示时长不足 5 秒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违规／橙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数值判断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公募基金；视频、音频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《基金宣传推介暂行规定》第十二条第二款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FMT-004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风险提示与收益表述的呈现均衡度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建议／黄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人工研判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公募基金、私募基金、资管计划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《基金宣传推介暂行规定》第十二条第一款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FMT-005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已废止规则中的禁用词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建议／黄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关键词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公募基金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无条款依据（行业惯例）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五、法律依据来源</w:t>
      </w:r>
    </w:p>
    <w:p>
      <w:pPr>
        <w:pStyle w:val="Heading2"/>
      </w:pPr>
      <w:r>
        <w:t>5.1 引用的法规与频次</w:t>
      </w:r>
    </w:p>
    <w:p>
      <w:r>
        <w:rPr>
          <w:rFonts w:ascii="宋体" w:hAnsi="宋体" w:eastAsia="宋体"/>
          <w:b w:val="0"/>
          <w:i w:val="0"/>
          <w:sz w:val="21"/>
        </w:rPr>
        <w:t>references/legal-index.md 收录 39 个法条条目，按效力位阶分五层。每条规则通过 ref_id 指向索引条目，校验脚本会检查引用的条目是否存在。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4876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法规全称</w:t>
            </w:r>
          </w:p>
        </w:tc>
        <w:tc>
          <w:tcPr>
            <w:tcW w:type="dxa" w:w="24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文档中简称</w:t>
            </w:r>
          </w:p>
        </w:tc>
        <w:tc>
          <w:tcPr>
            <w:tcW w:type="dxa" w:w="147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被规则引用次数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《公开募集证券投资基金宣传推介材料管理暂行规定》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《基金宣传推介暂行规定》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24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《中华人民共和国广告法》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《广告法》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中基协《私募投资基金募集行为管理办法》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中基协《私募募集办法》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《公开募集证券投资基金业绩比较基准指引》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《业绩基准指引》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《公开募集证券投资基金销售机构监督管理办法》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《基金销售机构办法》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《私募投资基金监督管理条例》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《私募条例》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《关于加强私募投资基金监管的若干规定》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《私募若干规定》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《证券期货经营机构私募资产管理业务管理办法》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《私募资管办法》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《金融产品网络营销管理办法》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《网络营销办法》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《理财公司理财产品销售管理暂行办法》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《理财销售办法》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中基协《私募证券投资基金运作指引》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中基协《私募证券运作指引》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中证协《证券公司投资者适当性制度指引》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中证协《适当性指引》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中基协《公开募集证券投资基金投资者适当性管理细则》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中基协《适当性细则》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《公开募集证券投资基金宣传推介材料管理暂行规定》（证监会公告〔2020〕59 号）被引用 24 次，是公募营销材料审查的主干规范。法条索引中另有部分条目已收录但暂未被规则引用，属于覆盖面扩展的预留。</w:t>
      </w:r>
    </w:p>
    <w:p>
      <w:pPr>
        <w:pStyle w:val="Heading2"/>
      </w:pPr>
      <w:r>
        <w:t>5.2 核实状态</w:t>
      </w:r>
    </w:p>
    <w:p>
      <w:r>
        <w:rPr>
          <w:rFonts w:ascii="宋体" w:hAnsi="宋体" w:eastAsia="宋体"/>
          <w:b w:val="0"/>
          <w:i w:val="0"/>
          <w:sz w:val="21"/>
        </w:rPr>
        <w:t>每个法条条目标注核实状态。保留这个字段而不是一律标注「已核实」，是因为报告中的法条原文会被合规人员拿去作为举证依据，来源不够硬的必须让使用者知道。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核实状态</w:t>
            </w:r>
          </w:p>
        </w:tc>
        <w:tc>
          <w:tcPr>
            <w:tcW w:type="dxa" w:w="1020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6123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已核实原文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33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从官方来源取得条款完整原文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已核实存在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确认条款存在，但未从官方来源取得完整原文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未能核实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无法确认，禁止被规则引用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1"/>
        </w:rPr>
        <w:t>标注为「已核实存在」的条目中，以下几条附有具体说明：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402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条目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N-BM-16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《公开募集证券投资基金业绩比较基准指引》第十六条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条文经第三方站点转载核对，建议以证监会官网附件 PDF 复核后升级为"已核实原文"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SA-SEC-22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中证协《证券公司投资者适当性制度指引》第二十二条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内容经华宝证券、甘肃证券期货业协会两处转载核对一致，未从中证协官网取得原文，建议复核后升级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SA-AMAC-SUIT-38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中基协《基金募集机构投资者适当性管理实施指引（试行）》第三十八条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条款号经多来源交叉印证，未能从 amac.org.cn 取得正文，暂不标为已核实原文</w:t>
            </w:r>
          </w:p>
        </w:tc>
      </w:tr>
    </w:tbl>
    <w:p>
      <w:pPr>
        <w:spacing w:after="40"/>
      </w:pPr>
    </w:p>
    <w:p>
      <w:pPr>
        <w:pStyle w:val="Heading2"/>
      </w:pPr>
      <w:r>
        <w:t>5.3 时效性处理</w:t>
      </w:r>
    </w:p>
    <w:p>
      <w:r>
        <w:rPr>
          <w:rFonts w:ascii="宋体" w:hAnsi="宋体" w:eastAsia="宋体"/>
          <w:b w:val="0"/>
          <w:i w:val="0"/>
          <w:sz w:val="21"/>
        </w:rPr>
        <w:t>法条索引开头设有「时效性警示」一节，处理两类问题：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已废止但仍在流传的规则。</w:t>
      </w:r>
      <w:r>
        <w:rPr>
          <w:rFonts w:ascii="宋体" w:hAnsi="宋体" w:eastAsia="宋体"/>
          <w:sz w:val="21"/>
        </w:rPr>
        <w:t>证监会公告〔2008〕2 号已被 2020 年 59 号文第二十条明文废止，但其禁用词表和「5 个工作日内报证监局备案」的流程要求仍在大量资料中流传。现行《基金宣传推介暂行规定》没有向证监局报备的要求，只要求内部合规审查、出具合规意见书、存档备查。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已发布未生效的规则。</w:t>
      </w:r>
      <w:r>
        <w:rPr>
          <w:rFonts w:ascii="宋体" w:hAnsi="宋体" w:eastAsia="宋体"/>
          <w:sz w:val="21"/>
        </w:rPr>
        <w:t>《金融产品网络营销管理办法》2026 年 9 月 30 日施行，相关规则标记为未生效，报告中单独分节。《公开募集证券投资基金销售行为规范》仍为征求意见稿，不入规则库。</w:t>
      </w:r>
    </w:p>
    <w:p>
      <w:pPr>
        <w:pStyle w:val="Heading2"/>
      </w:pPr>
      <w:r>
        <w:t>5.4 完整法条索引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5443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法规与条款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生效状态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L-AD-09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《中华人民共和国广告法》第九条第三项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L-AD-25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《中华人民共和国广告法》第二十五条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L-AD-08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《中华人民共和国广告法》第八条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R-PF-20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《私募投资基金监督管理条例》第二十条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R-PF-32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《私募投资基金监督管理条例》第三十二条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D-SUIT-22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《证券期货投资者适当性管理办法》第二十二条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D-SUIT-15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《证券期货投资者适当性管理办法》第十五条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D-FS-24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《公开募集证券投资基金销售机构监督管理办法》第二十四条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D-FS-16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《公开募集证券投资基金销售机构监督管理办法》第十六条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D-FS-61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《公开募集证券投资基金销售机构监督管理办法》第六十一条第五项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D-AM-52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《证券期货经营机构私募资产管理业务管理办法》第五十二条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D-AM-26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《证券期货经营机构私募资产管理业务管理办法》第二十六条第二款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D-PF-14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《私募投资基金监督管理暂行办法》第十四条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D-PF-15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《私募投资基金监督管理暂行办法》第十五条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D-WM-30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《理财公司理财产品销售管理暂行办法》第三十条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D-WM-25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《理财公司理财产品销售管理暂行办法》第二十五条第三项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《公开募集证券投资基金宣传推介材料管理暂行规定》第十五条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N-AD-04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《公开募集证券投资基金宣传推介材料管理暂行规定》第四条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N-AD-05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《公开募集证券投资基金宣传推介材料管理暂行规定》第五条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N-AD-06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N-AD-07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《公开募集证券投资基金宣传推介材料管理暂行规定》第七条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N-AD-09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《公开募集证券投资基金宣传推介材料管理暂行规定》第九条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《公开募集证券投资基金宣传推介材料管理暂行规定》第十一条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《公开募集证券投资基金宣传推介材料管理暂行规定》第十二条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《公开募集证券投资基金宣传推介材料管理暂行规定》第十三条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《公开募集证券投资基金宣传推介材料管理暂行规定》第十四条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N-AD-16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《公开募集证券投资基金宣传推介材料管理暂行规定》第十六条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N-PF-06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《关于加强私募投资基金监管的若干规定》第六条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N-BM-16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《公开募集证券投资基金业绩比较基准指引》第十六条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N-NET-10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《金融产品网络营销管理办法》第十条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已发布未生效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N-NET-16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《金融产品网络营销管理办法》第十六条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已发布未生效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N-NET-36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《金融产品网络营销管理办法》第三十六条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已发布未生效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SA-SEC-22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中证协《证券公司投资者适当性制度指引》第二十二条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SA-AMAC-24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中基协《私募投资基金募集行为管理办法》第二十四条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SA-AMAC-23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中基协《私募投资基金募集行为管理办法》第二十三条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SA-AMAC-PSF-06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中基协《私募证券投资基金运作指引》第六条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SA-AMAC-SUIT-11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中基协《公开募集证券投资基金投资者适当性管理细则》第十一条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SA-AMAC-SUIT-38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中基协《基金募集机构投资者适当性管理实施指引（试行）》第三十八条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现行有效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六、质量保障机制</w:t>
      </w:r>
    </w:p>
    <w:p>
      <w:pPr>
        <w:pStyle w:val="Heading2"/>
      </w:pPr>
      <w:r>
        <w:t>6.1 规则库校验</w:t>
      </w:r>
    </w:p>
    <w:p>
      <w:r>
        <w:rPr>
          <w:rFonts w:ascii="宋体" w:hAnsi="宋体" w:eastAsia="宋体"/>
          <w:b w:val="0"/>
          <w:i w:val="0"/>
          <w:sz w:val="21"/>
        </w:rPr>
        <w:t>validate_rules.py 对整个规则库执行校验，任何规则改动后必须通过，不通过不得交付。校验项包括：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字段完整性与枚举取值合法性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rule_id 全局唯一性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全部正则表达式可编译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legal_basis 引用的 ref_id 在法条索引中存在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行业惯例类规则未挂条款号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执行每条规则的内嵌测试用例</w:t>
      </w:r>
    </w:p>
    <w:p>
      <w:pPr>
        <w:pStyle w:val="Heading2"/>
      </w:pPr>
      <w:r>
        <w:t>6.2 内嵌回归测试</w:t>
      </w:r>
    </w:p>
    <w:p>
      <w:r>
        <w:rPr>
          <w:rFonts w:ascii="宋体" w:hAnsi="宋体" w:eastAsia="宋体"/>
          <w:b w:val="0"/>
          <w:i w:val="0"/>
          <w:sz w:val="21"/>
        </w:rPr>
        <w:t>每条规则携带 match 与 no_match 两组测试样例，当前共 129 个用例，校验时全部执行。</w:t>
      </w:r>
    </w:p>
    <w:p>
      <w:r>
        <w:rPr>
          <w:rFonts w:ascii="宋体" w:hAnsi="宋体" w:eastAsia="宋体"/>
          <w:b w:val="0"/>
          <w:i w:val="0"/>
          <w:sz w:val="21"/>
        </w:rPr>
        <w:t>这是整套设计中最关键的一环。合规规则的正则天然容易过度匹配，改动一处很容易在别处引入误报，而误报在这个场景下代价极高。没有回归测试，规则库迭代几轮之后就没有人敢改了。</w:t>
      </w:r>
    </w:p>
    <w:p>
      <w:pPr>
        <w:pStyle w:val="Heading2"/>
      </w:pPr>
      <w:r>
        <w:t>6.3 误报比漏报更危险</w:t>
      </w:r>
    </w:p>
    <w:p>
      <w:r>
        <w:rPr>
          <w:rFonts w:ascii="宋体" w:hAnsi="宋体" w:eastAsia="宋体"/>
          <w:b w:val="0"/>
          <w:i w:val="0"/>
          <w:sz w:val="21"/>
        </w:rPr>
        <w:t>开发过程中使用一份完全合规的公募材料作为基线测试，抓出三个误报，全部属于同一类问题：把法规强制要求写的句子判成了违规。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命中内容</w:t>
            </w:r>
          </w:p>
        </w:tc>
        <w:tc>
          <w:tcPr>
            <w:tcW w:type="dxa" w:w="4195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材料原文</w:t>
            </w:r>
          </w:p>
        </w:tc>
        <w:tc>
          <w:tcPr>
            <w:tcW w:type="dxa" w:w="306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实际性质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没有风险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……也不表明投资于本基金没有风险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中国证监会要求的法定注册声明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预期收益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其预期风险与预期收益高于债券型基金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基金运作管理办法的风险收益特征标准句式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基准收益率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业绩比较基准收益率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法定允许的业绩比较基准列示方式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1"/>
        </w:rPr>
        <w:t>这类误报比漏报危险得多：合规人员照着报告修改，材料会从合规变成缺失法定要素。修复方式是排除上下文机制（命中点前 12 字符窗口内出现排除模式则跳过）与正则负向断言，并将这三个句子写入回归测试、在规则备注中注明不得移除。</w:t>
      </w:r>
    </w:p>
    <w:p>
      <w:pPr>
        <w:pStyle w:val="Heading2"/>
      </w:pPr>
      <w:r>
        <w:t>6.4 当前样本基线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628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样本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违规</w:t>
            </w:r>
          </w:p>
        </w:tc>
        <w:tc>
          <w:tcPr>
            <w:tcW w:type="dxa" w:w="181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需人工研判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建议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公募合规样本（误报基线）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公募违规样本（检出基线）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1"/>
        </w:rPr>
        <w:t>样本库中合规样本与违规样本同等重要：违规样本验证能否检出，合规样本验证会不会乱报。目前尚未在真实营销材料上做过评测，precision 与 recall 暂无数据。</w:t>
      </w:r>
    </w:p>
    <w:p>
      <w:r>
        <w:br w:type="page"/>
      </w:r>
    </w:p>
    <w:p>
      <w:pPr>
        <w:pStyle w:val="Heading1"/>
      </w:pPr>
      <w:r>
        <w:t>七、已知边界</w:t>
      </w:r>
    </w:p>
    <w:p>
      <w:r>
        <w:rPr>
          <w:rFonts w:ascii="宋体" w:hAnsi="宋体" w:eastAsia="宋体"/>
          <w:b w:val="0"/>
          <w:i w:val="0"/>
          <w:sz w:val="21"/>
        </w:rPr>
        <w:t>以下是当前明确做不到的事项，不以含糊表述掩盖：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边界</w:t>
            </w:r>
          </w:p>
        </w:tc>
        <w:tc>
          <w:tcPr>
            <w:tcW w:type="dxa" w:w="5669"/>
            <w:shd w:val="clear" w:fill="D9E2F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不做版式与视觉审查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字号、颜色对比度、风险提示是否「醒目」这类要求无法从纯文本判断，FMT-004 只能定为建议类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不校验外部事实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基金合同约定的业绩比较基准、管理人官方风险等级、基金经理管理的全部产品清单，需接入外部数据源才能真正校验，当前全部落在需人工研判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视频音频只能审脚本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FMT-003 的 5 秒风险提示时长需材料中标注时长信息，无法从成片直接测量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整体印象类违规依赖语义研判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稳定性弱于规则层，不保证结果可复现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规则覆盖面以公募为主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适用规则数：公募 34 条、私募 20 条、资管计划 13 条、理财产品 8 条，理财与资管偏薄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法规时效需人工维护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规则库不会自动感知新规发布，法条索引的核实时间需定期更新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尚未在真实材料上评测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当前基线来自 8 份自建样本，覆盖 43 条规则中的 39 条，真实材料准确率数据待补</w:t>
            </w:r>
          </w:p>
        </w:tc>
      </w:tr>
    </w:tbl>
    <w:p>
      <w:pPr>
        <w:spacing w:after="40"/>
      </w:pPr>
    </w:p>
    <w:p>
      <w:pPr>
        <w:pStyle w:val="Heading1"/>
      </w:pPr>
      <w:r>
        <w:t>八、使用方式</w:t>
      </w:r>
    </w:p>
    <w:p>
      <w:pPr>
        <w:pStyle w:val="Heading2"/>
      </w:pPr>
      <w:r>
        <w:t>8.1 安装</w:t>
      </w:r>
    </w:p>
    <w:p>
      <w:pPr>
        <w:spacing w:before="80" w:after="160" w:line="276" w:lineRule="auto"/>
        <w:ind w:left="340"/>
      </w:pPr>
      <w:r>
        <w:rPr>
          <w:rFonts w:ascii="Consolas" w:hAnsi="Consolas" w:eastAsia="Consolas"/>
          <w:color w:val="333333"/>
          <w:sz w:val="17"/>
        </w:rPr>
        <w:t>ln -sfn /path/to/fin-marketing-compliance-review \</w:t>
        <w:br/>
        <w:t xml:space="preserve">        ~/.workbuddy/skills/fin-marketing-compliance-review</w:t>
      </w:r>
    </w:p>
    <w:p>
      <w:r>
        <w:rPr>
          <w:rFonts w:ascii="宋体" w:hAnsi="宋体" w:eastAsia="宋体"/>
          <w:b w:val="0"/>
          <w:i w:val="0"/>
          <w:sz w:val="21"/>
        </w:rPr>
        <w:t>使用符号链接而非复制，规则库改动即时生效，无需重复同步。</w:t>
      </w:r>
    </w:p>
    <w:p>
      <w:pPr>
        <w:pStyle w:val="Heading2"/>
      </w:pPr>
      <w:r>
        <w:t>8.2 在 WorkBuddy 中调用</w:t>
      </w:r>
    </w:p>
    <w:p>
      <w:r>
        <w:rPr>
          <w:rFonts w:ascii="宋体" w:hAnsi="宋体" w:eastAsia="宋体"/>
          <w:b w:val="0"/>
          <w:i w:val="0"/>
          <w:sz w:val="21"/>
        </w:rPr>
        <w:t>直接以自然语言触发，例如「帮我审查一下这份材料能不能发」，并附上材料文件。Agent 会先确认产品类型与投放渠道等上下文，再执行扫描与研判。</w:t>
      </w:r>
    </w:p>
    <w:p>
      <w:pPr>
        <w:pStyle w:val="Heading2"/>
      </w:pPr>
      <w:r>
        <w:t>8.3 命令行调用</w:t>
      </w:r>
    </w:p>
    <w:p>
      <w:pPr>
        <w:spacing w:before="80" w:after="160" w:line="276" w:lineRule="auto"/>
        <w:ind w:left="340"/>
      </w:pPr>
      <w:r>
        <w:rPr>
          <w:rFonts w:ascii="Consolas" w:hAnsi="Consolas" w:eastAsia="Consolas"/>
          <w:color w:val="333333"/>
          <w:sz w:val="17"/>
        </w:rPr>
        <w:t>python3 scripts/scan_rules.py \</w:t>
        <w:br/>
        <w:t xml:space="preserve">  --file examples/sample-public-fund-violating.md \</w:t>
        <w:br/>
        <w:t xml:space="preserve">  --product public_fund \</w:t>
        <w:br/>
        <w:t xml:space="preserve">  --audience public \</w:t>
        <w:br/>
        <w:t xml:space="preserve">  --media online \</w:t>
        <w:br/>
        <w:t xml:space="preserve">  --institution fund_manager \</w:t>
        <w:br/>
        <w:t xml:space="preserve">  --json</w:t>
      </w:r>
    </w:p>
    <w:p>
      <w:r>
        <w:rPr>
          <w:rFonts w:ascii="宋体" w:hAnsi="宋体" w:eastAsia="宋体"/>
          <w:b w:val="0"/>
          <w:i w:val="0"/>
          <w:sz w:val="21"/>
        </w:rPr>
        <w:t>四个上下文参数均可省略，省略时对应规则跳过并在结果中说明。</w:t>
      </w:r>
    </w:p>
    <w:p>
      <w:pPr>
        <w:pStyle w:val="Heading2"/>
      </w:pPr>
      <w:r>
        <w:t>8.4 校验规则库</w:t>
      </w:r>
    </w:p>
    <w:p>
      <w:pPr>
        <w:spacing w:before="80" w:after="160" w:line="276" w:lineRule="auto"/>
        <w:ind w:left="340"/>
      </w:pPr>
      <w:r>
        <w:rPr>
          <w:rFonts w:ascii="Consolas" w:hAnsi="Consolas" w:eastAsia="Consolas"/>
          <w:color w:val="333333"/>
          <w:sz w:val="17"/>
        </w:rPr>
        <w:t>python3 scripts/validate_rules.py</w:t>
      </w:r>
    </w:p>
    <w:p>
      <w:pPr>
        <w:pStyle w:val="Heading2"/>
      </w:pPr>
      <w:r>
        <w:t>8.5 新增或修改规则</w:t>
      </w:r>
    </w:p>
    <w:p>
      <w:r>
        <w:rPr>
          <w:rFonts w:ascii="宋体" w:hAnsi="宋体" w:eastAsia="宋体"/>
          <w:b w:val="0"/>
          <w:i w:val="0"/>
          <w:sz w:val="21"/>
        </w:rPr>
        <w:t>先阅读 references/rules/SCHEMA.md，将规则放入对应的规则文件，必须包含测试样例，法条依据必须在法条索引中有对应条目。改完执行校验。规则库变更后重新运行 tools/gen_doc.py 即可同步更新本文档。</w:t>
      </w:r>
    </w:p>
    <w:p>
      <w:pPr>
        <w:pStyle w:val="Heading1"/>
      </w:pPr>
      <w:r>
        <w:t>免责声明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本工具输出的是待复核清单，不构成合规结论，不能替代合规人员的专业判断与合规意见书。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规则库中的法规状态截至法条索引标注的核实时间，使用前请自行确认法规时效。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examples/ 目录中所有机构名、产品名、人员姓名均为虚构，与任何真实主体无关。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