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Разпознаване на боядисваща глава</w:t>
      </w:r>
    </w:p>
    <w:p>
      <w:pPr>
        <w:pStyle w:val="Subtitle"/>
      </w:pPr>
      <w:r>
        <w:t>Подробно техническо ръководство за обработката на изображения съпоставянето и оценката на положението</w:t>
      </w:r>
    </w:p>
    <w:p>
      <w:r>
        <w:t>Това ръководство е за разработчици и интегратори на Paint Head Detection. То проследява едно реално изображение от получаването му през API до крайния типизиран резултат. Всеки етап е свързан с използваните параметри, междинно изображение и конкретна функция от реализацията.</w:t>
      </w:r>
    </w:p>
    <w:p>
      <w:r>
        <w:t xml:space="preserve">В основния пример главата е видима, но е наклонена спрямо правилно поставената референция. Двата крепежа дават съгласувани съответствия. Измереното завъртане е </w:t>
      </w:r>
      <w:r>
        <w:rPr>
          <w:b/>
        </w:rPr>
        <w:t>-16.633°</w:t>
      </w:r>
      <w:r>
        <w:t xml:space="preserve">, а преместването на референтния център е </w:t>
      </w:r>
      <w:r>
        <w:rPr>
          <w:b/>
        </w:rPr>
        <w:t>39.918 px</w:t>
      </w:r>
      <w:r>
        <w:t xml:space="preserve">. Те надвишават текущите граници 2° и 10 px. След три последователни наблюдения резултатът е </w:t>
      </w:r>
      <w:r>
        <w:rPr>
          <w:b/>
        </w:rPr>
        <w:t>HEAD_MISALIGNED</w:t>
      </w:r>
      <w:r>
        <w:t>. Самото наличие на разпознаваем обект не означава правилно поставяне.</w:t>
      </w:r>
    </w:p>
    <w:p>
      <w:r>
        <w:t xml:space="preserve">Описана е реализацията към </w:t>
      </w:r>
      <w:r>
        <w:rPr>
          <w:b/>
        </w:rPr>
        <w:t>SVN r109</w:t>
      </w:r>
      <w:r>
        <w:t xml:space="preserve">, Git </w:t>
      </w:r>
      <w:r>
        <w:rPr>
          <w:rFonts w:ascii="DejaVu Sans Mono" w:hAnsi="DejaVu Sans Mono"/>
          <w:sz w:val="19"/>
        </w:rPr>
        <w:t>726f8cc</w:t>
      </w:r>
      <w:r>
        <w:t xml:space="preserve">, с локални OpenCV </w:t>
      </w:r>
      <w:r>
        <w:rPr>
          <w:b/>
        </w:rPr>
        <w:t>5.0.0</w:t>
      </w:r>
      <w:r>
        <w:t xml:space="preserve"> и NumPy </w:t>
      </w:r>
      <w:r>
        <w:rPr>
          <w:b/>
        </w:rPr>
        <w:t>2.5.2</w:t>
      </w:r>
      <w:r>
        <w:t>. Изображенията са реални запазени кадри. Цветните карти, контурите, маските и означенията са изчислени от тези кадри. Не са генерирани изображения на оборудването.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712464"/>
            <wp:docPr id="1" name="Picture 1" descr="Общ поток на обработката. Проверката на качеството използва суровите пиксели на ROI. Тя участва в решението заедно с доказателствата от съпоставянето и геометрият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1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Фигура 1  Общ поток на обработката. Проверката на качеството използва суровите пиксели на ROI. Тя участва в решението заедно с доказателствата от съпоставянето и геометрията.</w:t>
      </w:r>
    </w:p>
    <w:p>
      <w:r>
        <w:br w:type="page"/>
      </w:r>
    </w:p>
    <w:p>
      <w:pPr>
        <w:pStyle w:val="Heading1"/>
      </w:pPr>
      <w:r>
        <w:t>Съдържание</w:t>
      </w:r>
    </w:p>
    <w:p>
      <w:r>
        <w:t>Разделите следват последователността на действителната обработка. Връзките водят към съответните заглавия в документа.</w:t>
      </w:r>
    </w:p>
    <w:p>
      <w:pPr>
        <w:spacing w:after="120"/>
      </w:pPr>
      <w:hyperlink w:anchor="chapter_1">
        <w:r>
          <w:rPr>
            <w:color w:val="000000"/>
          </w:rPr>
          <w:t>1 Задача и модел на сцената</w:t>
        </w:r>
      </w:hyperlink>
    </w:p>
    <w:p>
      <w:pPr>
        <w:spacing w:after="120"/>
      </w:pPr>
      <w:hyperlink w:anchor="chapter_2">
        <w:r>
          <w:rPr>
            <w:color w:val="000000"/>
          </w:rPr>
          <w:t>2 Референции и реални кадри</w:t>
        </w:r>
      </w:hyperlink>
    </w:p>
    <w:p>
      <w:pPr>
        <w:spacing w:after="120"/>
      </w:pPr>
      <w:hyperlink w:anchor="chapter_3">
        <w:r>
          <w:rPr>
            <w:color w:val="000000"/>
          </w:rPr>
          <w:t>3 Приемане на изображението</w:t>
        </w:r>
      </w:hyperlink>
    </w:p>
    <w:p>
      <w:pPr>
        <w:spacing w:after="120"/>
      </w:pPr>
      <w:hyperlink w:anchor="chapter_4">
        <w:r>
          <w:rPr>
            <w:color w:val="000000"/>
          </w:rPr>
          <w:t>4 Област на интерес и изключване на променливи обекти</w:t>
        </w:r>
      </w:hyperlink>
    </w:p>
    <w:p>
      <w:pPr>
        <w:spacing w:after="120"/>
      </w:pPr>
      <w:hyperlink w:anchor="chapter_5">
        <w:r>
          <w:rPr>
            <w:color w:val="000000"/>
          </w:rPr>
          <w:t>5 Предварителна обработка на изображението</w:t>
        </w:r>
      </w:hyperlink>
    </w:p>
    <w:p>
      <w:pPr>
        <w:spacing w:after="120"/>
      </w:pPr>
      <w:hyperlink w:anchor="chapter_6">
        <w:r>
          <w:rPr>
            <w:color w:val="000000"/>
          </w:rPr>
          <w:t>6 Проверка на качеството на суровия кадър</w:t>
        </w:r>
      </w:hyperlink>
    </w:p>
    <w:p>
      <w:pPr>
        <w:spacing w:after="120"/>
      </w:pPr>
      <w:hyperlink w:anchor="chapter_7">
        <w:r>
          <w:rPr>
            <w:color w:val="000000"/>
          </w:rPr>
          <w:t>7 Шаблони и близост до контур</w:t>
        </w:r>
      </w:hyperlink>
    </w:p>
    <w:p>
      <w:pPr>
        <w:spacing w:after="120"/>
      </w:pPr>
      <w:hyperlink w:anchor="chapter_8">
        <w:r>
          <w:rPr>
            <w:color w:val="000000"/>
          </w:rPr>
          <w:t>8 Структурна оценка на съвпадението</w:t>
        </w:r>
      </w:hyperlink>
    </w:p>
    <w:p>
      <w:pPr>
        <w:spacing w:after="120"/>
      </w:pPr>
      <w:hyperlink w:anchor="chapter_9">
        <w:r>
          <w:rPr>
            <w:color w:val="000000"/>
          </w:rPr>
          <w:t>9 Търсене на пространствени и ъглови кандидати</w:t>
        </w:r>
      </w:hyperlink>
    </w:p>
    <w:p>
      <w:pPr>
        <w:spacing w:after="120"/>
      </w:pPr>
      <w:hyperlink w:anchor="chapter_10">
        <w:r>
          <w:rPr>
            <w:color w:val="000000"/>
          </w:rPr>
          <w:t>10 Геометрично съгласуване на признаците</w:t>
        </w:r>
      </w:hyperlink>
    </w:p>
    <w:p>
      <w:pPr>
        <w:spacing w:after="120"/>
      </w:pPr>
      <w:hyperlink w:anchor="chapter_11">
        <w:r>
          <w:rPr>
            <w:color w:val="000000"/>
          </w:rPr>
          <w:t>11 Положително доказателство за празна стойка</w:t>
        </w:r>
      </w:hyperlink>
    </w:p>
    <w:p>
      <w:pPr>
        <w:spacing w:after="120"/>
      </w:pPr>
      <w:hyperlink w:anchor="chapter_12">
        <w:r>
          <w:rPr>
            <w:color w:val="000000"/>
          </w:rPr>
          <w:t>12 Решение за текущия кадър</w:t>
        </w:r>
      </w:hyperlink>
    </w:p>
    <w:p>
      <w:pPr>
        <w:spacing w:after="120"/>
      </w:pPr>
      <w:hyperlink w:anchor="chapter_13">
        <w:r>
          <w:rPr>
            <w:color w:val="000000"/>
          </w:rPr>
          <w:t>13 Потвърждение във времето и възстановяване</w:t>
        </w:r>
      </w:hyperlink>
    </w:p>
    <w:p>
      <w:pPr>
        <w:spacing w:after="120"/>
      </w:pPr>
      <w:hyperlink w:anchor="chapter_14">
        <w:r>
          <w:rPr>
            <w:color w:val="000000"/>
          </w:rPr>
          <w:t>14 Краен резултат и използване от друг компонент</w:t>
        </w:r>
      </w:hyperlink>
    </w:p>
    <w:p>
      <w:pPr>
        <w:spacing w:after="120"/>
      </w:pPr>
      <w:hyperlink w:anchor="chapter_15">
        <w:r>
          <w:rPr>
            <w:color w:val="000000"/>
          </w:rPr>
          <w:t>15 Реален пример за погрешно съответствие</w:t>
        </w:r>
      </w:hyperlink>
    </w:p>
    <w:p>
      <w:pPr>
        <w:spacing w:after="120"/>
      </w:pPr>
      <w:hyperlink w:anchor="chapter_16">
        <w:r>
          <w:rPr>
            <w:color w:val="000000"/>
          </w:rPr>
          <w:t>16 Практическа настройка и валидиране</w:t>
        </w:r>
      </w:hyperlink>
    </w:p>
    <w:p>
      <w:pPr>
        <w:spacing w:after="120"/>
      </w:pPr>
      <w:hyperlink w:anchor="chapter_17">
        <w:r>
          <w:rPr>
            <w:color w:val="000000"/>
          </w:rPr>
          <w:t>17 Производителност и разпределение на отговорностите</w:t>
        </w:r>
      </w:hyperlink>
    </w:p>
    <w:p>
      <w:pPr>
        <w:spacing w:after="120"/>
      </w:pPr>
      <w:hyperlink w:anchor="chapter_18">
        <w:r>
          <w:rPr>
            <w:color w:val="000000"/>
          </w:rPr>
          <w:t>18 Карта на кода</w:t>
        </w:r>
      </w:hyperlink>
    </w:p>
    <w:p>
      <w:pPr>
        <w:spacing w:after="120"/>
      </w:pPr>
      <w:hyperlink w:anchor="chapter_19">
        <w:r>
          <w:rPr>
            <w:color w:val="000000"/>
          </w:rPr>
          <w:t>19 Проследимост на изображенията и настройките</w:t>
        </w:r>
      </w:hyperlink>
    </w:p>
    <w:p>
      <w:pPr>
        <w:spacing w:after="120"/>
      </w:pPr>
      <w:hyperlink w:anchor="chapter_20">
        <w:r>
          <w:rPr>
            <w:color w:val="000000"/>
          </w:rPr>
          <w:t>20 Източници за използваните операции</w:t>
        </w:r>
      </w:hyperlink>
    </w:p>
    <w:p>
      <w:r>
        <w:br w:type="page"/>
      </w:r>
    </w:p>
    <w:p>
      <w:bookmarkStart w:id="101" w:name="chapter_1"/>
      <w:pPr>
        <w:pStyle w:val="Heading1"/>
      </w:pPr>
      <w:r>
        <w:t>1 Задача и модел на сцената</w:t>
      </w:r>
      <w:bookmarkEnd w:id="101"/>
    </w:p>
    <w:p>
      <w:r>
        <w:t>Детекторът трябва да отговори на два свързани въпроса: има ли достатъчно визуални доказателства за главата и съответства ли измереното ѝ положение на правилната референция. Когато главата липсва, той търси положителни доказателства за празната стойка. Когато информацията е недостатъчна или противоречива, връща UNKNOWN.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2880"/>
        <w:gridCol w:w="2304"/>
        <w:gridCol w:w="4896"/>
      </w:tblGrid>
      <w:tr>
        <w:trPr>
          <w:tblHeader/>
          <w:cantSplit/>
        </w:trPr>
        <w:tc>
          <w:tcPr>
            <w:tcW w:type="dxa" w:w="2880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2304"/>
            <w:vAlign w:val="center"/>
            <w:shd w:fill="20384D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4896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Какво го обосновава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HEAD_PRESENT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Главата е разпозната и положението е допустимо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Съгласувани опорни признаци, използваем кадър и положение в активните граници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HEAD_MISALIGNED</w:t>
            </w:r>
          </w:p>
        </w:tc>
        <w:tc>
          <w:tcPr>
            <w:tcW w:type="dxa" w:w="2304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Главата е разпозната, но положението е извън границите</w:t>
            </w:r>
          </w:p>
        </w:tc>
        <w:tc>
          <w:tcPr>
            <w:tcW w:type="dxa" w:w="4896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Достатъчни признаци и измерим геометричен трансформ, който нарушава поне една граница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HEAD_MISSING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Празната стойка е разпозната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Сходство на фиксирана област и достатъчно съгласувани признаци на стойката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UNKNOWN</w:t>
            </w:r>
          </w:p>
        </w:tc>
        <w:tc>
          <w:tcPr>
            <w:tcW w:type="dxa" w:w="2304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sz w:val="20"/>
              </w:rPr>
              <w:t>Няма потвърдено еднозначно решение</w:t>
            </w:r>
          </w:p>
        </w:tc>
        <w:tc>
          <w:tcPr>
            <w:tcW w:type="dxa" w:w="4896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sz w:val="20"/>
              </w:rPr>
              <w:t>Недостатъчни или противоречиви доказателства, лошо качество или незавършено потвърждение</w:t>
            </w:r>
          </w:p>
        </w:tc>
      </w:tr>
    </w:tbl>
    <w:p>
      <w:pPr>
        <w:spacing w:after="60"/>
      </w:pPr>
    </w:p>
    <w:p>
      <w:r>
        <w:t>Моделът предполага неподвижна камера, постоянен мащаб и приблизително твърдо движение на главата в равнината на изображението. Два добре отделени центъра могат да определят ъгъл и преместване. Трети отличим детайл може да помогне за избягване на объркване между подобни крепежи.</w:t>
      </w:r>
    </w:p>
    <w:p>
      <w:r>
        <w:t>Признак наричаме избрания референтен детайл, а шаблон — неговото контурно представяне. Кандидат е конкретно възможно съответствие в текущия кадър. Inlier е съответствие, което преминава оценката и подкрепя избраното общо движение. Общото завъртане и преместване наричаме поза в равнината на изображението.</w:t>
      </w:r>
    </w:p>
    <w:p>
      <w:r>
        <w:t>Сравняването на контури е подходящо за тази фиксирана сцена, защото формата на крепежите е по-постоянна от яркостта на металните повърхности. Референтните изображения позволяват конфигуриране без обучение на модел. Всяко съответствие, оценка и геометрично отклонение може да бъде показано. Това прави решението проследимо, но не гарантира, че всички възможни грешни съответствия ще бъдат отхвърлени.</w:t>
      </w:r>
    </w:p>
    <w:p>
      <w:r>
        <w:t>Тук няма обучена невронна мрежа, оценка на тримерна поза, промяна на мащаба или проверка на механично заключване. Камерата може да покаже изместена глава, но скрито непълно влизане в съединител може да не се различава в изображението. Пикселното преместване не е измерване в милиметри без отделна геометрична калибрация.</w:t>
      </w:r>
    </w:p>
    <w:p>
      <w:bookmarkStart w:id="102" w:name="chapter_2"/>
      <w:pPr>
        <w:pStyle w:val="Heading1"/>
      </w:pPr>
      <w:r>
        <w:t>2 Референции и реални кадри</w:t>
      </w:r>
      <w:bookmarkEnd w:id="102"/>
    </w:p>
    <w:p>
      <w:r>
        <w:t xml:space="preserve">Двете референции имат различни роли. </w:t>
      </w:r>
      <w:r>
        <w:rPr>
          <w:rFonts w:ascii="DejaVu Sans Mono" w:hAnsi="DejaVu Sans Mono"/>
          <w:sz w:val="19"/>
        </w:rPr>
        <w:t>references.present</w:t>
      </w:r>
      <w:r>
        <w:t xml:space="preserve"> задава вида и очакваните центрове на признаците при правилно поставена глава. </w:t>
      </w:r>
      <w:r>
        <w:rPr>
          <w:rFonts w:ascii="DejaVu Sans Mono" w:hAnsi="DejaVu Sans Mono"/>
          <w:sz w:val="19"/>
        </w:rPr>
        <w:t>references.missing</w:t>
      </w:r>
      <w:r>
        <w:t xml:space="preserve"> задава вида на откритата стойка и нейните крепежи. Те трябва да са заснети от една и съща камера при еднаква резолюция и неподвижен монтаж.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97382"/>
            <wp:docPr id="2" name="Picture 2" descr="Референтните изображения, изрязани до общата област на интерес. И двата входни файла са пълни кадри 1280 на 720 пиксела; тук е показан само участъкът, който участва в детекцият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feren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Фигура 2  Референтните изображения, изрязани до общата област на интерес. И двата входни файла са пълни кадри 1280 на 720 пиксела; тук е показан само участъкът, който участва в детекцията.</w:t>
      </w:r>
    </w:p>
    <w:p>
      <w:r>
        <w:t xml:space="preserve">Основният кадър е </w:t>
      </w:r>
      <w:r>
        <w:rPr>
          <w:rFonts w:ascii="DejaVu Sans Mono" w:hAnsi="DejaVu Sans Mono"/>
          <w:sz w:val="19"/>
        </w:rPr>
        <w:t>20261028T141407_073347Z.png</w:t>
      </w:r>
      <w:r>
        <w:t xml:space="preserve">. Името съдържа време в UTC. Използваният оригинал е запазен в </w:t>
      </w:r>
      <w:r>
        <w:rPr>
          <w:rFonts w:ascii="DejaVu Sans Mono" w:hAnsi="DejaVu Sans Mono"/>
          <w:sz w:val="19"/>
        </w:rPr>
        <w:t>output/captures/20261028T141402_707354Z/original/</w:t>
      </w:r>
      <w:r>
        <w:t>. Оригиналът не съдържа нарисувани рамки или текст. Анотациите на следващата фигура са добавени върху копие само за обяснение.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 descr="Пълен реален входен кадър. Зелената рамка е инспекционният ROI, жълтата е изключената променлива камера, циановата е областта за сравняване с празната стойка. Белите малки рамки са очакваните признаци от правилната референц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put_reg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Фигура 3  Пълен реален входен кадър. Зелената рамка е инспекционният ROI, жълтата е изключената променлива камера, циановата е областта за сравняване с празната стойка. Белите малки рамки са очакваните признаци от правилната референция.</w:t>
      </w:r>
    </w:p>
    <w:p>
      <w:r>
        <w:t xml:space="preserve">Използваните за документа междинни контури са проверени с </w:t>
      </w:r>
      <w:r>
        <w:rPr>
          <w:rFonts w:ascii="DejaVu Sans Mono" w:hAnsi="DejaVu Sans Mono"/>
          <w:sz w:val="19"/>
        </w:rPr>
        <w:t>np.array_equal</w:t>
      </w:r>
      <w:r>
        <w:t xml:space="preserve"> срещу действителния </w:t>
      </w:r>
      <w:r>
        <w:rPr>
          <w:rFonts w:ascii="DejaVu Sans Mono" w:hAnsi="DejaVu Sans Mono"/>
          <w:sz w:val="19"/>
        </w:rPr>
        <w:t>ImageProcessor.extract_edges</w:t>
      </w:r>
      <w:r>
        <w:t xml:space="preserve"> за всичките шест разгледани сцени. Освен това е проверено, че извън допустимата маска няма ненулеви крайни контури. Това удостоверява, че илюстрациите следват реалния алгоритъм. Не е измерване на точността върху независимо анотиран производствен набор.</w:t>
      </w:r>
    </w:p>
    <w:p>
      <w:bookmarkStart w:id="103" w:name="chapter_3"/>
      <w:pPr>
        <w:pStyle w:val="Heading1"/>
      </w:pPr>
      <w:r>
        <w:t>3 Приемане на изображението</w:t>
      </w:r>
      <w:bookmarkEnd w:id="103"/>
    </w:p>
    <w:p>
      <w:r>
        <w:t xml:space="preserve">Публичната входна точка е </w:t>
      </w:r>
      <w:r>
        <w:rPr>
          <w:rFonts w:ascii="DejaVu Sans Mono" w:hAnsi="DejaVu Sans Mono"/>
          <w:sz w:val="19"/>
        </w:rPr>
        <w:t>PaintHeadDetector.get_status(image)</w:t>
      </w:r>
      <w:r>
        <w:t>. Компонентът, който извиква API, осигурява изображението. Камера, файл, мрежов поток или друго приложение могат да бъдат източникът; детекторът не отваря камера и не показва прозорец.</w:t>
      </w:r>
    </w:p>
    <w:p>
      <w:pPr>
        <w:pStyle w:val="ManualCode"/>
        <w:keepLines w:val="0"/>
      </w:pPr>
      <w:r>
        <w:t>from paint_head_detector import PaintHeadDetector</w:t>
        <w:br/>
        <w:br/>
        <w:t>paint_head_detector = PaintHeadDetector(configuration)</w:t>
        <w:br/>
        <w:t>result = paint_head_detector.get_status(image)</w:t>
      </w:r>
    </w:p>
    <w:p>
      <w:r>
        <w:rPr>
          <w:rFonts w:ascii="DejaVu Sans Mono" w:hAnsi="DejaVu Sans Mono"/>
          <w:sz w:val="19"/>
        </w:rPr>
        <w:t>ImageValidator</w:t>
      </w:r>
      <w:r>
        <w:t xml:space="preserve"> изисква NumPy масив с тип </w:t>
      </w:r>
      <w:r>
        <w:rPr>
          <w:rFonts w:ascii="DejaVu Sans Mono" w:hAnsi="DejaVu Sans Mono"/>
          <w:sz w:val="19"/>
        </w:rPr>
        <w:t>uint8</w:t>
      </w:r>
      <w:r>
        <w:t xml:space="preserve">, три BGR канала и точно същите размери като референциите. За текущия пример формата е </w:t>
      </w:r>
      <w:r>
        <w:rPr>
          <w:rFonts w:ascii="DejaVu Sans Mono" w:hAnsi="DejaVu Sans Mono"/>
          <w:sz w:val="19"/>
        </w:rPr>
        <w:t>(720, 1280, 3)</w:t>
      </w:r>
      <w:r>
        <w:t>. RGB масивът има правилната форма, но грешен ред на каналите; извикващият компонент трябва да го преобразува до BGR.</w:t>
      </w:r>
    </w:p>
    <w:p>
      <w:r>
        <w:t xml:space="preserve">При грешен договор на входа се вдига </w:t>
      </w:r>
      <w:r>
        <w:rPr>
          <w:rFonts w:ascii="DejaVu Sans Mono" w:hAnsi="DejaVu Sans Mono"/>
          <w:sz w:val="19"/>
        </w:rPr>
        <w:t>InvalidImageError</w:t>
      </w:r>
      <w:r>
        <w:t xml:space="preserve"> с конкретна причина. Не бива грешна резолюция или неправилен тип данни да се тълкуват като визуално отсъствие на главата. UNKNOWN е нормален резултат от анализ на валиден кадър, а не заместител на грешка при интеграция.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2880"/>
        <w:gridCol w:w="2304"/>
        <w:gridCol w:w="4896"/>
      </w:tblGrid>
      <w:tr>
        <w:trPr>
          <w:tblHeader/>
          <w:cantSplit/>
        </w:trPr>
        <w:tc>
          <w:tcPr>
            <w:tcW w:type="dxa" w:w="2880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Причина</w:t>
            </w:r>
          </w:p>
        </w:tc>
        <w:tc>
          <w:tcPr>
            <w:tcW w:type="dxa" w:w="2304"/>
            <w:vAlign w:val="center"/>
            <w:shd w:fill="20384D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b/>
                <w:color w:val="FFFFFF"/>
                <w:sz w:val="20"/>
              </w:rPr>
              <w:t>Пример</w:t>
            </w:r>
          </w:p>
        </w:tc>
        <w:tc>
          <w:tcPr>
            <w:tcW w:type="dxa" w:w="4896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Резултат на операцията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IMAGE_TYPE_INVALID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Подаден е обект, който не е NumPy масив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InvalidImageError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IMAGE_DTYPE_INVALID</w:t>
            </w:r>
          </w:p>
        </w:tc>
        <w:tc>
          <w:tcPr>
            <w:tcW w:type="dxa" w:w="2304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 xml:space="preserve">Подаден е масив </w:t>
            </w:r>
            <w:r>
              <w:rPr>
                <w:rFonts w:ascii="DejaVu Sans Mono" w:hAnsi="DejaVu Sans Mono"/>
                <w:sz w:val="18"/>
              </w:rPr>
              <w:t>float32</w:t>
            </w:r>
            <w:r>
              <w:rPr>
                <w:sz w:val="20"/>
              </w:rPr>
              <w:t xml:space="preserve"> вместо </w:t>
            </w:r>
            <w:r>
              <w:rPr>
                <w:rFonts w:ascii="DejaVu Sans Mono" w:hAnsi="DejaVu Sans Mono"/>
                <w:sz w:val="18"/>
              </w:rPr>
              <w:t>uint8</w:t>
            </w:r>
          </w:p>
        </w:tc>
        <w:tc>
          <w:tcPr>
            <w:tcW w:type="dxa" w:w="4896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InvalidImageError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IMAGE_SHAPE_INVALID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Един канал, четири канала или празен масив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InvalidImageError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IMAGE_SIZE_MISMATCH</w:t>
            </w:r>
          </w:p>
        </w:tc>
        <w:tc>
          <w:tcPr>
            <w:tcW w:type="dxa" w:w="2304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Размерите се различават от референцията</w:t>
            </w:r>
          </w:p>
        </w:tc>
        <w:tc>
          <w:tcPr>
            <w:tcW w:type="dxa" w:w="4896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InvalidImageError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PROCESSING_FAILED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sz w:val="20"/>
              </w:rPr>
              <w:t>OpenCV операция не успява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DetectionProcessingError</w:t>
            </w:r>
            <w:r>
              <w:rPr>
                <w:sz w:val="20"/>
              </w:rPr>
              <w:t xml:space="preserve"> с първоначална причина</w:t>
            </w:r>
          </w:p>
        </w:tc>
      </w:tr>
    </w:tbl>
    <w:p>
      <w:pPr>
        <w:spacing w:after="60"/>
      </w:pPr>
    </w:p>
    <w:p>
      <w:r>
        <w:t>При тези грешки историята на потвърждението се изчиства. Входният кадър не се променя от нормалната обработка. Един екземпляр пази времевото състояние на един подреден поток; отделни камери или независими потоци трябва да използват отделни екземпляри.</w:t>
      </w:r>
    </w:p>
    <w:p>
      <w:r>
        <w:t xml:space="preserve">Конфигурацията и референциите се подготвят при конструиране или успешно преконфигуриране. </w:t>
      </w:r>
      <w:r>
        <w:rPr>
          <w:rFonts w:ascii="DejaVu Sans Mono" w:hAnsi="DejaVu Sans Mono"/>
          <w:sz w:val="19"/>
        </w:rPr>
        <w:t>RLock</w:t>
      </w:r>
      <w:r>
        <w:t xml:space="preserve"> сериализира извикванията и промените в конфигурацията. Това защитава общите кешове и историята; не превръща неупорядъчен поток от различни камери в една логически правилна последователност.</w:t>
      </w:r>
    </w:p>
    <w:p>
      <w:bookmarkStart w:id="104" w:name="chapter_4"/>
      <w:pPr>
        <w:pStyle w:val="Heading1"/>
      </w:pPr>
      <w:r>
        <w:t>4 Област на интерес и изключване на променливи обекти</w:t>
      </w:r>
      <w:bookmarkEnd w:id="104"/>
    </w:p>
    <w:p>
      <w:r>
        <w:t xml:space="preserve">ROI е правоъгълник в координатите на пълното изображение. Началото е горе вляво, x расте надясно, y расте надолу. Настройката </w:t>
      </w:r>
      <w:r>
        <w:rPr>
          <w:rFonts w:ascii="DejaVu Sans Mono" w:hAnsi="DejaVu Sans Mono"/>
          <w:sz w:val="19"/>
        </w:rPr>
        <w:t>(x=470, y=215, width=450, height=505)</w:t>
      </w:r>
      <w:r>
        <w:t xml:space="preserve"> съответства на </w:t>
      </w:r>
      <w:r>
        <w:rPr>
          <w:rFonts w:ascii="DejaVu Sans Mono" w:hAnsi="DejaVu Sans Mono"/>
          <w:sz w:val="19"/>
        </w:rPr>
        <w:t>image[215:720, 470:920]</w:t>
      </w:r>
      <w:r>
        <w:t>. Крайните индекси 720 и 920 не участват в среза.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97382"/>
            <wp:docPr id="4" name="Picture 4" descr="Един и същ реален ROI и допустимата му маска. Бялото участва в обработката, черното изключва променливата камера. Координатите на признаците остават в пълното изображени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oi_mas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Фигура 4  Един и същ реален ROI и допустимата му маска. Бялото участва в обработката, черното изключва променливата камера. Координатите на признаците остават в пълното изображение.</w:t>
      </w:r>
    </w:p>
    <w:p>
      <w:r>
        <w:t xml:space="preserve">Текущият ROI има 227250 пиксела. Изключената камера е правоъгълник 100 на 90 пиксела, така че остават </w:t>
      </w:r>
      <w:r>
        <w:rPr>
          <w:b/>
        </w:rPr>
        <w:t>218250 допустими пиксела</w:t>
      </w:r>
      <w:r>
        <w:t>. Минималната конфигурирана използваема площ е 100 пиксела. Тази проверка е за достатъчна област, а не за брой намерени контури.</w:t>
      </w:r>
    </w:p>
    <w:p>
      <w:r>
        <w:t>Изключването е необходимо, защото камерата до регулатора и околните кабели могат да се променят независимо от главата. Ако участват в нормализацията или съпоставянето, промяната им може да измести статистиките или да създаде силен погрешен кандидат. Обект извън инспекционната рамка не трябва да влияе върху решението.</w:t>
      </w:r>
    </w:p>
    <w:p>
      <w:r>
        <w:t>Инспекционният правоъгълник трябва да покрива целия очакван диапазон на преместване и завъртане. Твърде тесен ROI може да изреже единия крепеж и да доведе до UNKNOWN. Твърде широк ROI допуска повече сходни кръгови детайли и увеличава работата. Променливите участъци вътре в него трябва да се изключат с маски.</w:t>
      </w:r>
    </w:p>
    <w:p>
      <w:r>
        <w:t>Целият правоъгълник на всеки present признак трябва да е допустим. Проверката е за неговата рамка, включително ъглите, дори когато маската на самия признак е кръгла. За missing признаците също е разумно да се избягват изключените области, за да се запази смислена информация.</w:t>
      </w:r>
    </w:p>
    <w:p>
      <w:bookmarkStart w:id="105" w:name="chapter_5"/>
      <w:pPr>
        <w:pStyle w:val="Heading1"/>
      </w:pPr>
      <w:r>
        <w:t>5 Предварителна обработка на изображението</w:t>
      </w:r>
      <w:bookmarkEnd w:id="105"/>
    </w:p>
    <w:p>
      <w:r>
        <w:t xml:space="preserve">Последователността е реализирана в </w:t>
      </w:r>
      <w:r>
        <w:rPr>
          <w:rFonts w:ascii="DejaVu Sans Mono" w:hAnsi="DejaVu Sans Mono"/>
          <w:sz w:val="19"/>
        </w:rPr>
        <w:t>preprocessing.py</w:t>
      </w:r>
      <w:r>
        <w:t>. Тя се прилага както към референциите, така и към текущите кадри със същите настройки. Сравняването на референция с една обработка и текущ кадър с друга би променило самото значение на оценките.</w:t>
      </w:r>
    </w:p>
    <w:p>
      <w:r>
        <w:t>Всяка следваща подточка показва действителен резултат от основния реален кадър. За цветните визуализации на числови масиви е обявена показваната скала. Те служат за четене на стойностите и не се подават обратно към детектора.</w:t>
      </w:r>
    </w:p>
    <w:p>
      <w:pPr>
        <w:pStyle w:val="Heading2"/>
      </w:pPr>
      <w:r>
        <w:t>Преобразуване към сиви стойности</w:t>
      </w:r>
    </w:p>
    <w:p>
      <w:r>
        <w:rPr>
          <w:rFonts w:ascii="DejaVu Sans Mono" w:hAnsi="DejaVu Sans Mono"/>
          <w:sz w:val="19"/>
        </w:rPr>
        <w:t>cv2.cvtColor(..., cv2.COLOR_BGR2GRAY)</w:t>
      </w:r>
      <w:r>
        <w:t xml:space="preserve"> превръща трите канала в един. Приблизителната зависимост е дадена по-долу; реалната 8-битова операция включва закръгляване.</w:t>
      </w:r>
    </w:p>
    <w:p>
      <w:pPr>
        <w:keepLines/>
        <w:spacing w:before="80" w:after="200"/>
      </w:pPr>
      <m:oMathPara>
        <m:oMathParaPr>
          <m:jc m:val="center"/>
        </m:oMathParaPr>
        <m:oMath>
          <m:r>
            <w:rPr>
              <w:rFonts w:ascii="DejaVu Math TeX Gyre" w:hAnsi="DejaVu Math TeX Gyre" w:cs="DejaVu Math TeX Gyre"/>
              <w:sz w:val="23"/>
            </w:rPr>
            <m:t xml:space="preserve">Y ≈ 0.114 B + 0.587 G + 0.299 R</m:t>
          </m:r>
        </m:oMath>
      </m:oMathPara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97382"/>
            <wp:docPr id="5" name="Picture 5" descr="Цветният ROI и неговото сиво представяне. Формата и яркостните преходи на крепежите остават видими, а цветът на кабелите не се използва като признак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r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Фигура 5  Цветният ROI и неговото сиво представяне. Формата и яркостните преходи на крепежите остават видими, а цветът на кабелите не се използва като признак.</w:t>
      </w:r>
    </w:p>
    <w:p>
      <w:r>
        <w:t>Формата на метален детайл обикновено е по-полезна тук от неговия RGB цвят. Сивото представяне намалява броя на каналите и позволява всички следващи операции да работят върху интензитета. То само по себе си не премахва промените в осветлението: блясъкът и сянката остават в изображението.</w:t>
      </w:r>
    </w:p>
    <w:p>
      <w:pPr>
        <w:pStyle w:val="Heading2"/>
      </w:pPr>
      <w:r>
        <w:t>Запълване на изключените участъци преди филтриране</w:t>
      </w:r>
    </w:p>
    <w:p>
      <w:r>
        <w:t xml:space="preserve">Пикселите извън допустимата маска първо се зануляват. След това </w:t>
      </w:r>
      <w:r>
        <w:rPr>
          <w:rFonts w:ascii="DejaVu Sans Mono" w:hAnsi="DejaVu Sans Mono"/>
          <w:sz w:val="19"/>
        </w:rPr>
        <w:t>cv2.inpaint</w:t>
      </w:r>
      <w:r>
        <w:t xml:space="preserve"> с </w:t>
      </w:r>
      <w:r>
        <w:rPr>
          <w:rFonts w:ascii="DejaVu Sans Mono" w:hAnsi="DejaVu Sans Mono"/>
          <w:sz w:val="19"/>
        </w:rPr>
        <w:t>INPAINT_TELEA</w:t>
      </w:r>
      <w:r>
        <w:t xml:space="preserve"> и радиус 3 px ги запълва от обкръжението. Запълването е помощ за пространствените филтри, които използват съседни пиксели.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97382"/>
            <wp:docPr id="6" name="Picture 6" descr="Вляво изключената камера е занулена. Вдясно областта е запълнена преди размиването. Запълненото съдържание не е ново доказателство за обект и крайните му контури се изключват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npai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Фигура 6  Вляво изключената камера е занулена. Вдясно областта е запълнена преди размиването. Запълненото съдържание не е ново доказателство за обект и крайните му контури се изключват.</w:t>
      </w:r>
    </w:p>
    <w:p>
      <w:r>
        <w:t>Ако черният правоъгълник остане, неговата изкуствена граница може да създаде силен преход и да повлияе на оценката за локална осветеност. Telea разпространява информация от известната околност към липсващата област [3]. Тук целта е да се намали влиянието на изкуствената граница, а не да се възстанови истинският вид на променливата камера.</w:t>
      </w:r>
    </w:p>
    <w:p>
      <w:r>
        <w:t>Процентилите за нормализация и за качество използват само допустими пиксели. След Canny всички изключени контури отново се зануляват. Така запълненият участък не може директно да стане проследяван признак.</w:t>
      </w:r>
    </w:p>
    <w:p>
      <w:pPr>
        <w:pStyle w:val="Heading2"/>
      </w:pPr>
      <w:r>
        <w:t>Размиване за намаляване на дребния шум</w:t>
      </w:r>
    </w:p>
    <w:p>
      <w:r>
        <w:t xml:space="preserve">Първото Gaussian размиване използва </w:t>
      </w:r>
      <w:r>
        <w:rPr>
          <w:rFonts w:ascii="DejaVu Sans Mono" w:hAnsi="DejaVu Sans Mono"/>
          <w:sz w:val="19"/>
        </w:rPr>
        <w:t>blur_kernel=7</w:t>
      </w:r>
      <w:r>
        <w:t>, тоест ядро 7 на 7. То намалява дребните високочестотни вариации преди производните. Без такава подготовка шумът може да стане голям брой кратки контури.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97382"/>
            <wp:docPr id="7" name="Picture 7" descr="Резултатът преди и след GaussianBlur с ядро 7 на 7. Финият повърхностен релеф се изглажда, докато по-големите граници на крепежите се запазват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lu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Фигура 7  Резултатът преди и след GaussianBlur с ядро 7 на 7. Финият повърхностен релеф се изглажда, докато по-големите граници на крепежите се запазват.</w:t>
      </w:r>
    </w:p>
    <w:p>
      <w:r>
        <w:t>Компромисът е загуба на малки детайли. Прекалено голямо ядро може да слее вътрешния и външния контур на малък крепеж. Прекалено малко ядро може да остави шум, който увеличава броя кандидати. Настройката трябва да се преценява спрямо действителния размер на признака в пиксели. Ядрото е положително нечетно число; 1 практически премахва този етап на размиване.</w:t>
      </w:r>
    </w:p>
    <w:p>
      <w:pPr>
        <w:pStyle w:val="Heading2"/>
      </w:pPr>
      <w:r>
        <w:t>Оценяване и компенсиране на неравномерна осветеност</w:t>
      </w:r>
    </w:p>
    <w:p>
      <w:r>
        <w:t xml:space="preserve">Второто Gaussian размиване има различна задача. То работи върху </w:t>
      </w:r>
      <w:r>
        <w:rPr>
          <w:rFonts w:ascii="DejaVu Sans Mono" w:hAnsi="DejaVu Sans Mono"/>
          <w:sz w:val="19"/>
        </w:rPr>
        <w:t>float32</w:t>
      </w:r>
      <w:r>
        <w:t xml:space="preserve"> и със </w:t>
      </w:r>
      <w:r>
        <w:rPr>
          <w:rFonts w:ascii="DejaVu Sans Mono" w:hAnsi="DejaVu Sans Mono"/>
          <w:sz w:val="19"/>
        </w:rPr>
        <w:t>illumination_sigma=15.0</w:t>
      </w:r>
      <w:r>
        <w:t xml:space="preserve"> оценява плавно променящата се осветеност L. Размитото входно изображение се дели на тази оценка с долна граница </w:t>
      </w:r>
      <w:r>
        <w:rPr>
          <w:rFonts w:ascii="DejaVu Sans Mono" w:hAnsi="DejaVu Sans Mono"/>
          <w:sz w:val="19"/>
        </w:rPr>
        <w:t>illumination_floor=16.0</w:t>
      </w:r>
      <w:r>
        <w:t>.</w:t>
      </w:r>
    </w:p>
    <w:p>
      <w:pPr>
        <w:keepLines/>
        <w:spacing w:before="80" w:after="200"/>
      </w:pPr>
      <m:oMathPara>
        <m:oMathParaPr>
          <m:jc m:val="center"/>
        </m:oMathParaPr>
        <m:oMath>
          <m:r>
            <w:rPr>
              <w:rFonts w:ascii="DejaVu Math TeX Gyre" w:hAnsi="DejaVu Math TeX Gyre" w:cs="DejaVu Math TeX Gyre"/>
              <w:sz w:val="23"/>
            </w:rPr>
            <m:t xml:space="preserve">L = </m:t>
          </m:r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G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σ=15</m:t>
              </m:r>
            </m:sub>
          </m:sSub>
          <m:r>
            <w:rPr>
              <w:rFonts w:ascii="DejaVu Math TeX Gyre" w:hAnsi="DejaVu Math TeX Gyre" w:cs="DejaVu Math TeX Gyre"/>
              <w:sz w:val="23"/>
            </w:rPr>
            <m:t xml:space="preserve"> ∗ </m:t>
          </m:r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I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blur</m:t>
              </m:r>
            </m:sub>
          </m:sSub>
        </m:oMath>
      </m:oMathPara>
    </w:p>
    <w:p>
      <w:pPr>
        <w:keepLines/>
        <w:spacing w:before="80" w:after="200"/>
      </w:pPr>
      <m:oMathPara>
        <m:oMathParaPr>
          <m:jc m:val="center"/>
        </m:oMathParaPr>
        <m:oMath>
          <m:r>
            <w:rPr>
              <w:rFonts w:ascii="DejaVu Math TeX Gyre" w:hAnsi="DejaVu Math TeX Gyre" w:cs="DejaVu Math TeX Gyre"/>
              <w:sz w:val="23"/>
            </w:rPr>
            <m:t xml:space="preserve">r = </m:t>
          </m:r>
          <m:f>
            <m:num>
              <m:sSub>
                <m:e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I</m:t>
                  </m:r>
                </m:e>
                <m:sub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blur</m:t>
                  </m:r>
                </m:sub>
              </m:sSub>
            </m:num>
            <m:den>
              <m:r>
                <w:rPr>
                  <w:rFonts w:ascii="DejaVu Math TeX Gyre" w:hAnsi="DejaVu Math TeX Gyre" w:cs="DejaVu Math TeX Gyre"/>
                  <w:sz w:val="23"/>
                </w:rPr>
                <m:t xml:space="preserve">max(L, 16)</m:t>
              </m:r>
            </m:den>
          </m:f>
        </m:oMath>
      </m:oMathPara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97382"/>
            <wp:docPr id="8" name="Picture 8" descr="Вляво е плавната оценка на осветеността в диапазон 0 до 255. Вдясно е отношението към нея, показано с цветна скала от 0 до 2. Тъмновиолетовото е ниско, жълтото е високо. Стойности над показания диапазон са визуално наситени, но изчисленията пазят оригиналните float стойност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llumin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Фигура 8  Вляво е плавната оценка на осветеността в диапазон 0 до 255. Вдясно е отношението към нея, показано с цветна скала от 0 до 2. Тъмновиолетовото е ниско, жълтото е високо. Стойности над показания диапазон са визуално наситени, но изчисленията пазят оригиналните float стойности.</w:t>
      </w:r>
    </w:p>
    <w:p>
      <w:r>
        <w:t>Интуицията е, че наблюдаваният интензитет съдържа отражателните свойства на детайла, умножени по пространствено променящо се осветяване. Делението може да отслаби плавната сянка и да подчертае относителните преходи. Това е приближение за тази сцена, а не пълна физическа реконструкция на отражението.</w:t>
      </w:r>
    </w:p>
    <w:p>
      <w:r>
        <w:t>Долната граница 16 не допуска много малък знаменател да усили силно тъмния шум. Параметърът sigma трябва да представя мащаба на осветяването, а не да следва всеки малък детайл. Нито делението, нито следващите операции могат да възстановят контур, който е изцяло изгубен в наситен бял отблясък.</w:t>
      </w:r>
    </w:p>
    <w:p>
      <w:pPr>
        <w:pStyle w:val="Heading2"/>
      </w:pPr>
      <w:r>
        <w:t>Процентилна нормализация</w:t>
      </w:r>
    </w:p>
    <w:p>
      <w:r>
        <w:t xml:space="preserve">От отношението се вземат процентилите 2 и 98 само върху допустимата маска. Те служат като устойчиви черна и бяла опорна точка. Стойностите се разтягат към 0–255 и се ограничават в този диапазон. Знаменателят е поне </w:t>
      </w:r>
      <w:r>
        <w:rPr>
          <w:rFonts w:ascii="DejaVu Sans Mono" w:hAnsi="DejaVu Sans Mono"/>
          <w:sz w:val="19"/>
        </w:rPr>
        <w:t>minimum_normalization_range=0.05</w:t>
      </w:r>
      <w:r>
        <w:t>.</w:t>
      </w:r>
    </w:p>
    <w:p>
      <w:pPr>
        <w:keepLines/>
        <w:spacing w:before="80" w:after="200"/>
      </w:pPr>
      <m:oMathPara>
        <m:oMathParaPr>
          <m:jc m:val="center"/>
        </m:oMathParaPr>
        <m:oMath>
          <m:r>
            <w:rPr>
              <w:rFonts w:ascii="DejaVu Math TeX Gyre" w:hAnsi="DejaVu Math TeX Gyre" w:cs="DejaVu Math TeX Gyre"/>
              <w:sz w:val="23"/>
            </w:rPr>
            <m:t xml:space="preserve">N = clip(255 · </m:t>
          </m:r>
          <m:f>
            <m:num>
              <m:r>
                <w:rPr>
                  <w:rFonts w:ascii="DejaVu Math TeX Gyre" w:hAnsi="DejaVu Math TeX Gyre" w:cs="DejaVu Math TeX Gyre"/>
                  <w:sz w:val="23"/>
                </w:rPr>
                <m:t xml:space="preserve">r − </m:t>
              </m:r>
              <m:sSub>
                <m:e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P</m:t>
                  </m:r>
                </m:e>
                <m:sub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2</m:t>
                  </m:r>
                </m:sub>
              </m:sSub>
            </m:num>
            <m:den>
              <m:r>
                <w:rPr>
                  <w:rFonts w:ascii="DejaVu Math TeX Gyre" w:hAnsi="DejaVu Math TeX Gyre" w:cs="DejaVu Math TeX Gyre"/>
                  <w:sz w:val="23"/>
                </w:rPr>
                <m:t xml:space="preserve">max(</m:t>
              </m:r>
              <m:sSub>
                <m:e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P</m:t>
                  </m:r>
                </m:e>
                <m:sub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98</m:t>
                  </m:r>
                </m:sub>
              </m:sSub>
              <m:r>
                <w:rPr>
                  <w:rFonts w:ascii="DejaVu Math TeX Gyre" w:hAnsi="DejaVu Math TeX Gyre" w:cs="DejaVu Math TeX Gyre"/>
                  <w:sz w:val="23"/>
                </w:rPr>
                <m:t xml:space="preserve"> − </m:t>
              </m:r>
              <m:sSub>
                <m:e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P</m:t>
                  </m:r>
                </m:e>
                <m:sub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2</m:t>
                  </m:r>
                </m:sub>
              </m:sSub>
              <m:r>
                <w:rPr>
                  <w:rFonts w:ascii="DejaVu Math TeX Gyre" w:hAnsi="DejaVu Math TeX Gyre" w:cs="DejaVu Math TeX Gyre"/>
                  <w:sz w:val="23"/>
                </w:rPr>
                <m:t xml:space="preserve">, 0.05)</m:t>
              </m:r>
            </m:den>
          </m:f>
          <m:r>
            <w:rPr>
              <w:rFonts w:ascii="DejaVu Math TeX Gyre" w:hAnsi="DejaVu Math TeX Gyre" w:cs="DejaVu Math TeX Gyre"/>
              <w:sz w:val="23"/>
            </w:rPr>
            <m:t xml:space="preserve">, 0, 255)</m:t>
          </m:r>
        </m:oMath>
      </m:oMathPara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97382"/>
            <wp:docPr id="9" name="Picture 9" descr="Отношението преди нормализация и полученото uint8 изображение. За този кадър P2 е 0.6073, а P98 е 1.3803. Показаните изображения са последователни резултати от една и съща обработк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ercenti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Фигура 9  Отношението преди нормализация и полученото uint8 изображение. За този кадър P2 е 0.6073, а P98 е 1.3803. Показаните изображения са последователни резултати от една и съща обработка.</w:t>
      </w:r>
    </w:p>
    <w:p>
      <w:r>
        <w:t xml:space="preserve">В примера разликата между процентилите е </w:t>
      </w:r>
      <w:r>
        <w:rPr>
          <w:b/>
        </w:rPr>
        <w:t>0.7729</w:t>
      </w:r>
      <w:r>
        <w:t>, така че долната граница 0.05 не определя знаменателя. Малка част от екстремните стойности се отрязва, вместо единичен най-тъмен или най-ярък пиксел да определя целия контраст. Ако областта е почти еднообразна, минималният диапазон ограничава усилването на незначителни разлики.</w:t>
      </w:r>
    </w:p>
    <w:p>
      <w:r>
        <w:t xml:space="preserve">Междинното отношение е float, а входът към CLAHE се преобразува до </w:t>
      </w:r>
      <w:r>
        <w:rPr>
          <w:rFonts w:ascii="DejaVu Sans Mono" w:hAnsi="DejaVu Sans Mono"/>
          <w:sz w:val="19"/>
        </w:rPr>
        <w:t>uint8</w:t>
      </w:r>
      <w:r>
        <w:t>. Скалата на картината вдясно е действително използваната за следващия етап. Пикселите в изключената област не участват при избора на процентилните опорни стойности.</w:t>
      </w:r>
    </w:p>
    <w:p>
      <w:pPr>
        <w:pStyle w:val="Heading2"/>
      </w:pPr>
      <w:r>
        <w:t>Локално усилване на контраста с CLAHE</w:t>
      </w:r>
    </w:p>
    <w:p>
      <w:r>
        <w:t xml:space="preserve">CLAHE работи с мрежа 8 на 8 области и </w:t>
      </w:r>
      <w:r>
        <w:rPr>
          <w:rFonts w:ascii="DejaVu Sans Mono" w:hAnsi="DejaVu Sans Mono"/>
          <w:sz w:val="19"/>
        </w:rPr>
        <w:t>clahe_clip_limit=2.0</w:t>
      </w:r>
      <w:r>
        <w:t xml:space="preserve">. </w:t>
      </w:r>
      <w:r>
        <w:rPr>
          <w:rFonts w:ascii="DejaVu Sans Mono" w:hAnsi="DejaVu Sans Mono"/>
          <w:sz w:val="19"/>
        </w:rPr>
        <w:t>clahe_tile_size=8</w:t>
      </w:r>
      <w:r>
        <w:t xml:space="preserve"> означава брой области по всяка ос, а не размер на област от 8 пиксела. Локалната обработка помага при различен контраст в тъмната глава и светлата околност.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97382"/>
            <wp:docPr id="10" name="Picture 10" descr="Нормализираното изображение и резултатът след CLAHE. По-слабите локални граници стават по-видими, без глобалната бяла част да управлява сама разпределението на контраст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lah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Фигура 10  Нормализираното изображение и резултатът след CLAHE. По-слабите локални граници стават по-видими, без глобалната бяла част да управлява сама разпределението на контраста.</w:t>
      </w:r>
    </w:p>
    <w:p>
      <w:r>
        <w:t>Методът ограничава прекалено големи натрупвания в локалната хистограма и изглажда преходите между съседни области [2]. Ограничението намалява риска шумът да се усили заедно с полезните детайли. По-висок clip limit допуска по-силно локално усилване; повече области правят операцията по-локална. Проверявайте дали очакваните контури остават разпознаваеми.</w:t>
      </w:r>
    </w:p>
    <w:p>
      <w:pPr>
        <w:pStyle w:val="Heading2"/>
      </w:pPr>
      <w:r>
        <w:t>Градиенти и адаптивни прагове</w:t>
      </w:r>
    </w:p>
    <w:p>
      <w:r>
        <w:t xml:space="preserve">Върху резултата от CLAHE се изчисляват хоризонтална и вертикална Sobel производна като </w:t>
      </w:r>
      <w:r>
        <w:rPr>
          <w:rFonts w:ascii="DejaVu Sans Mono" w:hAnsi="DejaVu Sans Mono"/>
          <w:sz w:val="19"/>
        </w:rPr>
        <w:t>CV_32F</w:t>
      </w:r>
      <w:r>
        <w:t>. Силата на прехода за избора на праг е сумата на абсолютните им стойности. Използването на float пази отрицателните производни преди вземането на абсолютна стойност.</w:t>
      </w:r>
    </w:p>
    <w:p>
      <w:pPr>
        <w:keepLines/>
        <w:spacing w:before="80" w:after="200"/>
      </w:pPr>
      <m:oMathPara>
        <m:oMathParaPr>
          <m:jc m:val="center"/>
        </m:oMathParaPr>
        <m:oMath>
          <m:r>
            <w:rPr>
              <w:rFonts w:ascii="DejaVu Math TeX Gyre" w:hAnsi="DejaVu Math TeX Gyre" w:cs="DejaVu Math TeX Gyre"/>
              <w:sz w:val="23"/>
            </w:rPr>
            <m:t xml:space="preserve">g = |</m:t>
          </m:r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G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x</m:t>
              </m:r>
            </m:sub>
          </m:sSub>
          <m:r>
            <w:rPr>
              <w:rFonts w:ascii="DejaVu Math TeX Gyre" w:hAnsi="DejaVu Math TeX Gyre" w:cs="DejaVu Math TeX Gyre"/>
              <w:sz w:val="23"/>
            </w:rPr>
            <m:t xml:space="preserve">| + |</m:t>
          </m:r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G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y</m:t>
              </m:r>
            </m:sub>
          </m:sSub>
          <m:r>
            <w:rPr>
              <w:rFonts w:ascii="DejaVu Math TeX Gyre" w:hAnsi="DejaVu Math TeX Gyre" w:cs="DejaVu Math TeX Gyre"/>
              <w:sz w:val="23"/>
            </w:rPr>
            <m:t xml:space="preserve">|</m:t>
          </m:r>
        </m:oMath>
      </m:oMathPara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97382"/>
            <wp:docPr id="11" name="Picture 11" descr="Абсолютните хоризонтални и вертикални производни на реалния кадър. Те са показани с една и съща скала от 0 до 578; най-силните стойности над нея са визуално ограничени. Числовите масиви за праговете не са ограничени по тази визуална скал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radie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Фигура 11  Абсолютните хоризонтални и вертикални производни на реалния кадър. Те са показани с една и съща скала от 0 до 578; най-силните стойности над нея са визуално ограничени. Числовите масиви за праговете не са ограничени по тази визуална скала.</w:t>
      </w:r>
    </w:p>
    <w:p>
      <w:r>
        <w:t xml:space="preserve">Горният Canny праг е по-голямото от </w:t>
      </w:r>
      <w:r>
        <w:rPr>
          <w:rFonts w:ascii="DejaVu Sans Mono" w:hAnsi="DejaVu Sans Mono"/>
          <w:sz w:val="19"/>
        </w:rPr>
        <w:t>canny_high_floor=40.0</w:t>
      </w:r>
      <w:r>
        <w:t xml:space="preserve"> и 85-ия процентил на силата върху маската. Долният е </w:t>
      </w:r>
      <w:r>
        <w:rPr>
          <w:rFonts w:ascii="DejaVu Sans Mono" w:hAnsi="DejaVu Sans Mono"/>
          <w:sz w:val="19"/>
        </w:rPr>
        <w:t>canny_low_ratio=0.4</w:t>
      </w:r>
      <w:r>
        <w:t xml:space="preserve"> от горния. Така прагът следва наблюдавания контраст, но не пада неограничено в почти плосък кадър.</w:t>
      </w:r>
    </w:p>
    <w:p>
      <w:pPr>
        <w:keepLines/>
        <w:spacing w:before="80" w:after="200"/>
      </w:pPr>
      <m:oMathPara>
        <m:oMathParaPr>
          <m:jc m:val="center"/>
        </m:oMathParaPr>
        <m:oMath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T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high</m:t>
              </m:r>
            </m:sub>
          </m:sSub>
          <m:r>
            <w:rPr>
              <w:rFonts w:ascii="DejaVu Math TeX Gyre" w:hAnsi="DejaVu Math TeX Gyre" w:cs="DejaVu Math TeX Gyre"/>
              <w:sz w:val="23"/>
            </w:rPr>
            <m:t xml:space="preserve"> = max(40, </m:t>
          </m:r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P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85</m:t>
              </m:r>
            </m:sub>
          </m:sSub>
          <m:r>
            <w:rPr>
              <w:rFonts w:ascii="DejaVu Math TeX Gyre" w:hAnsi="DejaVu Math TeX Gyre" w:cs="DejaVu Math TeX Gyre"/>
              <w:sz w:val="23"/>
            </w:rPr>
            <m:t xml:space="preserve">(g)),    </m:t>
          </m:r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T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low</m:t>
              </m:r>
            </m:sub>
          </m:sSub>
          <m:r>
            <w:rPr>
              <w:rFonts w:ascii="DejaVu Math TeX Gyre" w:hAnsi="DejaVu Math TeX Gyre" w:cs="DejaVu Math TeX Gyre"/>
              <w:sz w:val="23"/>
            </w:rPr>
            <m:t xml:space="preserve"> = 0.4 · </m:t>
          </m:r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T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high</m:t>
              </m:r>
            </m:sub>
          </m:sSub>
        </m:oMath>
      </m:oMathPara>
    </w:p>
    <w:p>
      <w:r>
        <w:t xml:space="preserve">За основния кадър горният праг е </w:t>
      </w:r>
      <w:r>
        <w:rPr>
          <w:b/>
        </w:rPr>
        <w:t>162.0</w:t>
      </w:r>
      <w:r>
        <w:t xml:space="preserve">, а долният е </w:t>
      </w:r>
      <w:r>
        <w:rPr>
          <w:b/>
        </w:rPr>
        <w:t>64.8</w:t>
      </w:r>
      <w:r>
        <w:t xml:space="preserve">. Стойностите са в единиците на градиента, не са непосредствено сурови grayscale нива. Увеличаването на </w:t>
      </w:r>
      <w:r>
        <w:rPr>
          <w:rFonts w:ascii="DejaVu Sans Mono" w:hAnsi="DejaVu Sans Mono"/>
          <w:sz w:val="19"/>
        </w:rPr>
        <w:t>gradient_percentile</w:t>
      </w:r>
      <w:r>
        <w:t xml:space="preserve"> или на пода обикновено оставя по-силни преходи и може да премахне полезен слаб контур.</w:t>
      </w:r>
    </w:p>
    <w:p>
      <w:pPr>
        <w:pStyle w:val="Heading2"/>
      </w:pPr>
      <w:r>
        <w:t>Извличане на контурите с Canny</w:t>
      </w:r>
    </w:p>
    <w:p>
      <w:r>
        <w:rPr>
          <w:rFonts w:ascii="DejaVu Sans Mono" w:hAnsi="DejaVu Sans Mono"/>
          <w:sz w:val="19"/>
        </w:rPr>
        <w:t>cv2.Canny</w:t>
      </w:r>
      <w:r>
        <w:t xml:space="preserve"> използва получения долен и горен праг. Вътрешно Canny включва търсене на посоката на прехода, потискане на немаксимални стойности и свързване на по-слаби преходи със силни контури [1]. Резултатът е двоична карта, а не маска на цялата глава.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97382"/>
            <wp:docPr id="12" name="Picture 12" descr="Сила на градиента и крайни контури след Canny и повторно прилагане на допустимата маска. В основния ROI има 15940 ненулеви контурни пиксел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ann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Фигура 12  Сила на градиента и крайни контури след Canny и повторно прилагане на допустимата маска. В основния ROI има 15940 ненулеви контурни пиксела.</w:t>
      </w:r>
    </w:p>
    <w:p>
      <w:r>
        <w:t xml:space="preserve">В кода не е включен флагът </w:t>
      </w:r>
      <w:r>
        <w:rPr>
          <w:rFonts w:ascii="DejaVu Sans Mono" w:hAnsi="DejaVu Sans Mono"/>
          <w:sz w:val="19"/>
        </w:rPr>
        <w:t>L2gradient</w:t>
      </w:r>
      <w:r>
        <w:t>, така че е използван стандартният L1 вариант на градиентната сила за Canny [1]. Изключените пиксели се зануляват след операцията. Крайният масив е с размера на пълния кадър, с нули извън ROI. Това запазва общата координатна система за всички признаци и визуализации.</w:t>
      </w:r>
    </w:p>
    <w:p>
      <w:r>
        <w:t>Бял пиксел означава локален преход в интензитета. Той може да е по крепеж, кабел, фон или отблясък. Едва съпоставянето и геометрията определят дали тази структура подкрепя главата. Самият брой контурни пиксели не е критерий за наличие.</w:t>
      </w:r>
    </w:p>
    <w:p>
      <w:bookmarkStart w:id="106" w:name="chapter_6"/>
      <w:pPr>
        <w:pStyle w:val="Heading1"/>
      </w:pPr>
      <w:r>
        <w:t>6 Проверка на качеството на суровия кадър</w:t>
      </w:r>
      <w:bookmarkEnd w:id="106"/>
    </w:p>
    <w:p>
      <w:r>
        <w:t>Нормализацията може да създаде видим контраст и от слаб сигнал. Затова проверката на качеството използва суровия сив ROI, а не резултата от CLAHE. Взимат се 5-ият и 95-ият процентил върху допустимите пиксели. Нека ги означим с low и high.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2880"/>
        <w:gridCol w:w="2304"/>
        <w:gridCol w:w="4896"/>
      </w:tblGrid>
      <w:tr>
        <w:trPr>
          <w:tblHeader/>
          <w:cantSplit/>
        </w:trPr>
        <w:tc>
          <w:tcPr>
            <w:tcW w:type="dxa" w:w="2880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Проверка в изпълнявания ред</w:t>
            </w:r>
          </w:p>
        </w:tc>
        <w:tc>
          <w:tcPr>
            <w:tcW w:type="dxa" w:w="2304"/>
            <w:vAlign w:val="center"/>
            <w:shd w:fill="20384D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b/>
                <w:color w:val="FFFFFF"/>
                <w:sz w:val="20"/>
              </w:rPr>
              <w:t>Текущо условие за отказ</w:t>
            </w:r>
          </w:p>
        </w:tc>
        <w:tc>
          <w:tcPr>
            <w:tcW w:type="dxa" w:w="4896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Основен кадър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Твърде тъмно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DejaVu Sans Mono" w:hAnsi="DejaVu Sans Mono"/>
                <w:sz w:val="18"/>
              </w:rPr>
              <w:t>high &lt;= 8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high = 255</w:t>
            </w:r>
            <w:r>
              <w:rPr>
                <w:sz w:val="20"/>
              </w:rPr>
              <w:t>, няма отказ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Силно преекспониране на областта</w:t>
            </w:r>
          </w:p>
        </w:tc>
        <w:tc>
          <w:tcPr>
            <w:tcW w:type="dxa" w:w="2304"/>
            <w:vAlign w:val="center"/>
            <w:shd w:fill="F1F5F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DejaVu Sans Mono" w:hAnsi="DejaVu Sans Mono"/>
                <w:sz w:val="18"/>
              </w:rPr>
              <w:t>low &gt;= 247</w:t>
            </w:r>
          </w:p>
        </w:tc>
        <w:tc>
          <w:tcPr>
            <w:tcW w:type="dxa" w:w="4896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low = 37</w:t>
            </w:r>
            <w:r>
              <w:rPr>
                <w:sz w:val="20"/>
              </w:rPr>
              <w:t>, няма отказ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sz w:val="20"/>
              </w:rPr>
              <w:t>Недостатъчен контраст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DejaVu Sans Mono" w:hAnsi="DejaVu Sans Mono"/>
                <w:sz w:val="18"/>
              </w:rPr>
              <w:t>high - low &lt; 12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sz w:val="20"/>
              </w:rPr>
              <w:t>Диапазонът е 218, няма отказ</w:t>
            </w:r>
          </w:p>
        </w:tc>
      </w:tr>
    </w:tbl>
    <w:p>
      <w:pPr>
        <w:spacing w:after="60"/>
      </w:pPr>
    </w:p>
    <w:p>
      <w:r>
        <w:t>Фактът, че high е 255, сам по себе си не отхвърля кадъра. Част от фона е наситено светла, но low е достатъчно ниско и в областта има контрастни детайли. Това позволява работа с нормално наличие на светли метални повърхности.</w:t>
      </w:r>
    </w:p>
    <w:p>
      <w:r>
        <w:t>Тази проверка оценява груба използваемост на областта. Тя не гарантира, че конкретният необходим крепеж е добре осветен или че няма локално наситен отблясък върху него. Кадър с достатъчен глобален контраст пак може да даде грешно или недостатъчно съответствие.</w:t>
      </w:r>
    </w:p>
    <w:p>
      <w:r>
        <w:t xml:space="preserve">При отказ </w:t>
      </w:r>
      <w:r>
        <w:rPr>
          <w:rFonts w:ascii="DejaVu Sans Mono" w:hAnsi="DejaVu Sans Mono"/>
          <w:sz w:val="19"/>
        </w:rPr>
        <w:t>quality.issue</w:t>
      </w:r>
      <w:r>
        <w:t xml:space="preserve"> задава </w:t>
      </w:r>
      <w:r>
        <w:rPr>
          <w:rFonts w:ascii="DejaVu Sans Mono" w:hAnsi="DejaVu Sans Mono"/>
          <w:sz w:val="19"/>
        </w:rPr>
        <w:t>TOO_DARK</w:t>
      </w:r>
      <w:r>
        <w:t xml:space="preserve">, </w:t>
      </w:r>
      <w:r>
        <w:rPr>
          <w:rFonts w:ascii="DejaVu Sans Mono" w:hAnsi="DejaVu Sans Mono"/>
          <w:sz w:val="19"/>
        </w:rPr>
        <w:t>OVEREXPOSED</w:t>
      </w:r>
      <w:r>
        <w:t xml:space="preserve"> или </w:t>
      </w:r>
      <w:r>
        <w:rPr>
          <w:rFonts w:ascii="DejaVu Sans Mono" w:hAnsi="DejaVu Sans Mono"/>
          <w:sz w:val="19"/>
        </w:rPr>
        <w:t>LOW_CONTRAST</w:t>
      </w:r>
      <w:r>
        <w:t>. Решението за кадъра става UNKNOWN и не се запазва зелен или задържан предупредителен статус. Обработката и съпоставянето се изпълняват преди крайното решение; качеството не е отделен ранен изход, който пропуска всички следващи изчисления.</w:t>
      </w:r>
    </w:p>
    <w:p>
      <w:bookmarkStart w:id="107" w:name="chapter_7"/>
      <w:pPr>
        <w:pStyle w:val="Heading1"/>
      </w:pPr>
      <w:r>
        <w:t>7 Шаблони и близост до контур</w:t>
      </w:r>
      <w:bookmarkEnd w:id="107"/>
    </w:p>
    <w:p>
      <w:r>
        <w:t xml:space="preserve">За всеки признак се изрязва контурен шаблон от подходящата референция. Примерът за горния крепеж има рамка 52 на 57 пиксела и е центриран около очакваната позиция </w:t>
      </w:r>
      <w:r>
        <w:rPr>
          <w:rFonts w:ascii="DejaVu Sans Mono" w:hAnsi="DejaVu Sans Mono"/>
          <w:sz w:val="19"/>
        </w:rPr>
        <w:t>(679, 362.5)</w:t>
      </w:r>
      <w:r>
        <w:t xml:space="preserve"> в пълния кадър. Кръглата support маска оставя централния диск и изключва релефа на планката около него.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97382"/>
            <wp:docPr id="13" name="Picture 13" descr="Един реален референтен крепеж и неговите представяния. Детайлите са увеличени за четимост. Кръглата маска определя кои пиксели участват в оценката, а не къде се извършва търсенето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empla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Фигура 13  Един реален референтен крепеж и неговите представяния. Детайлите са увеличени за четимост. Кръглата маска определя кои пиксели участват в оценката, а не къде се извършва търсенето.</w:t>
      </w:r>
    </w:p>
    <w:p>
      <w:r>
        <w:t xml:space="preserve">Крепежите са с </w:t>
      </w:r>
      <w:r>
        <w:rPr>
          <w:rFonts w:ascii="DejaVu Sans Mono" w:hAnsi="DejaVu Sans Mono"/>
          <w:sz w:val="19"/>
        </w:rPr>
        <w:t>orientation_invariant=true</w:t>
      </w:r>
      <w:r>
        <w:t>. Техният локален шаблон не се завърта през множество ъгли; разпознават се центровете, а ъгълът на цялата глава се определя от тяхното относително разположение. Този избор е разумен за приблизително кръгъл външен контур. Той не прави произволна асиметрична текстура независима от ориентацията.</w:t>
      </w:r>
    </w:p>
    <w:p>
      <w:r>
        <w:t xml:space="preserve">За контурната карта се изчислява distance transform. Входът е обърнат така, че контурите да са нулевите пиксели, до които се измерва разстояние [4]. Използвани са </w:t>
      </w:r>
      <w:r>
        <w:rPr>
          <w:rFonts w:ascii="DejaVu Sans Mono" w:hAnsi="DejaVu Sans Mono"/>
          <w:sz w:val="19"/>
        </w:rPr>
        <w:t>DIST_L2</w:t>
      </w:r>
      <w:r>
        <w:t xml:space="preserve"> и маска 3, тоест локално приближение на евклидовото разстояние. След това разстоянието се превръща в плавна близост Q.</w:t>
      </w:r>
    </w:p>
    <w:p>
      <w:pPr>
        <w:keepLines/>
        <w:spacing w:before="80" w:after="200"/>
      </w:pPr>
      <m:oMathPara>
        <m:oMathParaPr>
          <m:jc m:val="center"/>
        </m:oMathParaPr>
        <m:oMath>
          <m:r>
            <w:rPr>
              <w:rFonts w:ascii="DejaVu Math TeX Gyre" w:hAnsi="DejaVu Math TeX Gyre" w:cs="DejaVu Math TeX Gyre"/>
              <w:sz w:val="23"/>
            </w:rPr>
            <m:t xml:space="preserve">Q = exp(−</m:t>
          </m:r>
          <m:f>
            <m:num>
              <m:sSup>
                <m:e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D</m:t>
                  </m:r>
                </m:e>
                <m:sup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2</m:t>
                  </m:r>
                </m:sup>
              </m:sSup>
            </m:num>
            <m:den>
              <m:r>
                <w:rPr>
                  <w:rFonts w:ascii="DejaVu Math TeX Gyre" w:hAnsi="DejaVu Math TeX Gyre" w:cs="DejaVu Math TeX Gyre"/>
                  <w:sz w:val="23"/>
                </w:rPr>
                <m:t xml:space="preserve">2 </m:t>
              </m:r>
              <m:sSup>
                <m:e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σ</m:t>
                  </m:r>
                </m:e>
                <m:sup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2</m:t>
                  </m:r>
                </m:sup>
              </m:sSup>
            </m:den>
          </m:f>
          <m:r>
            <w:rPr>
              <w:rFonts w:ascii="DejaVu Math TeX Gyre" w:hAnsi="DejaVu Math TeX Gyre" w:cs="DejaVu Math TeX Gyre"/>
              <w:sz w:val="23"/>
            </w:rPr>
            <m:t xml:space="preserve">),    σ = 2 px</m:t>
          </m:r>
        </m:oMath>
      </m:oMathPara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97382"/>
            <wp:docPr id="14" name="Picture 14" descr="Реалните двоични контури и картата на близост с `edge_distance_sigma=2.0`. Жълтото е близо до контур, тъмновиолетовото е далеч. Показаният диапазон е от 0 до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roxim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Фигура 14  Реалните двоични контури и картата на близост с </w:t>
      </w:r>
      <w:r>
        <w:rPr>
          <w:rFonts w:ascii="DejaVu Sans Mono" w:hAnsi="DejaVu Sans Mono"/>
          <w:sz w:val="19"/>
        </w:rPr>
        <w:t>edge_distance_sigma=2.0</w:t>
      </w:r>
      <w:r>
        <w:t>. Жълтото е близо до контур, тъмновиолетовото е далеч. Показаният диапазон е от 0 до 1.</w:t>
      </w:r>
    </w:p>
    <w:p>
      <w:r>
        <w:t>При идеално разстояние 0, 1, 2 и 4 px формулата със sigma 2 дава приблизително 1.000, 0.882, 0.607 и 0.135. Реалната distance transform използва посоченото приближение. Така леко изместване на ръб от осветяване или дискретизация не унищожава съвпадението, както би се случило при изискване за точно съвпадение пиксел по пиксел.</w:t>
      </w:r>
    </w:p>
    <w:p>
      <w:r>
        <w:t>По-голяма sigma позволява повече отместване на контура, но може да възнагради и съседен несвързан контур. След промяна трябва да се проверят както положителните, така и погрешните съответствия. Картата на близост на текущия кадър се изчислява веднъж и се преизползва от отделните шаблони. При липса на контури тя е нулева. Празен очакван контур или липса на текущи контури дава оценка 0, а не автоматично сходство между празни области.</w:t>
      </w:r>
    </w:p>
    <w:p>
      <w:bookmarkStart w:id="108" w:name="chapter_8"/>
      <w:pPr>
        <w:pStyle w:val="Heading1"/>
      </w:pPr>
      <w:r>
        <w:t>8 Структурна оценка на съвпадението</w:t>
      </w:r>
      <w:bookmarkEnd w:id="108"/>
    </w:p>
    <w:p>
      <w:r>
        <w:t xml:space="preserve">Оценката в </w:t>
      </w:r>
      <w:r>
        <w:rPr>
          <w:rFonts w:ascii="DejaVu Sans Mono" w:hAnsi="DejaVu Sans Mono"/>
          <w:sz w:val="19"/>
        </w:rPr>
        <w:t>_shape_scores</w:t>
      </w:r>
      <w:r>
        <w:t xml:space="preserve"> не е просто корелация на суровата яркост. Тя комбинира две допълващи се величини. Пълнотата R оценява колко добре са обяснени очакваните контурни точки от текущите. Точността P оценява доколко текущите контурни точки в сравняваната област са близо до очакваните, вместо да са несвързан шум.</w:t>
      </w:r>
    </w:p>
    <w:p>
      <w:r>
        <w:t>Нека E_T са контурните пиксели на шаблона, E_I са наблюдаваните контури, S е support областта, а u е проверяваното отместване на горния ляв ъгъл. Картите Q_I и Q_T са съответно близостта до текущите и до шаблонните контури. Следните формули описват смисъла на двата члена.</w:t>
      </w:r>
    </w:p>
    <w:p>
      <w:pPr>
        <w:keepLines/>
        <w:spacing w:before="80" w:after="200"/>
      </w:pPr>
      <m:oMathPara>
        <m:oMathParaPr>
          <m:jc m:val="center"/>
        </m:oMathParaPr>
        <m:oMath>
          <m:r>
            <w:rPr>
              <w:rFonts w:ascii="DejaVu Math TeX Gyre" w:hAnsi="DejaVu Math TeX Gyre" w:cs="DejaVu Math TeX Gyre"/>
              <w:sz w:val="23"/>
            </w:rPr>
            <m:t xml:space="preserve">R(u) = </m:t>
          </m:r>
          <m:f>
            <m:num>
              <m:nary>
                <m:naryPr>
                  <m:chr m:val="∑"/>
                  <m:limLoc m:val="undOvr"/>
                  <m:supHide m:val="1"/>
                </m:naryPr>
                <m:sub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p∈</m:t>
                  </m:r>
                  <m:sSub>
                    <m:e>
                      <m:r>
                        <w:rPr>
                          <w:rFonts w:ascii="DejaVu Math TeX Gyre" w:hAnsi="DejaVu Math TeX Gyre" w:cs="DejaVu Math TeX Gyre"/>
                          <w:sz w:val="23"/>
                        </w:rPr>
                        <m:t xml:space="preserve">E</m:t>
                      </m:r>
                    </m:e>
                    <m:sub>
                      <m:r>
                        <w:rPr>
                          <w:rFonts w:ascii="DejaVu Math TeX Gyre" w:hAnsi="DejaVu Math TeX Gyre" w:cs="DejaVu Math TeX Gyre"/>
                          <w:sz w:val="23"/>
                        </w:rPr>
                        <m:t xml:space="preserve">T</m:t>
                      </m:r>
                    </m:sub>
                  </m:sSub>
                </m:sub>
                <m:sup/>
                <m:e>
                  <m:sSub>
                    <m:e>
                      <m:r>
                        <w:rPr>
                          <w:rFonts w:ascii="DejaVu Math TeX Gyre" w:hAnsi="DejaVu Math TeX Gyre" w:cs="DejaVu Math TeX Gyre"/>
                          <w:sz w:val="23"/>
                        </w:rPr>
                        <m:t xml:space="preserve">Q</m:t>
                      </m:r>
                    </m:e>
                    <m:sub>
                      <m:r>
                        <w:rPr>
                          <w:rFonts w:ascii="DejaVu Math TeX Gyre" w:hAnsi="DejaVu Math TeX Gyre" w:cs="DejaVu Math TeX Gyre"/>
                          <w:sz w:val="23"/>
                        </w:rPr>
                        <m:t xml:space="preserve">I</m:t>
                      </m:r>
                    </m:sub>
                  </m:sSub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(p + u)</m:t>
                  </m:r>
                </m:e>
              </m:nary>
            </m:num>
            <m:den>
              <m:r>
                <w:rPr>
                  <w:rFonts w:ascii="DejaVu Math TeX Gyre" w:hAnsi="DejaVu Math TeX Gyre" w:cs="DejaVu Math TeX Gyre"/>
                  <w:sz w:val="23"/>
                </w:rPr>
                <m:t xml:space="preserve">|</m:t>
              </m:r>
              <m:sSub>
                <m:e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E</m:t>
                  </m:r>
                </m:e>
                <m:sub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T</m:t>
                  </m:r>
                </m:sub>
              </m:sSub>
              <m:r>
                <w:rPr>
                  <w:rFonts w:ascii="DejaVu Math TeX Gyre" w:hAnsi="DejaVu Math TeX Gyre" w:cs="DejaVu Math TeX Gyre"/>
                  <w:sz w:val="23"/>
                </w:rPr>
                <m:t xml:space="preserve">|</m:t>
              </m:r>
            </m:den>
          </m:f>
        </m:oMath>
      </m:oMathPara>
    </w:p>
    <w:p>
      <w:r>
        <w:t>Във формулата за P означението 1 с индекс E_I е индикатор за наличие на текущ контур: стойността е 1 при контур и 0 иначе. N_I(u) е броят текущи контурни пиксели в изместената support област.</w:t>
      </w:r>
    </w:p>
    <w:p>
      <w:pPr>
        <w:keepLines/>
        <w:spacing w:before="80" w:after="200"/>
      </w:pPr>
      <m:oMathPara>
        <m:oMathParaPr>
          <m:jc m:val="center"/>
        </m:oMathParaPr>
        <m:oMath>
          <m:r>
            <w:rPr>
              <w:rFonts w:ascii="DejaVu Math TeX Gyre" w:hAnsi="DejaVu Math TeX Gyre" w:cs="DejaVu Math TeX Gyre"/>
              <w:sz w:val="23"/>
            </w:rPr>
            <m:t xml:space="preserve">P(u) = </m:t>
          </m:r>
          <m:f>
            <m:num>
              <m:nary>
                <m:naryPr>
                  <m:chr m:val="∑"/>
                  <m:limLoc m:val="undOvr"/>
                  <m:supHide m:val="1"/>
                </m:naryPr>
                <m:sub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p∈S</m:t>
                  </m:r>
                </m:sub>
                <m:sup/>
                <m:e>
                  <m:sSub>
                    <m:e>
                      <m:r>
                        <w:rPr>
                          <w:rFonts w:ascii="DejaVu Math TeX Gyre" w:hAnsi="DejaVu Math TeX Gyre" w:cs="DejaVu Math TeX Gyre"/>
                          <w:sz w:val="23"/>
                        </w:rPr>
                        <m:t xml:space="preserve">1</m:t>
                      </m:r>
                    </m:e>
                    <m:sub>
                      <m:sSub>
                        <m:e>
                          <m:r>
                            <w:rPr>
                              <w:rFonts w:ascii="DejaVu Math TeX Gyre" w:hAnsi="DejaVu Math TeX Gyre" w:cs="DejaVu Math TeX Gyre"/>
                              <w:sz w:val="23"/>
                            </w:rPr>
                            <m:t xml:space="preserve">E</m:t>
                          </m:r>
                        </m:e>
                        <m:sub>
                          <m:r>
                            <w:rPr>
                              <w:rFonts w:ascii="DejaVu Math TeX Gyre" w:hAnsi="DejaVu Math TeX Gyre" w:cs="DejaVu Math TeX Gyre"/>
                              <w:sz w:val="23"/>
                            </w:rPr>
                            <m:t xml:space="preserve">I</m:t>
                          </m:r>
                        </m:sub>
                      </m:sSub>
                    </m:sub>
                  </m:sSub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(p + u) · </m:t>
                  </m:r>
                  <m:sSub>
                    <m:e>
                      <m:r>
                        <w:rPr>
                          <w:rFonts w:ascii="DejaVu Math TeX Gyre" w:hAnsi="DejaVu Math TeX Gyre" w:cs="DejaVu Math TeX Gyre"/>
                          <w:sz w:val="23"/>
                        </w:rPr>
                        <m:t xml:space="preserve">Q</m:t>
                      </m:r>
                    </m:e>
                    <m:sub>
                      <m:r>
                        <w:rPr>
                          <w:rFonts w:ascii="DejaVu Math TeX Gyre" w:hAnsi="DejaVu Math TeX Gyre" w:cs="DejaVu Math TeX Gyre"/>
                          <w:sz w:val="23"/>
                        </w:rPr>
                        <m:t xml:space="preserve">T</m:t>
                      </m:r>
                    </m:sub>
                  </m:sSub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(p)</m:t>
                  </m:r>
                </m:e>
              </m:nary>
            </m:num>
            <m:den>
              <m:r>
                <w:rPr>
                  <w:rFonts w:ascii="DejaVu Math TeX Gyre" w:hAnsi="DejaVu Math TeX Gyre" w:cs="DejaVu Math TeX Gyre"/>
                  <w:sz w:val="23"/>
                </w:rPr>
                <m:t xml:space="preserve">max(</m:t>
              </m:r>
              <m:sSub>
                <m:e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N</m:t>
                  </m:r>
                </m:e>
                <m:sub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I</m:t>
                  </m:r>
                </m:sub>
              </m:sSub>
              <m:r>
                <w:rPr>
                  <w:rFonts w:ascii="DejaVu Math TeX Gyre" w:hAnsi="DejaVu Math TeX Gyre" w:cs="DejaVu Math TeX Gyre"/>
                  <w:sz w:val="23"/>
                </w:rPr>
                <m:t xml:space="preserve">(u), 1)</m:t>
              </m:r>
            </m:den>
          </m:f>
        </m:oMath>
      </m:oMathPara>
    </w:p>
    <w:p>
      <w:r>
        <w:t>Хармоничното им съчетаване наказва случай, в който е намерен само малък удобен фрагмент, както и случай, в който очакваният контур е сред много несвързани ръбове. Реализацията използва малка долна граница за знаменателя и ограничава резултата в интервала 0–1.</w:t>
      </w:r>
    </w:p>
    <w:p>
      <w:pPr>
        <w:keepLines/>
        <w:spacing w:before="80" w:after="200"/>
      </w:pPr>
      <m:oMathPara>
        <m:oMathParaPr>
          <m:jc m:val="center"/>
        </m:oMathParaPr>
        <m:oMath>
          <m:r>
            <w:rPr>
              <w:rFonts w:ascii="DejaVu Math TeX Gyre" w:hAnsi="DejaVu Math TeX Gyre" w:cs="DejaVu Math TeX Gyre"/>
              <w:sz w:val="23"/>
            </w:rPr>
            <m:t xml:space="preserve">score = clip(</m:t>
          </m:r>
          <m:f>
            <m:num>
              <m:r>
                <w:rPr>
                  <w:rFonts w:ascii="DejaVu Math TeX Gyre" w:hAnsi="DejaVu Math TeX Gyre" w:cs="DejaVu Math TeX Gyre"/>
                  <w:sz w:val="23"/>
                </w:rPr>
                <m:t xml:space="preserve">2 P R</m:t>
              </m:r>
            </m:num>
            <m:den>
              <m:r>
                <w:rPr>
                  <w:rFonts w:ascii="DejaVu Math TeX Gyre" w:hAnsi="DejaVu Math TeX Gyre" w:cs="DejaVu Math TeX Gyre"/>
                  <w:sz w:val="23"/>
                </w:rPr>
                <m:t xml:space="preserve">max(P + R, </m:t>
              </m:r>
              <m:sSup>
                <m:e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10</m:t>
                  </m:r>
                </m:e>
                <m:sup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−6</m:t>
                  </m:r>
                </m:sup>
              </m:sSup>
              <m:r>
                <w:rPr>
                  <w:rFonts w:ascii="DejaVu Math TeX Gyre" w:hAnsi="DejaVu Math TeX Gyre" w:cs="DejaVu Math TeX Gyre"/>
                  <w:sz w:val="23"/>
                </w:rPr>
                <m:t xml:space="preserve">)</m:t>
              </m:r>
            </m:den>
          </m:f>
          <m:r>
            <w:rPr>
              <w:rFonts w:ascii="DejaVu Math TeX Gyre" w:hAnsi="DejaVu Math TeX Gyre" w:cs="DejaVu Math TeX Gyre"/>
              <w:sz w:val="23"/>
            </w:rPr>
            <m:t xml:space="preserve">, 0, 1)</m:t>
          </m:r>
        </m:oMath>
      </m:oMathPara>
    </w:p>
    <w:p>
      <w:r>
        <w:t xml:space="preserve">За избрания горен крепеж шаблонът има </w:t>
      </w:r>
      <w:r>
        <w:rPr>
          <w:b/>
        </w:rPr>
        <w:t>229 контурни пиксела</w:t>
      </w:r>
      <w:r>
        <w:t xml:space="preserve">, а в текущата му кръгла support област има приблизително </w:t>
      </w:r>
      <w:r>
        <w:rPr>
          <w:b/>
        </w:rPr>
        <w:t>241</w:t>
      </w:r>
      <w:r>
        <w:t xml:space="preserve">. Получени са </w:t>
      </w:r>
      <w:r>
        <w:rPr>
          <w:b/>
        </w:rPr>
        <w:t>R = 0.9362</w:t>
      </w:r>
      <w:r>
        <w:t xml:space="preserve">, </w:t>
      </w:r>
      <w:r>
        <w:rPr>
          <w:b/>
        </w:rPr>
        <w:t>P = 0.9100</w:t>
      </w:r>
      <w:r>
        <w:t xml:space="preserve"> и крайна оценка </w:t>
      </w:r>
      <w:r>
        <w:rPr>
          <w:b/>
        </w:rPr>
        <w:t>0.9229</w:t>
      </w:r>
      <w:r>
        <w:t>. Тя надхвърля прага 0.72. Стойност 0.923 не означава 92.3% вероятност за правилно разпозната глава.</w:t>
      </w:r>
    </w:p>
    <w:p>
      <w:r>
        <w:t xml:space="preserve">Вътрешните суми се изчисляват чрез </w:t>
      </w:r>
      <w:r>
        <w:rPr>
          <w:rFonts w:ascii="DejaVu Sans Mono" w:hAnsi="DejaVu Sans Mono"/>
          <w:sz w:val="19"/>
        </w:rPr>
        <w:t>cv2.matchTemplate</w:t>
      </w:r>
      <w:r>
        <w:t xml:space="preserve"> с </w:t>
      </w:r>
      <w:r>
        <w:rPr>
          <w:rFonts w:ascii="DejaVu Sans Mono" w:hAnsi="DejaVu Sans Mono"/>
          <w:sz w:val="19"/>
        </w:rPr>
        <w:t>TM_CCORR</w:t>
      </w:r>
      <w:r>
        <w:t>, а броят текущи контури се получава чрез интегрално изображение или съпоставяне със support маската. Това изчислява карта за всички допустими позиции наведнъж, без Python цикъл по пикселите.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97382"/>
            <wp:docPr id="15" name="Picture 15" descr="Карта на структурната оценка за горния крепеж и текущите контури. Всеки пиксел в картата е позиция на горния ляв ъгъл на шаблона, а не вероятност, че съответният пиксел принадлежи на глава. Номерата обозначават първите пет пространствени кандидат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corema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Фигура 15  Карта на структурната оценка за горния крепеж и текущите контури. Всеки пиксел в картата е позиция на горния ляв ъгъл на шаблона, а не вероятност, че съответният пиксел принадлежи на глава. Номерата обозначават първите пет пространствени кандидата.</w:t>
      </w:r>
    </w:p>
    <w:p>
      <w:r>
        <w:t xml:space="preserve">Тук картата има размер </w:t>
      </w:r>
      <w:r>
        <w:rPr>
          <w:b/>
        </w:rPr>
        <w:t>449 на 399</w:t>
      </w:r>
      <w:r>
        <w:t xml:space="preserve">. Това следва от ROI 505 на 450 и шаблон 57 на 52: броят валидни позиции е височина минус височина на шаблона плюс едно, и аналогично по ширина. Избраната позиция в картата е </w:t>
      </w:r>
      <w:r>
        <w:rPr>
          <w:rFonts w:ascii="DejaVu Sans Mono" w:hAnsi="DejaVu Sans Mono"/>
          <w:sz w:val="19"/>
        </w:rPr>
        <w:t>(x=232, y=121)</w:t>
      </w:r>
      <w:r>
        <w:t xml:space="preserve">, което съответства на горен ляв ъгъл </w:t>
      </w:r>
      <w:r>
        <w:rPr>
          <w:rFonts w:ascii="DejaVu Sans Mono" w:hAnsi="DejaVu Sans Mono"/>
          <w:sz w:val="19"/>
        </w:rPr>
        <w:t>(702, 336)</w:t>
      </w:r>
      <w:r>
        <w:t xml:space="preserve"> в пълния кадър и център </w:t>
      </w:r>
      <w:r>
        <w:rPr>
          <w:rFonts w:ascii="DejaVu Sans Mono" w:hAnsi="DejaVu Sans Mono"/>
          <w:sz w:val="19"/>
        </w:rPr>
        <w:t>(728, 364.5)</w:t>
      </w:r>
      <w:r>
        <w:t>.</w:t>
      </w:r>
    </w:p>
    <w:p>
      <w:bookmarkStart w:id="109" w:name="chapter_9"/>
      <w:pPr>
        <w:pStyle w:val="Heading1"/>
      </w:pPr>
      <w:r>
        <w:t>9 Търсене на пространствени и ъглови кандидати</w:t>
      </w:r>
      <w:bookmarkEnd w:id="109"/>
    </w:p>
    <w:p>
      <w:r>
        <w:t>Оставянето само на един глобален максимум е рисковано, защото на стойката и около нея има много подобни кръгли елементи. Алгоритъмът запазва няколко пространствени алтернативи и оставя геометрията да избере съгласуваната комбинация.</w:t>
      </w:r>
    </w:p>
    <w:p>
      <w:r>
        <w:t xml:space="preserve">За обикновен признак се използва околност на очаквания център с </w:t>
      </w:r>
      <w:r>
        <w:rPr>
          <w:rFonts w:ascii="DejaVu Sans Mono" w:hAnsi="DejaVu Sans Mono"/>
          <w:sz w:val="19"/>
        </w:rPr>
        <w:t>search_margin=65</w:t>
      </w:r>
      <w:r>
        <w:t xml:space="preserve">. Тя винаги се ограничава от инспекционния ROI. За invariant признаците търсенето покрива целия ROI. Затова увеличаване на </w:t>
      </w:r>
      <w:r>
        <w:rPr>
          <w:rFonts w:ascii="DejaVu Sans Mono" w:hAnsi="DejaVu Sans Mono"/>
          <w:sz w:val="19"/>
        </w:rPr>
        <w:t>search_margin</w:t>
      </w:r>
      <w:r>
        <w:t xml:space="preserve"> няма да разшири допълнително тяхното търсене; нужно е ROI да съдържа желаното положение.</w:t>
      </w:r>
    </w:p>
    <w:p>
      <w:pPr>
        <w:pStyle w:val="Heading2"/>
      </w:pPr>
      <w:r>
        <w:t>Завъртени шаблони за регулатора</w:t>
      </w:r>
    </w:p>
    <w:p>
      <w:r>
        <w:t xml:space="preserve">Общият диапазон е </w:t>
      </w:r>
      <w:r>
        <w:rPr>
          <w:rFonts w:ascii="DejaVu Sans Mono" w:hAnsi="DejaVu Sans Mono"/>
          <w:sz w:val="19"/>
        </w:rPr>
        <w:t>max_rotation=180</w:t>
      </w:r>
      <w:r>
        <w:t xml:space="preserve"> със стъпка </w:t>
      </w:r>
      <w:r>
        <w:rPr>
          <w:rFonts w:ascii="DejaVu Sans Mono" w:hAnsi="DejaVu Sans Mono"/>
          <w:sz w:val="19"/>
        </w:rPr>
        <w:t>rotation_step=5</w:t>
      </w:r>
      <w:r>
        <w:t>. Регулаторът обаче има собствено ограничение 35°, така че за него остават 15 ъгъла от −35° до +35°. Нулевият ъгъл винаги се включва. При завъртане се разширява платното на самия изрязан шаблон, за да не се изреже контурът и да не се вземат нови фонови пиксели.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1469813"/>
            <wp:docPr id="16" name="Picture 16" descr="Три от действително използваните завъртени контурни шаблони на регулатора. Признаците на крепежите използват нулев локален ъгъл и не минават през тази банк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rotatio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69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Фигура 16  Три от действително използваните завъртени контурни шаблони на регулатора. Признаците на крепежите използват нулев локален ъгъл и не минават през тази банка.</w:t>
      </w:r>
    </w:p>
    <w:p>
      <w:r>
        <w:t xml:space="preserve">За обикновените present признаци се пазят до </w:t>
      </w:r>
      <w:r>
        <w:rPr>
          <w:rFonts w:ascii="DejaVu Sans Mono" w:hAnsi="DejaVu Sans Mono"/>
          <w:sz w:val="19"/>
        </w:rPr>
        <w:t>top_candidates=3</w:t>
      </w:r>
      <w:r>
        <w:t xml:space="preserve"> върха на всеки ъгъл. След избор околност с радиус </w:t>
      </w:r>
      <w:r>
        <w:rPr>
          <w:rFonts w:ascii="DejaVu Sans Mono" w:hAnsi="DejaVu Sans Mono"/>
          <w:sz w:val="19"/>
        </w:rPr>
        <w:t>suppression_radius=7</w:t>
      </w:r>
      <w:r>
        <w:t xml:space="preserve"> се потиска, за да не се запълни списъкът с почти една и съща позиция.</w:t>
      </w:r>
    </w:p>
    <w:p>
      <w:pPr>
        <w:pStyle w:val="Heading2"/>
      </w:pPr>
      <w:r>
        <w:t>Пространствени върхове за крепежите</w:t>
      </w:r>
    </w:p>
    <w:p>
      <w:r>
        <w:t xml:space="preserve">При invariant признаците се използва локален максимален филтър с </w:t>
      </w:r>
      <w:r>
        <w:rPr>
          <w:rFonts w:ascii="DejaVu Sans Mono" w:hAnsi="DejaVu Sans Mono"/>
          <w:sz w:val="19"/>
        </w:rPr>
        <w:t>peak_window=15</w:t>
      </w:r>
      <w:r>
        <w:t xml:space="preserve">, след което се пазят до </w:t>
      </w:r>
      <w:r>
        <w:rPr>
          <w:rFonts w:ascii="DejaVu Sans Mono" w:hAnsi="DejaVu Sans Mono"/>
          <w:sz w:val="19"/>
        </w:rPr>
        <w:t>invariant_candidates=48</w:t>
      </w:r>
      <w:r>
        <w:t xml:space="preserve"> върха. Ниският предварителен праг е </w:t>
      </w:r>
      <w:r>
        <w:rPr>
          <w:rFonts w:ascii="DejaVu Sans Mono" w:hAnsi="DejaVu Sans Mono"/>
          <w:sz w:val="19"/>
        </w:rPr>
        <w:t>threshold × candidate_score_ratio</w:t>
      </w:r>
      <w:r>
        <w:t>: при 0.72 и 0.65 това е 0.468. Той позволява да останат и по-слаби алтернативи, но окончателен inlier все пак трябва да премине пълния праг 0.72.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585172" cy="4023360"/>
            <wp:docPr id="17" name="Picture 17" descr="По пет най-силни кандидата за всеки от трите признака, нанесени върху реалния ROI. Първата цифра обозначава групата, втората е рангът в нея. За четимост не са изобразени всички запазени кандидат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andidat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5172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Фигура 17  По пет най-силни кандидата за всеки от трите признака, нанесени върху реалния ROI. Първата цифра обозначава групата, втората е рангът в нея. За четимост не са изобразени всички запазени кандидати.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2880"/>
        <w:gridCol w:w="2304"/>
        <w:gridCol w:w="4896"/>
      </w:tblGrid>
      <w:tr>
        <w:trPr>
          <w:tblHeader/>
          <w:cantSplit/>
        </w:trPr>
        <w:tc>
          <w:tcPr>
            <w:tcW w:type="dxa" w:w="2880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Признак</w:t>
            </w:r>
          </w:p>
        </w:tc>
        <w:tc>
          <w:tcPr>
            <w:tcW w:type="dxa" w:w="2304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Запазени кандидати в примера</w:t>
            </w:r>
          </w:p>
        </w:tc>
        <w:tc>
          <w:tcPr>
            <w:tcW w:type="dxa" w:w="4896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Най-висока оценка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adjustment_knob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0.5918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upper_bracket_fastener</w:t>
            </w:r>
          </w:p>
        </w:tc>
        <w:tc>
          <w:tcPr>
            <w:tcW w:type="dxa" w:w="2304"/>
            <w:vAlign w:val="center"/>
            <w:shd w:fill="F1F5F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type="dxa" w:w="4896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0.9229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lower_bracket_fastener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sz w:val="20"/>
              </w:rPr>
              <w:t>0.8638</w:t>
            </w:r>
          </w:p>
        </w:tc>
      </w:tr>
    </w:tbl>
    <w:p>
      <w:pPr>
        <w:spacing w:after="60"/>
      </w:pPr>
    </w:p>
    <w:p>
      <w:r>
        <w:t>По-големият бюджет може да запази правилно съответствие, което не е локалният победител, но увеличава комбинациите за геометрия. Намаляването му за повече FPS трябва да се провери върху трудни реални кадри. Наличието на множество възможни кандидати е част от несигурността, а не само разход за оптимизация.</w:t>
      </w:r>
    </w:p>
    <w:p>
      <w:bookmarkStart w:id="110" w:name="chapter_10"/>
      <w:pPr>
        <w:pStyle w:val="Heading1"/>
      </w:pPr>
      <w:r>
        <w:t>10 Геометрично съгласуване на признаците</w:t>
      </w:r>
      <w:bookmarkEnd w:id="110"/>
    </w:p>
    <w:p>
      <w:r>
        <w:t>Силен локален контур може да принадлежи на друг крепеж. Геометрията проверява дали различни признаци могат да се обяснят с едно общо твърдо движение. В модела няма независимо преместване за всеки признак, нито свободна промяна на мащаба.</w:t>
      </w:r>
    </w:p>
    <w:p>
      <w:r>
        <w:t>Нека p_i е референтен център, q_i е избран текущ център, а O е средният център на всички конфигурирани present признаци. Моделът е:</w:t>
      </w:r>
    </w:p>
    <w:p>
      <w:pPr>
        <w:keepLines/>
        <w:spacing w:before="80" w:after="200"/>
      </w:pPr>
      <m:oMathPara>
        <m:oMathParaPr>
          <m:jc m:val="center"/>
        </m:oMathParaPr>
        <m:oMath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q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i</m:t>
              </m:r>
            </m:sub>
          </m:sSub>
          <m:r>
            <w:rPr>
              <w:rFonts w:ascii="DejaVu Math TeX Gyre" w:hAnsi="DejaVu Math TeX Gyre" w:cs="DejaVu Math TeX Gyre"/>
              <w:sz w:val="23"/>
            </w:rPr>
            <m:t xml:space="preserve"> ≈ O + </m:t>
          </m:r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R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θ</m:t>
              </m:r>
            </m:sub>
          </m:sSub>
          <m:r>
            <w:rPr>
              <w:rFonts w:ascii="DejaVu Math TeX Gyre" w:hAnsi="DejaVu Math TeX Gyre" w:cs="DejaVu Math TeX Gyre"/>
              <w:sz w:val="23"/>
            </w:rPr>
            <m:t xml:space="preserve">(</m:t>
          </m:r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p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i</m:t>
              </m:r>
            </m:sub>
          </m:sSub>
          <m:r>
            <w:rPr>
              <w:rFonts w:ascii="DejaVu Math TeX Gyre" w:hAnsi="DejaVu Math TeX Gyre" w:cs="DejaVu Math TeX Gyre"/>
              <w:sz w:val="23"/>
            </w:rPr>
            <m:t xml:space="preserve"> − O) + t</m:t>
          </m:r>
        </m:oMath>
      </m:oMathPara>
    </w:p>
    <w:p>
      <w:pPr>
        <w:keepLines/>
        <w:spacing w:before="80" w:after="200"/>
      </w:pPr>
      <m:oMathPara>
        <m:oMathParaPr>
          <m:jc m:val="center"/>
        </m:oMathParaPr>
        <m:oMath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R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θ</m:t>
              </m:r>
            </m:sub>
          </m:sSub>
          <m:r>
            <w:rPr>
              <w:rFonts w:ascii="DejaVu Math TeX Gyre" w:hAnsi="DejaVu Math TeX Gyre" w:cs="DejaVu Math TeX Gyre"/>
              <w:sz w:val="23"/>
            </w:rPr>
            <m:t xml:space="preserve"> = 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w:rPr>
                        <w:rFonts w:ascii="DejaVu Math TeX Gyre" w:hAnsi="DejaVu Math TeX Gyre" w:cs="DejaVu Math TeX Gyre"/>
                        <w:sz w:val="23"/>
                      </w:rPr>
                      <m:t xml:space="preserve">cos θ</m:t>
                    </m:r>
                  </m:e>
                  <m:e>
                    <m:r>
                      <w:rPr>
                        <w:rFonts w:ascii="DejaVu Math TeX Gyre" w:hAnsi="DejaVu Math TeX Gyre" w:cs="DejaVu Math TeX Gyre"/>
                        <w:sz w:val="23"/>
                      </w:rPr>
                      <m:t xml:space="preserve">sin θ</m:t>
                    </m:r>
                  </m:e>
                </m:mr>
                <m:mr>
                  <m:e>
                    <m:r>
                      <w:rPr>
                        <w:rFonts w:ascii="DejaVu Math TeX Gyre" w:hAnsi="DejaVu Math TeX Gyre" w:cs="DejaVu Math TeX Gyre"/>
                        <w:sz w:val="23"/>
                      </w:rPr>
                      <m:t xml:space="preserve">−sin θ</m:t>
                    </m:r>
                  </m:e>
                  <m:e>
                    <m:r>
                      <w:rPr>
                        <w:rFonts w:ascii="DejaVu Math TeX Gyre" w:hAnsi="DejaVu Math TeX Gyre" w:cs="DejaVu Math TeX Gyre"/>
                        <w:sz w:val="23"/>
                      </w:rPr>
                      <m:t xml:space="preserve">cos θ</m:t>
                    </m:r>
                  </m:e>
                </m:mr>
              </m:m>
            </m:e>
          </m:d>
        </m:oMath>
      </m:oMathPara>
    </w:p>
    <w:p>
      <w:r>
        <w:t>Матрицата следва знака, използван от OpenCV при координати x надясно и y надолу. За приемане се използва абсолютният ъгъл, така че и двете посоки могат да бъдат недопустими. Знакът е полезен за диагностика и посоката трябва да се чете заедно с координатната схема.</w:t>
      </w:r>
    </w:p>
    <w:p>
      <w:pPr>
        <w:pStyle w:val="Heading2"/>
      </w:pPr>
      <w:r>
        <w:t>Предложения за поза от двойки крепежи</w:t>
      </w:r>
    </w:p>
    <w:p>
      <w:r>
        <w:t>Две invariant групи могат да предложат ъгъл от вектора между референтните центрове и вектора между текущите кандидати. За да бъдат разглеждани като двойка, кандидатите са от различни групи, минават праговете си, имат достатъчна референтна дистанция и сходни дължини на двата вектора.</w:t>
      </w:r>
    </w:p>
    <w:p>
      <w:r>
        <w:rPr>
          <w:rFonts w:ascii="DejaVu Sans Mono" w:hAnsi="DejaVu Sans Mono"/>
          <w:sz w:val="19"/>
        </w:rPr>
        <w:t>minimum_pair_baseline=1.0</w:t>
      </w:r>
      <w:r>
        <w:t xml:space="preserve"> изисква референтната дължина да е по-голяма от 1 px. </w:t>
      </w:r>
      <w:r>
        <w:rPr>
          <w:rFonts w:ascii="DejaVu Sans Mono" w:hAnsi="DejaVu Sans Mono"/>
          <w:sz w:val="19"/>
        </w:rPr>
        <w:t>pair_tolerance_multiplier=2.0</w:t>
      </w:r>
      <w:r>
        <w:t xml:space="preserve"> и </w:t>
      </w:r>
      <w:r>
        <w:rPr>
          <w:rFonts w:ascii="DejaVu Sans Mono" w:hAnsi="DejaVu Sans Mono"/>
          <w:sz w:val="19"/>
        </w:rPr>
        <w:t>consensus_tolerance=14.0</w:t>
      </w:r>
      <w:r>
        <w:t xml:space="preserve"> позволяват разлика на дължините до 28 px при генерирането на хипотезата. Това е предварителен филтър; отделните съответствия после трябва да преминат проверката за остатъчно отклонение.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3456"/>
        <w:gridCol w:w="3312"/>
        <w:gridCol w:w="3312"/>
      </w:tblGrid>
      <w:tr>
        <w:trPr>
          <w:tblHeader/>
          <w:cantSplit/>
        </w:trPr>
        <w:tc>
          <w:tcPr>
            <w:tcW w:type="dxa" w:w="3456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Величина за основния кадър</w:t>
            </w:r>
          </w:p>
        </w:tc>
        <w:tc>
          <w:tcPr>
            <w:tcW w:type="dxa" w:w="3312"/>
            <w:vAlign w:val="center"/>
            <w:shd w:fill="20384D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b/>
                <w:color w:val="FFFFFF"/>
                <w:sz w:val="20"/>
              </w:rPr>
              <w:t>Референция</w:t>
            </w:r>
          </w:p>
        </w:tc>
        <w:tc>
          <w:tcPr>
            <w:tcW w:type="dxa" w:w="3312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Наблюдение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Горен крепеж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DejaVu Sans Mono" w:hAnsi="DejaVu Sans Mono"/>
                <w:sz w:val="18"/>
              </w:rPr>
              <w:t>(679.0, 362.5)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(728.0, 364.5)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Долен крепеж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DejaVu Sans Mono" w:hAnsi="DejaVu Sans Mono"/>
                <w:sz w:val="18"/>
              </w:rPr>
              <w:t>(690.0, 535.5)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(689.0, 533.5)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Вектор от горния към долния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DejaVu Sans Mono" w:hAnsi="DejaVu Sans Mono"/>
                <w:sz w:val="18"/>
              </w:rPr>
              <w:t>(11.0, 173.0)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(-39.0, 169.0)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sz w:val="20"/>
              </w:rPr>
              <w:t>Дължина на вектора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DejaVu Sans Mono" w:hAnsi="DejaVu Sans Mono"/>
                <w:sz w:val="18"/>
              </w:rPr>
              <w:t>173.349 px</w:t>
            </w:r>
          </w:p>
        </w:tc>
        <w:tc>
          <w:tcPr>
            <w:tcW w:type="dxa" w:w="3312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173.442 px</w:t>
            </w:r>
          </w:p>
        </w:tc>
      </w:tr>
    </w:tbl>
    <w:p>
      <w:pPr>
        <w:spacing w:after="60"/>
      </w:pPr>
    </w:p>
    <w:p>
      <w:r>
        <w:t xml:space="preserve">Разликата в дължините е едва </w:t>
      </w:r>
      <w:r>
        <w:rPr>
          <w:b/>
        </w:rPr>
        <w:t>0.092 px</w:t>
      </w:r>
      <w:r>
        <w:t>. Посоката обаче се е променила значително. Това е добра хипотеза за твърдо завъртяна глава, а не за две независимо разместени точки.</w:t>
      </w:r>
    </w:p>
    <w:p>
      <w:r>
        <w:t>В следващата зависимост a е референтният вектор между двата крепежа, а b е наблюдаваният вектор.</w:t>
      </w:r>
    </w:p>
    <w:p>
      <w:pPr>
        <w:keepLines/>
        <w:spacing w:before="80" w:after="200"/>
      </w:pPr>
      <m:oMathPara>
        <m:oMathParaPr>
          <m:jc m:val="center"/>
        </m:oMathParaPr>
        <m:oMath>
          <m:r>
            <w:rPr>
              <w:rFonts w:ascii="DejaVu Math TeX Gyre" w:hAnsi="DejaVu Math TeX Gyre" w:cs="DejaVu Math TeX Gyre"/>
              <w:sz w:val="23"/>
            </w:rPr>
            <m:t xml:space="preserve">θ = atan2(</m:t>
          </m:r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a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y</m:t>
              </m:r>
            </m:sub>
          </m:sSub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b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x</m:t>
              </m:r>
            </m:sub>
          </m:sSub>
          <m:r>
            <w:rPr>
              <w:rFonts w:ascii="DejaVu Math TeX Gyre" w:hAnsi="DejaVu Math TeX Gyre" w:cs="DejaVu Math TeX Gyre"/>
              <w:sz w:val="23"/>
            </w:rPr>
            <m:t xml:space="preserve"> − </m:t>
          </m:r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a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x</m:t>
              </m:r>
            </m:sub>
          </m:sSub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b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y</m:t>
              </m:r>
            </m:sub>
          </m:sSub>
          <m:r>
            <w:rPr>
              <w:rFonts w:ascii="DejaVu Math TeX Gyre" w:hAnsi="DejaVu Math TeX Gyre" w:cs="DejaVu Math TeX Gyre"/>
              <w:sz w:val="23"/>
            </w:rPr>
            <m:t xml:space="preserve">, </m:t>
          </m:r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a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x</m:t>
              </m:r>
            </m:sub>
          </m:sSub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b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x</m:t>
              </m:r>
            </m:sub>
          </m:sSub>
          <m:r>
            <w:rPr>
              <w:rFonts w:ascii="DejaVu Math TeX Gyre" w:hAnsi="DejaVu Math TeX Gyre" w:cs="DejaVu Math TeX Gyre"/>
              <w:sz w:val="23"/>
            </w:rPr>
            <m:t xml:space="preserve"> + </m:t>
          </m:r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a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y</m:t>
              </m:r>
            </m:sub>
          </m:sSub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b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y</m:t>
              </m:r>
            </m:sub>
          </m:sSub>
          <m:r>
            <w:rPr>
              <w:rFonts w:ascii="DejaVu Math TeX Gyre" w:hAnsi="DejaVu Math TeX Gyre" w:cs="DejaVu Math TeX Gyre"/>
              <w:sz w:val="23"/>
            </w:rPr>
            <m:t xml:space="preserve">)</m:t>
          </m:r>
        </m:oMath>
      </m:oMathPara>
    </w:p>
    <w:p>
      <w:pPr>
        <w:pStyle w:val="Heading2"/>
      </w:pPr>
      <w:r>
        <w:t>Проверка на всички кандидати спрямо една поза</w:t>
      </w:r>
    </w:p>
    <w:p>
      <w:r>
        <w:t>За всяка хипотеза се предсказва къде трябва да попадне всеки референтен център. Остатъчното отклонение е евклидовата дистанция между предсказания и наблюдавания център. Кандидатът може да подкрепи позата само ако неговата оценка минава прага и отклонението е не повече от 14 px.</w:t>
      </w:r>
    </w:p>
    <w:p>
      <w:pPr>
        <w:keepLines/>
        <w:spacing w:before="80" w:after="200"/>
      </w:pPr>
      <m:oMathPara>
        <m:oMathParaPr>
          <m:jc m:val="center"/>
        </m:oMathParaPr>
        <m:oMath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e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i</m:t>
              </m:r>
            </m:sub>
          </m:sSub>
          <m:r>
            <w:rPr>
              <w:rFonts w:ascii="DejaVu Math TeX Gyre" w:hAnsi="DejaVu Math TeX Gyre" w:cs="DejaVu Math TeX Gyre"/>
              <w:sz w:val="23"/>
            </w:rPr>
            <m:t xml:space="preserve"> = ‖</m:t>
          </m:r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q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i</m:t>
              </m:r>
            </m:sub>
          </m:sSub>
          <m:r>
            <w:rPr>
              <w:rFonts w:ascii="DejaVu Math TeX Gyre" w:hAnsi="DejaVu Math TeX Gyre" w:cs="DejaVu Math TeX Gyre"/>
              <w:sz w:val="23"/>
            </w:rPr>
            <m:t xml:space="preserve"> − (O + </m:t>
          </m:r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R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θ</m:t>
              </m:r>
            </m:sub>
          </m:sSub>
          <m:r>
            <w:rPr>
              <w:rFonts w:ascii="DejaVu Math TeX Gyre" w:hAnsi="DejaVu Math TeX Gyre" w:cs="DejaVu Math TeX Gyre"/>
              <w:sz w:val="23"/>
            </w:rPr>
            <m:t xml:space="preserve">(</m:t>
          </m:r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p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i</m:t>
              </m:r>
            </m:sub>
          </m:sSub>
          <m:r>
            <w:rPr>
              <w:rFonts w:ascii="DejaVu Math TeX Gyre" w:hAnsi="DejaVu Math TeX Gyre" w:cs="DejaVu Math TeX Gyre"/>
              <w:sz w:val="23"/>
            </w:rPr>
            <m:t xml:space="preserve"> − O) + t)‖</m:t>
          </m:r>
        </m:oMath>
      </m:oMathPara>
    </w:p>
    <w:p>
      <w:r>
        <w:t xml:space="preserve">За non-invariant кандидат се изисква също разлика между локалния шаблонен ъгъл и ъгъла на хипотезата не повече от </w:t>
      </w:r>
      <w:r>
        <w:rPr>
          <w:rFonts w:ascii="DejaVu Sans Mono" w:hAnsi="DejaVu Sans Mono"/>
          <w:sz w:val="19"/>
        </w:rPr>
        <w:t>angle_tolerance=5.01°</w:t>
      </w:r>
      <w:r>
        <w:t>. Invariant кандидатите прескачат тази локална ъглова проверка, защото по замисъл ъгълът на самия кръг не е надеждният им белег.</w:t>
      </w:r>
    </w:p>
    <w:p>
      <w:r>
        <w:t xml:space="preserve">В рамките на всяка група кандидатите се сравняват по </w:t>
      </w:r>
      <w:r>
        <w:rPr>
          <w:rFonts w:ascii="DejaVu Sans Mono" w:hAnsi="DejaVu Sans Mono"/>
          <w:sz w:val="19"/>
        </w:rPr>
        <w:t>score - residual_weight × residual</w:t>
      </w:r>
      <w:r>
        <w:t xml:space="preserve">, където </w:t>
      </w:r>
      <w:r>
        <w:rPr>
          <w:rFonts w:ascii="DejaVu Sans Mono" w:hAnsi="DejaVu Sans Mono"/>
          <w:sz w:val="19"/>
        </w:rPr>
        <w:t>residual_weight=0.01</w:t>
      </w:r>
      <w:r>
        <w:t xml:space="preserve"> на пиксел. Хипотезите първо се подреждат по броя подкрепящи групи, след това по сумарното качество. При равенство се предпочитат по-малък абсолютен ъгъл и по-малко преместване, с детерминирано последно разрешаване на равенствата.</w:t>
      </w:r>
    </w:p>
    <w:p>
      <w:r>
        <w:t>Групите, двойките, прогнозните координати и остатъците се изчисляват с NumPy масиви. Това е явно изброяване и оценяване на хипотези, а не случаен RANSAC процес. Кодът не изпълнява Python цикъл за всеки пиксел или за всяка отделна двойка кандидати.</w:t>
      </w:r>
    </w:p>
    <w:p>
      <w:pPr>
        <w:pStyle w:val="Heading2"/>
      </w:pPr>
      <w:r>
        <w:t>Окончателно измерване на ъгъла и преместването</w:t>
      </w:r>
    </w:p>
    <w:p>
      <w:r>
        <w:t xml:space="preserve">След избора на съгласуваните inlier признаци </w:t>
      </w:r>
      <w:r>
        <w:rPr>
          <w:rFonts w:ascii="DejaVu Sans Mono" w:hAnsi="DejaVu Sans Mono"/>
          <w:sz w:val="19"/>
        </w:rPr>
        <w:t>geometry.fitted_pose</w:t>
      </w:r>
      <w:r>
        <w:t xml:space="preserve"> преоценява позата от техните действителни центрове. Квантованата мрежа от завъртени шаблони служи за търсене. Финалният ъгъл не се закръгля до стъпки от 5°.</w:t>
      </w:r>
    </w:p>
    <w:p>
      <w:r>
        <w:t>Първо се изчисляват средните центрове на inlier множествата и центрираните вектори. Сумарните скаларни и ориентирани произведения дават ъгъла чрез atan2. При два крепежа това съответства на промяната на посоката на свързващия вектор.</w:t>
      </w:r>
    </w:p>
    <w:p>
      <w:r>
        <w:t>Нека u_i = p_i − c_p и v_i = q_i − c_q, където c_p и c_q са средните центрове на съответните inlier множества I. Формулата използва само тези центрирани вектори.</w:t>
      </w:r>
    </w:p>
    <w:p>
      <w:pPr>
        <w:keepLines/>
        <w:spacing w:before="80" w:after="200"/>
      </w:pPr>
      <m:oMathPara>
        <m:oMathParaPr>
          <m:jc m:val="center"/>
        </m:oMathParaPr>
        <m:oMath>
          <m:r>
            <w:rPr>
              <w:rFonts w:ascii="DejaVu Math TeX Gyre" w:hAnsi="DejaVu Math TeX Gyre" w:cs="DejaVu Math TeX Gyre"/>
              <w:sz w:val="23"/>
            </w:rPr>
            <m:t xml:space="preserve">θ = atan2(</m:t>
          </m:r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i∈I</m:t>
              </m:r>
            </m:sub>
            <m:sup/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(</m:t>
              </m:r>
              <m:sSub>
                <m:e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u</m:t>
                  </m:r>
                </m:e>
                <m:sub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i,y</m:t>
                  </m:r>
                </m:sub>
              </m:sSub>
              <m:sSub>
                <m:e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v</m:t>
                  </m:r>
                </m:e>
                <m:sub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i,x</m:t>
                  </m:r>
                </m:sub>
              </m:sSub>
              <m:r>
                <w:rPr>
                  <w:rFonts w:ascii="DejaVu Math TeX Gyre" w:hAnsi="DejaVu Math TeX Gyre" w:cs="DejaVu Math TeX Gyre"/>
                  <w:sz w:val="23"/>
                </w:rPr>
                <m:t xml:space="preserve"> − </m:t>
              </m:r>
              <m:sSub>
                <m:e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u</m:t>
                  </m:r>
                </m:e>
                <m:sub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i,x</m:t>
                  </m:r>
                </m:sub>
              </m:sSub>
              <m:sSub>
                <m:e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v</m:t>
                  </m:r>
                </m:e>
                <m:sub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i,y</m:t>
                  </m:r>
                </m:sub>
              </m:sSub>
              <m:r>
                <w:rPr>
                  <w:rFonts w:ascii="DejaVu Math TeX Gyre" w:hAnsi="DejaVu Math TeX Gyre" w:cs="DejaVu Math TeX Gyre"/>
                  <w:sz w:val="23"/>
                </w:rPr>
                <m:t xml:space="preserve">)</m:t>
              </m:r>
            </m:e>
          </m:nary>
          <m:r>
            <w:rPr>
              <w:rFonts w:ascii="DejaVu Math TeX Gyre" w:hAnsi="DejaVu Math TeX Gyre" w:cs="DejaVu Math TeX Gyre"/>
              <w:sz w:val="23"/>
            </w:rPr>
            <m:t xml:space="preserve">, </m:t>
          </m:r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i∈I</m:t>
              </m:r>
            </m:sub>
            <m:sup/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(</m:t>
              </m:r>
              <m:sSub>
                <m:e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u</m:t>
                  </m:r>
                </m:e>
                <m:sub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i,x</m:t>
                  </m:r>
                </m:sub>
              </m:sSub>
              <m:sSub>
                <m:e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v</m:t>
                  </m:r>
                </m:e>
                <m:sub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i,x</m:t>
                  </m:r>
                </m:sub>
              </m:sSub>
              <m:r>
                <w:rPr>
                  <w:rFonts w:ascii="DejaVu Math TeX Gyre" w:hAnsi="DejaVu Math TeX Gyre" w:cs="DejaVu Math TeX Gyre"/>
                  <w:sz w:val="23"/>
                </w:rPr>
                <m:t xml:space="preserve"> + </m:t>
              </m:r>
              <m:sSub>
                <m:e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u</m:t>
                  </m:r>
                </m:e>
                <m:sub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i,y</m:t>
                  </m:r>
                </m:sub>
              </m:sSub>
              <m:sSub>
                <m:e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v</m:t>
                  </m:r>
                </m:e>
                <m:sub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i,y</m:t>
                  </m:r>
                </m:sub>
              </m:sSub>
              <m:r>
                <w:rPr>
                  <w:rFonts w:ascii="DejaVu Math TeX Gyre" w:hAnsi="DejaVu Math TeX Gyre" w:cs="DejaVu Math TeX Gyre"/>
                  <w:sz w:val="23"/>
                </w:rPr>
                <m:t xml:space="preserve">)</m:t>
              </m:r>
            </m:e>
          </m:nary>
          <m:r>
            <w:rPr>
              <w:rFonts w:ascii="DejaVu Math TeX Gyre" w:hAnsi="DejaVu Math TeX Gyre" w:cs="DejaVu Math TeX Gyre"/>
              <w:sz w:val="23"/>
            </w:rPr>
            <m:t xml:space="preserve">)</m:t>
          </m:r>
        </m:oMath>
      </m:oMathPara>
    </w:p>
    <w:p>
      <w:r>
        <w:t>Преместването се изразява при общия конфигуриран център O, а не просто при средата на видимите в момента inlier точки. Така загубата на незадължителния регулатор не сменя дефиницията на измервателния произход.</w:t>
      </w:r>
    </w:p>
    <w:p>
      <w:pPr>
        <w:keepLines/>
        <w:spacing w:before="80" w:after="200"/>
      </w:pPr>
      <m:oMathPara>
        <m:oMathParaPr>
          <m:jc m:val="center"/>
        </m:oMathParaPr>
        <m:oMath>
          <m:r>
            <w:rPr>
              <w:rFonts w:ascii="DejaVu Math TeX Gyre" w:hAnsi="DejaVu Math TeX Gyre" w:cs="DejaVu Math TeX Gyre"/>
              <w:sz w:val="23"/>
            </w:rPr>
            <m:t xml:space="preserve">t = </m:t>
          </m:r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c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q</m:t>
              </m:r>
            </m:sub>
          </m:sSub>
          <m:r>
            <w:rPr>
              <w:rFonts w:ascii="DejaVu Math TeX Gyre" w:hAnsi="DejaVu Math TeX Gyre" w:cs="DejaVu Math TeX Gyre"/>
              <w:sz w:val="23"/>
            </w:rPr>
            <m:t xml:space="preserve"> − [O + </m:t>
          </m:r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R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θ</m:t>
              </m:r>
            </m:sub>
          </m:sSub>
          <m:r>
            <w:rPr>
              <w:rFonts w:ascii="DejaVu Math TeX Gyre" w:hAnsi="DejaVu Math TeX Gyre" w:cs="DejaVu Math TeX Gyre"/>
              <w:sz w:val="23"/>
            </w:rPr>
            <m:t xml:space="preserve">(</m:t>
          </m:r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c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p</m:t>
              </m:r>
            </m:sub>
          </m:sSub>
          <m:r>
            <w:rPr>
              <w:rFonts w:ascii="DejaVu Math TeX Gyre" w:hAnsi="DejaVu Math TeX Gyre" w:cs="DejaVu Math TeX Gyre"/>
              <w:sz w:val="23"/>
            </w:rPr>
            <m:t xml:space="preserve"> − O)]</m:t>
          </m:r>
        </m:oMath>
      </m:oMathPara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585172" cy="4023360"/>
            <wp:docPr id="18" name="Picture 18" descr="Референтните центрове P са цианови, избраните текущи центрове Q са оранжеви. P1 е регулаторът, P2 и P3 са крепежите. O е общият референтен център. Линиите между крепежите показват как се измерва завъртането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geometr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5172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Фигура 18  Референтните центрове P са цианови, избраните текущи центрове Q са оранжеви. P1 е регулаторът, P2 и P3 са крепежите. O е общият референтен център. Линиите между крепежите показват как се измерва завъртането.</w:t>
      </w:r>
    </w:p>
    <w:p>
      <w:r>
        <w:t xml:space="preserve">Тук O е </w:t>
      </w:r>
      <w:r>
        <w:rPr>
          <w:rFonts w:ascii="DejaVu Sans Mono" w:hAnsi="DejaVu Sans Mono"/>
          <w:sz w:val="19"/>
        </w:rPr>
        <w:t>(686.0, 393.5)</w:t>
      </w:r>
      <w:r>
        <w:t xml:space="preserve">. Полученото отместване е </w:t>
      </w:r>
      <w:r>
        <w:rPr>
          <w:b/>
        </w:rPr>
        <w:t>(39.823, 2.752) px</w:t>
      </w:r>
      <w:r>
        <w:t xml:space="preserve">. Неговата дължина е </w:t>
      </w:r>
      <w:r>
        <w:rPr>
          <w:b/>
        </w:rPr>
        <w:t>39.918 px</w:t>
      </w:r>
      <w:r>
        <w:t xml:space="preserve">, а ъгълът е </w:t>
      </w:r>
      <w:r>
        <w:rPr>
          <w:b/>
        </w:rPr>
        <w:t>-16.633°</w:t>
      </w:r>
      <w:r>
        <w:t xml:space="preserve">. След преоценката остатъците при двата крепежа са приблизително </w:t>
      </w:r>
      <w:r>
        <w:rPr>
          <w:b/>
        </w:rPr>
        <w:t>0.046 px</w:t>
      </w:r>
      <w:r>
        <w:t>. Те са много под 14 px; тази малка стойност показва съгласуваност на избраната двойка, не самостоятелно доказателство за физическата ѝ идентичност.</w:t>
      </w:r>
    </w:p>
    <w:p>
      <w:r>
        <w:t xml:space="preserve">Регулаторът има оценка 0.5918 под 0.72 и не е inlier. </w:t>
      </w:r>
      <w:r>
        <w:rPr>
          <w:rFonts w:ascii="DejaVu Sans Mono" w:hAnsi="DejaVu Sans Mono"/>
          <w:sz w:val="19"/>
        </w:rPr>
        <w:t>required=false</w:t>
      </w:r>
      <w:r>
        <w:t xml:space="preserve"> позволява двата надеждно съгласувани крепежа да изпълнят </w:t>
      </w:r>
      <w:r>
        <w:rPr>
          <w:rFonts w:ascii="DejaVu Sans Mono" w:hAnsi="DejaVu Sans Mono"/>
          <w:sz w:val="19"/>
        </w:rPr>
        <w:t>min_present_features=2</w:t>
      </w:r>
      <w:r>
        <w:t>. Ако регулаторът беше задължителен в този кадър, наличието нямаше да бъде потвърдено и резултатът би останал UNKNOWN.</w:t>
      </w:r>
    </w:p>
    <w:p>
      <w:bookmarkStart w:id="111" w:name="chapter_11"/>
      <w:pPr>
        <w:pStyle w:val="Heading1"/>
      </w:pPr>
      <w:r>
        <w:t>11 Положително доказателство за празна стойка</w:t>
      </w:r>
      <w:bookmarkEnd w:id="111"/>
    </w:p>
    <w:p>
      <w:r>
        <w:t xml:space="preserve">Липсата на разпозната глава не е достатъчна за HEAD_MISSING. Алгоритъмът отделно проверява вида на празната стойка. Първият член е сходството на контурите в </w:t>
      </w:r>
      <w:r>
        <w:rPr>
          <w:rFonts w:ascii="DejaVu Sans Mono" w:hAnsi="DejaVu Sans Mono"/>
          <w:sz w:val="19"/>
        </w:rPr>
        <w:t>roi.empty_mount</w:t>
      </w:r>
      <w:r>
        <w:t xml:space="preserve"> с тези на missing референцията на същите координати. Тук няма търсене на преместена стойка.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88327"/>
            <wp:docPr id="19" name="Picture 19" descr="Реална референтна празна стойка и действителен кадър след сваляне на главата. Изрязването е по `roi.empty_mount`, а не по пълния кадър или рамката на present признак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empty_pla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8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Фигура 19  Реална референтна празна стойка и действителен кадър след сваляне на главата. Изрязването е по </w:t>
      </w:r>
      <w:r>
        <w:rPr>
          <w:rFonts w:ascii="DejaVu Sans Mono" w:hAnsi="DejaVu Sans Mono"/>
          <w:sz w:val="19"/>
        </w:rPr>
        <w:t>roi.empty_mount</w:t>
      </w:r>
      <w:r>
        <w:t>, а не по пълния кадър или рамката на present признак.</w:t>
      </w:r>
    </w:p>
    <w:p>
      <w:r>
        <w:t xml:space="preserve">В реалния missing кадър оценката на фиксираната област е </w:t>
      </w:r>
      <w:r>
        <w:rPr>
          <w:b/>
        </w:rPr>
        <w:t>0.7019</w:t>
      </w:r>
      <w:r>
        <w:t xml:space="preserve">, която надвишава </w:t>
      </w:r>
      <w:r>
        <w:rPr>
          <w:rFonts w:ascii="DejaVu Sans Mono" w:hAnsi="DejaVu Sans Mono"/>
          <w:sz w:val="19"/>
        </w:rPr>
        <w:t>plate_threshold=0.65</w:t>
      </w:r>
      <w:r>
        <w:t>. Успоредно се търсят отделните missing признаци с незавъртени шаблони.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585172" cy="4023360"/>
            <wp:docPr id="20" name="Picture 20" descr="Четирите крепежа на празната стойка. Зелени са преминалите признаци. Те са независими съответствия спрямо фиксираната оценка на по-голямата област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empty_landmark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5172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Фигура 20  Четирите крепежа на празната стойка. Зелени са преминалите признаци. Те са независими съответствия спрямо фиксираната оценка на по-голямата област.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2880"/>
        <w:gridCol w:w="2160"/>
        <w:gridCol w:w="2304"/>
        <w:gridCol w:w="2736"/>
      </w:tblGrid>
      <w:tr>
        <w:trPr>
          <w:tblHeader/>
          <w:cantSplit/>
        </w:trPr>
        <w:tc>
          <w:tcPr>
            <w:tcW w:type="dxa" w:w="2880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Missing признак</w:t>
            </w:r>
          </w:p>
        </w:tc>
        <w:tc>
          <w:tcPr>
            <w:tcW w:type="dxa" w:w="2160"/>
            <w:vAlign w:val="center"/>
            <w:shd w:fill="20384D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b/>
                <w:color w:val="FFFFFF"/>
                <w:sz w:val="20"/>
              </w:rPr>
              <w:t>Оценка</w:t>
            </w:r>
          </w:p>
        </w:tc>
        <w:tc>
          <w:tcPr>
            <w:tcW w:type="dxa" w:w="2304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Изместване в px</w:t>
            </w:r>
          </w:p>
        </w:tc>
        <w:tc>
          <w:tcPr>
            <w:tcW w:type="dxa" w:w="2736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Преминал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top_left_bolt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sz w:val="20"/>
              </w:rPr>
              <w:t>0.9076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(0, 0)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top_right_bolt</w:t>
            </w:r>
          </w:p>
        </w:tc>
        <w:tc>
          <w:tcPr>
            <w:tcW w:type="dxa" w:w="2160"/>
            <w:vAlign w:val="center"/>
            <w:shd w:fill="F1F5F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sz w:val="20"/>
              </w:rPr>
              <w:t>0.8565</w:t>
            </w:r>
          </w:p>
        </w:tc>
        <w:tc>
          <w:tcPr>
            <w:tcW w:type="dxa" w:w="2304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(0, 0)</w:t>
            </w:r>
          </w:p>
        </w:tc>
        <w:tc>
          <w:tcPr>
            <w:tcW w:type="dxa" w:w="2736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bottom_left_bolt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sz w:val="20"/>
              </w:rPr>
              <w:t>0.8334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(0, 0)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bottom_right_bolt</w:t>
            </w:r>
          </w:p>
        </w:tc>
        <w:tc>
          <w:tcPr>
            <w:tcW w:type="dxa" w:w="2160"/>
            <w:vAlign w:val="center"/>
            <w:shd w:fill="F1F5F8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sz w:val="20"/>
              </w:rPr>
              <w:t>0.8618</w:t>
            </w:r>
          </w:p>
        </w:tc>
        <w:tc>
          <w:tcPr>
            <w:tcW w:type="dxa" w:w="2304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(-1, -1)</w:t>
            </w:r>
          </w:p>
        </w:tc>
        <w:tc>
          <w:tcPr>
            <w:tcW w:type="dxa" w:w="2736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sz w:val="20"/>
              </w:rPr>
              <w:t>Да</w:t>
            </w:r>
          </w:p>
        </w:tc>
      </w:tr>
    </w:tbl>
    <w:p>
      <w:pPr>
        <w:spacing w:after="60"/>
      </w:pPr>
    </w:p>
    <w:p>
      <w:r>
        <w:t xml:space="preserve">Четирите оценки преминават индивидуалните прагове 0.7 и изпълняват </w:t>
      </w:r>
      <w:r>
        <w:rPr>
          <w:rFonts w:ascii="DejaVu Sans Mono" w:hAnsi="DejaVu Sans Mono"/>
          <w:sz w:val="19"/>
        </w:rPr>
        <w:t>min_missing_features=2</w:t>
      </w:r>
      <w:r>
        <w:t xml:space="preserve">. Размахът на x отместванията и размахът на y отместванията са по 1 px, което е под </w:t>
      </w:r>
      <w:r>
        <w:rPr>
          <w:rFonts w:ascii="DejaVu Sans Mono" w:hAnsi="DejaVu Sans Mono"/>
          <w:sz w:val="19"/>
        </w:rPr>
        <w:t>relative_tolerance=15.0</w:t>
      </w:r>
      <w:r>
        <w:t>. Проверката за missing геометрия сравнява съгласуваност на преместванията, а не прилага същия ротационен модел като present групата.</w:t>
      </w:r>
    </w:p>
    <w:p>
      <w:r>
        <w:t xml:space="preserve">Помощният </w:t>
      </w:r>
      <w:r>
        <w:rPr>
          <w:rFonts w:ascii="DejaVu Sans Mono" w:hAnsi="DejaVu Sans Mono"/>
          <w:sz w:val="19"/>
        </w:rPr>
        <w:t>paint_head_empty_spot</w:t>
      </w:r>
      <w:r>
        <w:t xml:space="preserve"> е с роля </w:t>
      </w:r>
      <w:r>
        <w:rPr>
          <w:rFonts w:ascii="DejaVu Sans Mono" w:hAnsi="DejaVu Sans Mono"/>
          <w:sz w:val="19"/>
        </w:rPr>
        <w:t>empty_mount</w:t>
      </w:r>
      <w:r>
        <w:t xml:space="preserve">. Неговата оценка е 0.7271, но той не се брои сред четирите missing крепежа. Този feature запис е различен от </w:t>
      </w:r>
      <w:r>
        <w:rPr>
          <w:rFonts w:ascii="DejaVu Sans Mono" w:hAnsi="DejaVu Sans Mono"/>
          <w:sz w:val="19"/>
        </w:rPr>
        <w:t>roi.empty_mount</w:t>
      </w:r>
      <w:r>
        <w:t>, който определя фиксираната plate оценка.</w:t>
      </w:r>
    </w:p>
    <w:p>
      <w:r>
        <w:t>Ако missing списъкът е празен, кодът допуска решение само по plate сравнението. При попълнен списък са нужни и достатъчно съгласувани missing крепежи. Допълнителните независимо проверявани детайли намаляват зависимостта от един голям сходен контур.</w:t>
      </w:r>
    </w:p>
    <w:p>
      <w:bookmarkStart w:id="112" w:name="chapter_12"/>
      <w:pPr>
        <w:pStyle w:val="Heading1"/>
      </w:pPr>
      <w:r>
        <w:t>12 Решение за текущия кадър</w:t>
      </w:r>
      <w:bookmarkEnd w:id="112"/>
    </w:p>
    <w:p>
      <w:r>
        <w:rPr>
          <w:rFonts w:ascii="DejaVu Sans Mono" w:hAnsi="DejaVu Sans Mono"/>
          <w:sz w:val="19"/>
        </w:rPr>
        <w:t>DecisionPolicy</w:t>
      </w:r>
      <w:r>
        <w:t xml:space="preserve"> комбинира present доказателствата, missing доказателствата, суровото качество и измереното положение. Подредбата на проверките има значение, защото две едновременно силни, но противоречиви хипотези не трябва да дават зелено решение.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2880"/>
        <w:gridCol w:w="2304"/>
        <w:gridCol w:w="4896"/>
      </w:tblGrid>
      <w:tr>
        <w:trPr>
          <w:tblHeader/>
          <w:cantSplit/>
        </w:trPr>
        <w:tc>
          <w:tcPr>
            <w:tcW w:type="dxa" w:w="2880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Ситуация</w:t>
            </w:r>
          </w:p>
        </w:tc>
        <w:tc>
          <w:tcPr>
            <w:tcW w:type="dxa" w:w="2304"/>
            <w:vAlign w:val="center"/>
            <w:shd w:fill="20384D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b/>
                <w:color w:val="FFFFFF"/>
                <w:sz w:val="20"/>
              </w:rPr>
              <w:t>Наблюдаван статус</w:t>
            </w:r>
          </w:p>
        </w:tc>
        <w:tc>
          <w:tcPr>
            <w:tcW w:type="dxa" w:w="4896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Причина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Суровото качество не преминава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DejaVu Sans Mono" w:hAnsi="DejaVu Sans Mono"/>
                <w:sz w:val="18"/>
              </w:rPr>
              <w:t>UNKNOWN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TOO_DARK</w:t>
            </w:r>
            <w:r>
              <w:rPr>
                <w:sz w:val="20"/>
              </w:rPr>
              <w:t xml:space="preserve">, </w:t>
            </w:r>
            <w:r>
              <w:rPr>
                <w:rFonts w:ascii="DejaVu Sans Mono" w:hAnsi="DejaVu Sans Mono"/>
                <w:sz w:val="18"/>
              </w:rPr>
              <w:t>OVEREXPOSED</w:t>
            </w:r>
            <w:r>
              <w:rPr>
                <w:sz w:val="20"/>
              </w:rPr>
              <w:t xml:space="preserve"> или </w:t>
            </w:r>
            <w:r>
              <w:rPr>
                <w:rFonts w:ascii="DejaVu Sans Mono" w:hAnsi="DejaVu Sans Mono"/>
                <w:sz w:val="18"/>
              </w:rPr>
              <w:t>LOW_CONTRAST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Present и missing едновременно са потвърдени</w:t>
            </w:r>
          </w:p>
        </w:tc>
        <w:tc>
          <w:tcPr>
            <w:tcW w:type="dxa" w:w="2304"/>
            <w:vAlign w:val="center"/>
            <w:shd w:fill="F1F5F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DejaVu Sans Mono" w:hAnsi="DejaVu Sans Mono"/>
                <w:sz w:val="18"/>
              </w:rPr>
              <w:t>UNKNOWN</w:t>
            </w:r>
          </w:p>
        </w:tc>
        <w:tc>
          <w:tcPr>
            <w:tcW w:type="dxa" w:w="4896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CONFLICTING_EVIDENCE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Present е потвърден, но няма измерима поза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DejaVu Sans Mono" w:hAnsi="DejaVu Sans Mono"/>
                <w:sz w:val="18"/>
              </w:rPr>
              <w:t>UNKNOWN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POSE_UNDETERMINED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Present е потвърден и позата е допустима</w:t>
            </w:r>
          </w:p>
        </w:tc>
        <w:tc>
          <w:tcPr>
            <w:tcW w:type="dxa" w:w="2304"/>
            <w:vAlign w:val="center"/>
            <w:shd w:fill="F1F5F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DejaVu Sans Mono" w:hAnsi="DejaVu Sans Mono"/>
                <w:sz w:val="18"/>
              </w:rPr>
              <w:t>HEAD_PRESENT</w:t>
            </w:r>
          </w:p>
        </w:tc>
        <w:tc>
          <w:tcPr>
            <w:tcW w:type="dxa" w:w="4896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ALIGNED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Present е потвърден и поне една граница е нарушена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DejaVu Sans Mono" w:hAnsi="DejaVu Sans Mono"/>
                <w:sz w:val="18"/>
              </w:rPr>
              <w:t>HEAD_MISALIGNED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MISALIGNED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Само missing е потвърден</w:t>
            </w:r>
          </w:p>
        </w:tc>
        <w:tc>
          <w:tcPr>
            <w:tcW w:type="dxa" w:w="2304"/>
            <w:vAlign w:val="center"/>
            <w:shd w:fill="F1F5F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DejaVu Sans Mono" w:hAnsi="DejaVu Sans Mono"/>
                <w:sz w:val="18"/>
              </w:rPr>
              <w:t>HEAD_MISSING</w:t>
            </w:r>
          </w:p>
        </w:tc>
        <w:tc>
          <w:tcPr>
            <w:tcW w:type="dxa" w:w="4896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EMPTY_MOUNT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sz w:val="20"/>
              </w:rPr>
              <w:t>Няма достатъчни еднозначни доказателства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DejaVu Sans Mono" w:hAnsi="DejaVu Sans Mono"/>
                <w:sz w:val="18"/>
              </w:rPr>
              <w:t>UNKNOWN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INSUFFICIENT_EVIDENCE</w:t>
            </w:r>
          </w:p>
        </w:tc>
      </w:tr>
    </w:tbl>
    <w:p>
      <w:pPr>
        <w:spacing w:after="60"/>
      </w:pPr>
    </w:p>
    <w:p>
      <w:r>
        <w:t>За основния кадър качеството преминава, двата present крепежа са inlier, а plate оценката 0.5029 е под 0.65 и missing не е потвърден. Следователно може да се оцени поставянето на главата. Нормата на преместването и абсолютният ъгъл се сравняват с конфигурираните граници.</w:t>
      </w:r>
    </w:p>
    <w:p>
      <w:pPr>
        <w:keepLines/>
        <w:spacing w:before="80" w:after="200"/>
      </w:pPr>
      <m:oMathPara>
        <m:oMathParaPr>
          <m:jc m:val="center"/>
        </m:oMathParaPr>
        <m:oMath>
          <m:rad>
            <m:radPr>
              <m:degHide m:val="1"/>
            </m:radPr>
            <m:deg/>
            <m:e>
              <m:sSup>
                <m:e>
                  <m:sSub>
                    <m:e>
                      <m:r>
                        <w:rPr>
                          <w:rFonts w:ascii="DejaVu Math TeX Gyre" w:hAnsi="DejaVu Math TeX Gyre" w:cs="DejaVu Math TeX Gyre"/>
                          <w:sz w:val="23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DejaVu Math TeX Gyre" w:hAnsi="DejaVu Math TeX Gyre" w:cs="DejaVu Math TeX Gyre"/>
                          <w:sz w:val="23"/>
                        </w:rPr>
                        <m:t xml:space="preserve">x</m:t>
                      </m:r>
                    </m:sub>
                  </m:sSub>
                </m:e>
                <m:sup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2</m:t>
                  </m:r>
                </m:sup>
              </m:sSup>
              <m:r>
                <w:rPr>
                  <w:rFonts w:ascii="DejaVu Math TeX Gyre" w:hAnsi="DejaVu Math TeX Gyre" w:cs="DejaVu Math TeX Gyre"/>
                  <w:sz w:val="23"/>
                </w:rPr>
                <m:t xml:space="preserve"> + </m:t>
              </m:r>
              <m:sSup>
                <m:e>
                  <m:sSub>
                    <m:e>
                      <m:r>
                        <w:rPr>
                          <w:rFonts w:ascii="DejaVu Math TeX Gyre" w:hAnsi="DejaVu Math TeX Gyre" w:cs="DejaVu Math TeX Gyre"/>
                          <w:sz w:val="23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DejaVu Math TeX Gyre" w:hAnsi="DejaVu Math TeX Gyre" w:cs="DejaVu Math TeX Gyre"/>
                          <w:sz w:val="23"/>
                        </w:rPr>
                        <m:t xml:space="preserve">y</m:t>
                      </m:r>
                    </m:sub>
                  </m:sSub>
                </m:e>
                <m:sup>
                  <m:r>
                    <w:rPr>
                      <w:rFonts w:ascii="DejaVu Math TeX Gyre" w:hAnsi="DejaVu Math TeX Gyre" w:cs="DejaVu Math TeX Gyre"/>
                      <w:sz w:val="23"/>
                    </w:rPr>
                    <m:t xml:space="preserve">2</m:t>
                  </m:r>
                </m:sup>
              </m:sSup>
            </m:e>
          </m:rad>
          <m:r>
            <w:rPr>
              <w:rFonts w:ascii="DejaVu Math TeX Gyre" w:hAnsi="DejaVu Math TeX Gyre" w:cs="DejaVu Math TeX Gyre"/>
              <w:sz w:val="23"/>
            </w:rPr>
            <m:t xml:space="preserve"> ≤ 10 px    и    |θ| ≤ 2°</m:t>
          </m:r>
        </m:oMath>
      </m:oMathPara>
    </w:p>
    <w:p>
      <w:r>
        <w:t xml:space="preserve">И </w:t>
      </w:r>
      <w:r>
        <w:rPr>
          <w:b/>
        </w:rPr>
        <w:t>39.918 &gt; 10 px</w:t>
      </w:r>
      <w:r>
        <w:t xml:space="preserve">, и </w:t>
      </w:r>
      <w:r>
        <w:rPr>
          <w:b/>
        </w:rPr>
        <w:t>16.633 &gt; 2°</w:t>
      </w:r>
      <w:r>
        <w:t xml:space="preserve">. Наблюдаваното решение е HEAD_MISALIGNED. Повишаване на </w:t>
      </w:r>
      <w:r>
        <w:rPr>
          <w:rFonts w:ascii="DejaVu Sans Mono" w:hAnsi="DejaVu Sans Mono"/>
          <w:sz w:val="19"/>
        </w:rPr>
        <w:t>max_rotation</w:t>
      </w:r>
      <w:r>
        <w:t xml:space="preserve"> не би променило приемливостта; то определя обхвата на търсене. Повишаване на </w:t>
      </w:r>
      <w:r>
        <w:rPr>
          <w:rFonts w:ascii="DejaVu Sans Mono" w:hAnsi="DejaVu Sans Mono"/>
          <w:sz w:val="19"/>
        </w:rPr>
        <w:t>max_rotation_degrees</w:t>
      </w:r>
      <w:r>
        <w:t xml:space="preserve"> променя какво приемаме за правилно поставяне, а не качеството на разпознаването.</w:t>
      </w:r>
    </w:p>
    <w:p>
      <w:r>
        <w:t xml:space="preserve">Ако позата е изчислена само като част от непотвърдена present хипотеза, диагностиката може да съдържа ъгъл и offset, но </w:t>
      </w:r>
      <w:r>
        <w:rPr>
          <w:rFonts w:ascii="DejaVu Sans Mono" w:hAnsi="DejaVu Sans Mono"/>
          <w:sz w:val="19"/>
        </w:rPr>
        <w:t>alignment</w:t>
      </w:r>
      <w:r>
        <w:t xml:space="preserve"> да е </w:t>
      </w:r>
      <w:r>
        <w:rPr>
          <w:rFonts w:ascii="DejaVu Sans Mono" w:hAnsi="DejaVu Sans Mono"/>
          <w:sz w:val="19"/>
        </w:rPr>
        <w:t>None</w:t>
      </w:r>
      <w:r>
        <w:t xml:space="preserve">. Тези диагностични координати не трябва да се използват като валидно измерване за действие. Проверявайте статуса и наличието на </w:t>
      </w:r>
      <w:r>
        <w:rPr>
          <w:rFonts w:ascii="DejaVu Sans Mono" w:hAnsi="DejaVu Sans Mono"/>
          <w:sz w:val="19"/>
        </w:rPr>
        <w:t>alignment</w:t>
      </w:r>
      <w:r>
        <w:t>.</w:t>
      </w:r>
    </w:p>
    <w:p>
      <w:bookmarkStart w:id="113" w:name="chapter_13"/>
      <w:pPr>
        <w:pStyle w:val="Heading1"/>
      </w:pPr>
      <w:r>
        <w:t>13 Потвърждение във времето и възстановяване</w:t>
      </w:r>
      <w:bookmarkEnd w:id="113"/>
    </w:p>
    <w:p>
      <w:r>
        <w:t xml:space="preserve">Наблюдаваното решение за един кадър е </w:t>
      </w:r>
      <w:r>
        <w:rPr>
          <w:rFonts w:ascii="DejaVu Sans Mono" w:hAnsi="DejaVu Sans Mono"/>
          <w:sz w:val="19"/>
        </w:rPr>
        <w:t>observed_status</w:t>
      </w:r>
      <w:r>
        <w:t xml:space="preserve">. Изходният </w:t>
      </w:r>
      <w:r>
        <w:rPr>
          <w:rFonts w:ascii="DejaVu Sans Mono" w:hAnsi="DejaVu Sans Mono"/>
          <w:sz w:val="19"/>
        </w:rPr>
        <w:t>status</w:t>
      </w:r>
      <w:r>
        <w:t xml:space="preserve"> се получава след </w:t>
      </w:r>
      <w:r>
        <w:rPr>
          <w:rFonts w:ascii="DejaVu Sans Mono" w:hAnsi="DejaVu Sans Mono"/>
          <w:sz w:val="19"/>
        </w:rPr>
        <w:t>StatusStabilizer</w:t>
      </w:r>
      <w:r>
        <w:t xml:space="preserve"> и историята на наблюденията. С текущото </w:t>
      </w:r>
      <w:r>
        <w:rPr>
          <w:rFonts w:ascii="DejaVu Sans Mono" w:hAnsi="DejaVu Sans Mono"/>
          <w:sz w:val="19"/>
        </w:rPr>
        <w:t>stable_frames=3</w:t>
      </w:r>
      <w:r>
        <w:t xml:space="preserve"> първият правилно разпознат кадър след стартиране обикновено още има изходен UNKNOWN.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34453"/>
            <wp:docPr id="21" name="Picture 21" descr="Три действителни последователни кадъра от една capture сесия. И при трите се наблюдава неправилно поставена глава. Първите два изходни статуса са UNKNOWN, третият е HEAD_MISALIGN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confirma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Фигура 21  Три действителни последователни кадъра от една capture сесия. И при трите се наблюдава неправилно поставена глава. Първите два изходни статуса са UNKNOWN, третият е HEAD_MISALIGNED.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1872"/>
        <w:gridCol w:w="1440"/>
        <w:gridCol w:w="3384"/>
        <w:gridCol w:w="3384"/>
      </w:tblGrid>
      <w:tr>
        <w:trPr>
          <w:tblHeader/>
          <w:cantSplit/>
        </w:trPr>
        <w:tc>
          <w:tcPr>
            <w:tcW w:type="dxa" w:w="1872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Време от първия кадър</w:t>
            </w:r>
          </w:p>
        </w:tc>
        <w:tc>
          <w:tcPr>
            <w:tcW w:type="dxa" w:w="1440"/>
            <w:vAlign w:val="center"/>
            <w:shd w:fill="20384D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b/>
                <w:color w:val="FFFFFF"/>
                <w:sz w:val="20"/>
              </w:rPr>
              <w:t>Ъгъл</w:t>
            </w:r>
          </w:p>
        </w:tc>
        <w:tc>
          <w:tcPr>
            <w:tcW w:type="dxa" w:w="3384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Наблюдаван статус</w:t>
            </w:r>
          </w:p>
        </w:tc>
        <w:tc>
          <w:tcPr>
            <w:tcW w:type="dxa" w:w="3384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Изходен статус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0.000 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DejaVu Sans Mono" w:hAnsi="DejaVu Sans Mono"/>
                <w:sz w:val="18"/>
              </w:rPr>
              <w:t>-16.311°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HEAD_MISALIGNED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0.505 s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keepNext/>
              <w:spacing w:after="60" w:before="60" w:line="252" w:lineRule="auto"/>
              <w:jc w:val="center"/>
            </w:pPr>
            <w:r>
              <w:rPr>
                <w:rFonts w:ascii="DejaVu Sans Mono" w:hAnsi="DejaVu Sans Mono"/>
                <w:sz w:val="18"/>
              </w:rPr>
              <w:t>-16.633°</w:t>
            </w:r>
          </w:p>
        </w:tc>
        <w:tc>
          <w:tcPr>
            <w:tcW w:type="dxa" w:w="3384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HEAD_MISALIGNED</w:t>
            </w:r>
          </w:p>
        </w:tc>
        <w:tc>
          <w:tcPr>
            <w:tcW w:type="dxa" w:w="3384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1.012 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after="60" w:before="60" w:line="252" w:lineRule="auto"/>
              <w:jc w:val="center"/>
            </w:pPr>
            <w:r>
              <w:rPr>
                <w:rFonts w:ascii="DejaVu Sans Mono" w:hAnsi="DejaVu Sans Mono"/>
                <w:sz w:val="18"/>
              </w:rPr>
              <w:t>-16.633°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HEAD_MISALIGNED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HEAD_MISALIGNED</w:t>
            </w:r>
          </w:p>
        </w:tc>
      </w:tr>
    </w:tbl>
    <w:p>
      <w:pPr>
        <w:spacing w:after="60"/>
      </w:pPr>
    </w:p>
    <w:p>
      <w:r>
        <w:t xml:space="preserve">За възпроизвеждането е подаден контролируем </w:t>
      </w:r>
      <w:r>
        <w:rPr>
          <w:rFonts w:ascii="DejaVu Sans Mono" w:hAnsi="DejaVu Sans Mono"/>
          <w:sz w:val="19"/>
        </w:rPr>
        <w:t>clock</w:t>
      </w:r>
      <w:r>
        <w:t xml:space="preserve">, който следва интервалите от имената на файловете. По подразбиране API използва </w:t>
      </w:r>
      <w:r>
        <w:rPr>
          <w:rFonts w:ascii="DejaVu Sans Mono" w:hAnsi="DejaVu Sans Mono"/>
          <w:sz w:val="19"/>
        </w:rPr>
        <w:t>time.monotonic</w:t>
      </w:r>
      <w:r>
        <w:t>, тоест реалното време на извикване. Бързото прочитане на стари файлове не възпроизвежда автоматично първоначалните им времеви интервали.</w:t>
      </w:r>
    </w:p>
    <w:p>
      <w:r>
        <w:t>Зелен резултат не се запазва при загуба на необходимите доказателства. Кратък интервал с частична present информация може да запази вече потвърдената оранжева misalignment индикация. Текущите граници са до 3 слаби кадъра и до 0.35 секунди от последното misaligned наблюдение. И двете условия трябва да са изпълнени.</w:t>
      </w:r>
    </w:p>
    <w:p>
      <w:r>
        <w:t>Ако няма нито един present inlier, качеството е лошо или present и missing си противоречат, мостът не се използва. Misalignment наблюденията могат да натрупват потвърждение през допустими кратки частични пропуски. Това е по-специфично поведение от изискването всички статуси винаги да са три непрекъснати еднакви кадъра.</w:t>
      </w:r>
    </w:p>
    <w:p>
      <w:pPr>
        <w:pStyle w:val="Heading2"/>
      </w:pPr>
      <w:r>
        <w:t>Хистерезис на границите на положението</w:t>
      </w:r>
    </w:p>
    <w:p>
      <w:r>
        <w:t xml:space="preserve">За да не се сменя статусът многократно около прага, след наблюдавана misalignment поза се използват по-строги граници за възстановяване. От 10 px се изваждат </w:t>
      </w:r>
      <w:r>
        <w:rPr>
          <w:rFonts w:ascii="DejaVu Sans Mono" w:hAnsi="DejaVu Sans Mono"/>
          <w:sz w:val="19"/>
        </w:rPr>
        <w:t>hysteresis_pixels=2</w:t>
      </w:r>
      <w:r>
        <w:t xml:space="preserve">, а от 2° се изважда </w:t>
      </w:r>
      <w:r>
        <w:rPr>
          <w:rFonts w:ascii="DejaVu Sans Mono" w:hAnsi="DejaVu Sans Mono"/>
          <w:sz w:val="19"/>
        </w:rPr>
        <w:t>hysteresis_degrees=1</w:t>
      </w:r>
      <w:r>
        <w:t>.</w:t>
      </w:r>
    </w:p>
    <w:p>
      <w:pPr>
        <w:keepLines/>
        <w:spacing w:before="80" w:after="200"/>
      </w:pPr>
      <m:oMathPara>
        <m:oMathParaPr>
          <m:jc m:val="center"/>
        </m:oMathParaPr>
        <m:oMath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t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rec</m:t>
              </m:r>
            </m:sub>
          </m:sSub>
          <m:r>
            <w:rPr>
              <w:rFonts w:ascii="DejaVu Math TeX Gyre" w:hAnsi="DejaVu Math TeX Gyre" w:cs="DejaVu Math TeX Gyre"/>
              <w:sz w:val="23"/>
            </w:rPr>
            <m:t xml:space="preserve"> = max(0, 10 − 2) = 8 px,    </m:t>
          </m:r>
          <m:sSub>
            <m:e>
              <m:r>
                <w:rPr>
                  <w:rFonts w:ascii="DejaVu Math TeX Gyre" w:hAnsi="DejaVu Math TeX Gyre" w:cs="DejaVu Math TeX Gyre"/>
                  <w:sz w:val="23"/>
                </w:rPr>
                <m:t xml:space="preserve">θ</m:t>
              </m:r>
            </m:e>
            <m:sub>
              <m:r>
                <w:rPr>
                  <w:rFonts w:ascii="DejaVu Math TeX Gyre" w:hAnsi="DejaVu Math TeX Gyre" w:cs="DejaVu Math TeX Gyre"/>
                  <w:sz w:val="23"/>
                </w:rPr>
                <m:t xml:space="preserve">rec</m:t>
              </m:r>
            </m:sub>
          </m:sSub>
          <m:r>
            <w:rPr>
              <w:rFonts w:ascii="DejaVu Math TeX Gyre" w:hAnsi="DejaVu Math TeX Gyre" w:cs="DejaVu Math TeX Gyre"/>
              <w:sz w:val="23"/>
            </w:rPr>
            <m:t xml:space="preserve"> = max(0, 2 − 1) = 1°</m:t>
          </m:r>
        </m:oMath>
      </m:oMathPara>
    </w:p>
    <w:p>
      <w:r>
        <w:t xml:space="preserve">Така връщане до 1.5° не е достатъчно за първото възстановяващо наблюдение, въпреки че е под общия лимит 2°. Трябва да се достигнат активните 8 px и 1°, а след това да се получи необходимото потвърждение на допустимото положение. Докато се потвърждава възстановяването, изходът може да остане оранжев и причината да е </w:t>
      </w:r>
      <w:r>
        <w:rPr>
          <w:rFonts w:ascii="DejaVu Sans Mono" w:hAnsi="DejaVu Sans Mono"/>
          <w:sz w:val="19"/>
        </w:rPr>
        <w:t>RECHECKING_POSITION</w:t>
      </w:r>
      <w:r>
        <w:t>.</w:t>
      </w:r>
    </w:p>
    <w:p>
      <w:r>
        <w:t xml:space="preserve">Стойностите за хистерезис се ограничават чрез </w:t>
      </w:r>
      <w:r>
        <w:rPr>
          <w:rFonts w:ascii="DejaVu Sans Mono" w:hAnsi="DejaVu Sans Mono"/>
          <w:sz w:val="19"/>
        </w:rPr>
        <w:t>max(0, limit - hysteresis)</w:t>
      </w:r>
      <w:r>
        <w:t>. Марж, равен или по-голям от лимита, изисква практически нулево отклонение за вход към възстановяване. Не избирайте такъв марж случайно, особено когато центровете имат естествена пикселна нестабилност.</w:t>
      </w:r>
    </w:p>
    <w:p>
      <w:bookmarkStart w:id="114" w:name="chapter_14"/>
      <w:pPr>
        <w:pStyle w:val="Heading1"/>
      </w:pPr>
      <w:r>
        <w:t>14 Краен резултат и използване от друг компонент</w:t>
      </w:r>
      <w:bookmarkEnd w:id="114"/>
    </w:p>
    <w:p>
      <w:r>
        <w:t xml:space="preserve">API връща неизменяем </w:t>
      </w:r>
      <w:r>
        <w:rPr>
          <w:rFonts w:ascii="DejaVu Sans Mono" w:hAnsi="DejaVu Sans Mono"/>
          <w:sz w:val="19"/>
        </w:rPr>
        <w:t>DetectionResult</w:t>
      </w:r>
      <w:r>
        <w:t>, а не речник с низови ключове. За разглежданата реална последователност след третия кадър съществените стойности са следните.</w:t>
      </w:r>
    </w:p>
    <w:p>
      <w:pPr>
        <w:pStyle w:val="ManualCode"/>
        <w:keepLines w:val="0"/>
      </w:pPr>
      <w:r>
        <w:t>from paint_head_detector import DetectionReason, HeadStatus</w:t>
        <w:br/>
        <w:br/>
        <w:t>result.status is HeadStatus.HEAD_MISALIGNED</w:t>
        <w:br/>
        <w:t>result.observed_status is HeadStatus.HEAD_MISALIGNED</w:t>
        <w:br/>
        <w:t>result.reason is DetectionReason.MISALIGNED</w:t>
        <w:br/>
        <w:t>result.configuration_revision == 1</w:t>
        <w:br/>
        <w:t>result.held_warning is False</w:t>
        <w:br/>
        <w:br/>
        <w:t>assert result.alignment is not None</w:t>
        <w:br/>
        <w:t>result.alignment.translation_pixels  # 39.918</w:t>
        <w:br/>
        <w:t>result.alignment.rotation_degrees    # -16.633</w:t>
        <w:br/>
        <w:t>result.diagnostics.present.inlier_count  # 2</w:t>
      </w:r>
    </w:p>
    <w:p>
      <w:r>
        <w:rPr>
          <w:rFonts w:ascii="DejaVu Sans Mono" w:hAnsi="DejaVu Sans Mono"/>
          <w:sz w:val="19"/>
        </w:rPr>
        <w:t>configuration_revision</w:t>
      </w:r>
      <w:r>
        <w:t xml:space="preserve"> е локална версия на настройките в конкретния екземпляр. След рестарт нов екземпляр отново започва от 1; това не е глобална версия на софтуера или SVN ревизията. За проследимост съхранявайте и версията на кода, конфигурацията и референциите.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2880"/>
        <w:gridCol w:w="7200"/>
      </w:tblGrid>
      <w:tr>
        <w:trPr>
          <w:tblHeader/>
          <w:cantSplit/>
        </w:trPr>
        <w:tc>
          <w:tcPr>
            <w:tcW w:type="dxa" w:w="2880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7200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За какво служи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status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Потвърденото решение, предназначено за реакция на интеграцията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observed_status</w:t>
            </w:r>
          </w:p>
        </w:tc>
        <w:tc>
          <w:tcPr>
            <w:tcW w:type="dxa" w:w="7200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Решението за текущия кадър преди потвърждение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reason</w:t>
            </w:r>
            <w:r>
              <w:rPr>
                <w:sz w:val="20"/>
              </w:rPr>
              <w:t xml:space="preserve"> и </w:t>
            </w:r>
            <w:r>
              <w:rPr>
                <w:rFonts w:ascii="DejaVu Sans Mono" w:hAnsi="DejaVu Sans Mono"/>
                <w:sz w:val="18"/>
              </w:rPr>
              <w:t>message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Типизирана причина и четимо обяснение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alignment</w:t>
            </w:r>
          </w:p>
        </w:tc>
        <w:tc>
          <w:tcPr>
            <w:tcW w:type="dxa" w:w="7200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 xml:space="preserve">Валидирано сравнение на позата с активните граници или </w:t>
            </w:r>
            <w:r>
              <w:rPr>
                <w:rFonts w:ascii="DejaVu Sans Mono" w:hAnsi="DejaVu Sans Mono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held_warning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Показва дали оранжевото предупреждение се задържа при друго текущо наблюдение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timestamp</w:t>
            </w:r>
          </w:p>
        </w:tc>
        <w:tc>
          <w:tcPr>
            <w:tcW w:type="dxa" w:w="7200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Време от подадения clock; по подразбиране монотонно време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diagnostics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sz w:val="20"/>
              </w:rPr>
              <w:t>Признаци, качество, present/missing доказателства, поза и read-only контурна карта</w:t>
            </w:r>
          </w:p>
        </w:tc>
      </w:tr>
    </w:tbl>
    <w:p>
      <w:pPr>
        <w:spacing w:after="60"/>
      </w:pPr>
    </w:p>
    <w:p>
      <w:r>
        <w:t>Следващите две двойки показват четири реални сцени. За тези статични панели статусът е получен чрез трикратно подаване на съответния кадър, за да е завършено потвърждението. Това е визуално сравнение, не тест на времето за реакция. Само времевият пример в раздел 13 използва три отделни последователни кадъра.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97382"/>
            <wp:docPr id="22" name="Picture 22" descr="Правилно поставена глава и основният наклонен кадър. Двата случая имат разпознаваеми признаци, но само първият е в допустимите граници на положението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a_resul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Фигура 22  Правилно поставена глава и основният наклонен кадър. Двата случая имат разпознаваеми признаци, но само първият е в допустимите граници на положението.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97382"/>
            <wp:docPr id="23" name="Picture 23" descr="Наклон в другата посока и действително празна стойка. Знакът на ъгъла не променя проверката по абсолютна граница. Празното състояние се потвърждава със собствените си положителни доказателств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b_result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Фигура 23  Наклон в другата посока и действително празна стойка. Знакът на ъгъла не променя проверката по абсолютна граница. Празното състояние се потвърждава със собствените си положителни доказателства.</w:t>
      </w:r>
    </w:p>
    <w:p>
      <w:r>
        <w:t>Извикващият компонент трябва да разграничава enum стойностите и да реагира според собствената си логика. Логовете и развитието могат да сериализират типизирания резултат в JSON на своята граница. Получаването на UNKNOWN трябва да бъде обработено явно, вместо да се приема като „главата липсва“ или „последното зелено все още важи“.</w:t>
      </w:r>
    </w:p>
    <w:p>
      <w:r>
        <w:t xml:space="preserve">При сменени ROI, референции или признаци използвайте публичните </w:t>
      </w:r>
      <w:r>
        <w:rPr>
          <w:rFonts w:ascii="DejaVu Sans Mono" w:hAnsi="DejaVu Sans Mono"/>
          <w:sz w:val="19"/>
        </w:rPr>
        <w:t>set_roi</w:t>
      </w:r>
      <w:r>
        <w:t xml:space="preserve">, </w:t>
      </w:r>
      <w:r>
        <w:rPr>
          <w:rFonts w:ascii="DejaVu Sans Mono" w:hAnsi="DejaVu Sans Mono"/>
          <w:sz w:val="19"/>
        </w:rPr>
        <w:t>set_reference_images</w:t>
      </w:r>
      <w:r>
        <w:t xml:space="preserve">, </w:t>
      </w:r>
      <w:r>
        <w:rPr>
          <w:rFonts w:ascii="DejaVu Sans Mono" w:hAnsi="DejaVu Sans Mono"/>
          <w:sz w:val="19"/>
        </w:rPr>
        <w:t>set_features</w:t>
      </w:r>
      <w:r>
        <w:t xml:space="preserve"> или общото </w:t>
      </w:r>
      <w:r>
        <w:rPr>
          <w:rFonts w:ascii="DejaVu Sans Mono" w:hAnsi="DejaVu Sans Mono"/>
          <w:sz w:val="19"/>
        </w:rPr>
        <w:t>configure</w:t>
      </w:r>
      <w:r>
        <w:t>. Промените се проверяват и се подготвя нов модел преди замяна. Успехът изчиства старата история, за да не се пренесе потвърждение между различни калибрации.</w:t>
      </w:r>
    </w:p>
    <w:p>
      <w:bookmarkStart w:id="115" w:name="chapter_15"/>
      <w:pPr>
        <w:pStyle w:val="Heading1"/>
      </w:pPr>
      <w:r>
        <w:t>15 Реален пример за погрешно съответствие</w:t>
      </w:r>
      <w:bookmarkEnd w:id="115"/>
    </w:p>
    <w:p>
      <w:r>
        <w:t>Високи локални оценки и малък геометричен остатък не са достатъчни във всяка сцена. Двата кръгли крепежа могат да бъдат объркани с други кръгли елементи в по-широкия ROI. Геометрията проверява съвместимостта на избраните точки, но сама не доказва физическата им идентичност.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97382"/>
            <wp:docPr id="24" name="Picture 24" descr="Вляво ръка и движение оставят недостатъчни признаци и статусът е UNKNOWN. Вдясно реален тъмен кадър води до погрешно съответствие на долния признак към отвора върху металната плоча вдясно. Зелена рамка на отделен признак означава приет inlier, не гарантира, че е избран правилният физически детайл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unknown_failur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Фигура 24  Вляво ръка и движение оставят недостатъчни признаци и статусът е UNKNOWN. Вдясно реален тъмен кадър води до погрешно съответствие на долния признак към отвора върху металната плоча вдясно. Зелена рамка на отделен признак означава приет inlier, не гарантира, че е избран правилният физически детайл.</w:t>
      </w:r>
    </w:p>
    <w:p>
      <w:r>
        <w:t xml:space="preserve">В десния пример горният признак има оценка </w:t>
      </w:r>
      <w:r>
        <w:rPr>
          <w:b/>
        </w:rPr>
        <w:t>0.8930</w:t>
      </w:r>
      <w:r>
        <w:t xml:space="preserve">, а избраният кандидат за долния — </w:t>
      </w:r>
      <w:r>
        <w:rPr>
          <w:b/>
        </w:rPr>
        <w:t>0.7280</w:t>
      </w:r>
      <w:r>
        <w:t xml:space="preserve">. Регулаторът не минава своя праг. Кандидатът за долния крепеж е с център около </w:t>
      </w:r>
      <w:r>
        <w:rPr>
          <w:rFonts w:ascii="DejaVu Sans Mono" w:hAnsi="DejaVu Sans Mono"/>
          <w:sz w:val="19"/>
        </w:rPr>
        <w:t>(862, 335.5)</w:t>
      </w:r>
      <w:r>
        <w:t xml:space="preserve"> върху плочата, вместо върху реалния долен крепеж на главата. Полученият ъгъл </w:t>
      </w:r>
      <w:r>
        <w:rPr>
          <w:b/>
        </w:rPr>
        <w:t>94.63°</w:t>
      </w:r>
      <w:r>
        <w:t xml:space="preserve"> не съответства на видимата почти вертикална глава.</w:t>
      </w:r>
    </w:p>
    <w:p>
      <w:r>
        <w:t>Резултатът HEAD_MISALIGNED е реален изход на текущата реализация и е неправилен като количествена оценка на този кадър. Това е конкретен случай на погрешна асоциация, а не доказателство за голямо действително завъртане. Суровата проверка на качеството минава, защото в ROI все още има достатъчен общ контраст.</w:t>
      </w:r>
    </w:p>
    <w:p>
      <w:r>
        <w:t xml:space="preserve">По-малък ROI или допълнително изключване може да премахне този конкуриращ детайл само ако не изрязва реалния обхват на движение. По-отличим трети признак може да даде допълнителна проверка, но ако бъде направен задължителен, неговото закриване ще увеличи UNKNOWN случаите. Намаляване на </w:t>
      </w:r>
      <w:r>
        <w:rPr>
          <w:rFonts w:ascii="DejaVu Sans Mono" w:hAnsi="DejaVu Sans Mono"/>
          <w:sz w:val="19"/>
        </w:rPr>
        <w:t>max_rotation</w:t>
      </w:r>
      <w:r>
        <w:t xml:space="preserve"> може да отхвърли такава хипотеза, но трябва да остане достатъчно широко за реалните неправилни положения, които системата трябва да разпознава.</w:t>
      </w:r>
    </w:p>
    <w:p>
      <w:r>
        <w:t>Тези възможни промени изискват ново сравнение с анотирани кадри. Те не са приложени като част от това ръководство. Повишаване само на времевото потвърждение няма да отстрани устойчиво погрешно съответствие, което се повтаря в няколко кадъра.</w:t>
      </w:r>
    </w:p>
    <w:p>
      <w:r>
        <w:t>Методът също не моделира перспективно изкривяване, движение по дълбочина или промяна на мащаба. Контур, изгубен от силно размазване или отблясък, не може да бъде възстановен само с по-нисък праг. При съществена промяна на камерата или механиката трябва да се преразгледа калибрацията и пригодността на този модел.</w:t>
      </w:r>
    </w:p>
    <w:p>
      <w:bookmarkStart w:id="116" w:name="chapter_16"/>
      <w:pPr>
        <w:pStyle w:val="Heading1"/>
      </w:pPr>
      <w:r>
        <w:t>16 Практическа настройка и валидиране</w:t>
      </w:r>
      <w:bookmarkEnd w:id="116"/>
    </w:p>
    <w:p>
      <w:r>
        <w:t>Започнете с механично правилно поставена глава и неподвижна камера. Запишете present и missing референции без текст и рамки. Изберете ROI, който включва реалния диапазон на двете посоки на наклон, и изключете променливата камера. След това изберете отделени и отличими признаци.</w:t>
      </w:r>
    </w:p>
    <w:p>
      <w:r>
        <w:t>Настройвайте първо видимостта и контурите. Проверявайте изходната Canny маска при нормално, по-слабо и по-силно осветление. Ако контурите липсват или са доминирани от шум, работете по експозицията и preprocessing параметрите. Понижаване на прага на признака не може да създаде изгубен контур.</w:t>
      </w:r>
    </w:p>
    <w:p>
      <w:r>
        <w:t xml:space="preserve">Прагът на признака се избира от разпределенията на действителни и погрешни съответствия. Използвайте и misaligned глави като положителни примери за </w:t>
      </w:r>
      <w:r>
        <w:rPr>
          <w:b/>
        </w:rPr>
        <w:t>разпознаване на главата</w:t>
      </w:r>
      <w:r>
        <w:t>; тяхната неправилна поза трябва да бъде отхвърлена от alignment границите. Самосъпоставянето с референцията обикновено има почти идеален score и не е достатъчна основа за праг.</w:t>
      </w:r>
    </w:p>
    <w:p>
      <w:r>
        <w:t>Когато положителните и отрицателните оценки се припокриват, една граница не може да ги раздели надеждно. Тогава променете признака, неговата support област или независимото геометрично доказателство. Разделете събраните изображения на набор за настройка и отделен набор за проверка.</w:t>
      </w:r>
    </w:p>
    <w:p>
      <w:r>
        <w:t xml:space="preserve">За празната стойка настройвайте отделно фиксираната plate оценка и missing крепежите. Проверявайте и сцени с глава, ръка, частично сваляне и сходни предмети. Намаляване на </w:t>
      </w:r>
      <w:r>
        <w:rPr>
          <w:rFonts w:ascii="DejaVu Sans Mono" w:hAnsi="DejaVu Sans Mono"/>
          <w:sz w:val="19"/>
        </w:rPr>
        <w:t>min_missing_features</w:t>
      </w:r>
      <w:r>
        <w:t xml:space="preserve"> или изчистване на целия списък отслабва необходимите доказателства за празно състояние.</w:t>
      </w:r>
    </w:p>
    <w:p>
      <w:r>
        <w:t>Alignment границите трябва да произтичат от допустимата инсталационна грешка в тази резолюция. Те не трябва да прикриват грешно избрана референция или разместена камера. Проверявайте и възстановяването през по-строгите хистерезисни граници, а не само еднократно преминаване под общия лимит.</w:t>
      </w:r>
    </w:p>
    <w:p>
      <w:pPr>
        <w:pStyle w:val="Heading2"/>
      </w:pPr>
      <w:r>
        <w:t>Проверки върху отделни изображения и последователности</w:t>
      </w:r>
    </w:p>
    <w:p>
      <w:r>
        <w:t xml:space="preserve">За снимки използвайте </w:t>
      </w:r>
      <w:r>
        <w:rPr>
          <w:rFonts w:ascii="DejaVu Sans Mono" w:hAnsi="DejaVu Sans Mono"/>
          <w:sz w:val="19"/>
        </w:rPr>
        <w:t>examples/settings.py</w:t>
      </w:r>
      <w:r>
        <w:t xml:space="preserve"> и задайте списъка </w:t>
      </w:r>
      <w:r>
        <w:rPr>
          <w:rFonts w:ascii="DejaVu Sans Mono" w:hAnsi="DejaVu Sans Mono"/>
          <w:sz w:val="19"/>
        </w:rPr>
        <w:t>image_paths</w:t>
      </w:r>
      <w:r>
        <w:t xml:space="preserve">. При </w:t>
      </w:r>
      <w:r>
        <w:rPr>
          <w:rFonts w:ascii="DejaVu Sans Mono" w:hAnsi="DejaVu Sans Mono"/>
          <w:sz w:val="19"/>
        </w:rPr>
        <w:t>independent_images=True</w:t>
      </w:r>
      <w:r>
        <w:t xml:space="preserve"> примерът използва едно потвърждаващо наблюдение и изчиства историята между изображенията. При </w:t>
      </w:r>
      <w:r>
        <w:rPr>
          <w:rFonts w:ascii="DejaVu Sans Mono" w:hAnsi="DejaVu Sans Mono"/>
          <w:sz w:val="19"/>
        </w:rPr>
        <w:t>False</w:t>
      </w:r>
      <w:r>
        <w:t xml:space="preserve"> има подреден поток и текущите настройки за потвърждение. Референциите трябва да са налични на конкретната машина.</w:t>
      </w:r>
    </w:p>
    <w:p>
      <w:pPr>
        <w:pStyle w:val="ManualCode"/>
        <w:keepLines w:val="0"/>
      </w:pPr>
      <w:r>
        <w:t>.venv/bin/python examples/get_status.py</w:t>
        <w:br/>
        <w:t>.venv/bin/python tools/capture.py --show --duration 10</w:t>
        <w:br/>
        <w:t>.venv/bin/python tools/capture.py --exposure-sweep --duration 4</w:t>
        <w:br/>
        <w:t>.venv/bin/python tools/capture.py --benchmark</w:t>
      </w:r>
    </w:p>
    <w:p>
      <w:r>
        <w:t>Exposure sweep проверява реални експозиции, когато камерата и драйверът го поддържат. Текущият контролер очаква положителни V4L2 стойности, калибрира ръчна експозиция към началната яркост и пробва фактори 0.5, 1 и 2. Това не означава точно половин или двойна яркост на изображението. Неподдържани нива се отчитат, а възстановяването на оригиналните контроли се проверява.</w:t>
      </w:r>
    </w:p>
    <w:p>
      <w:r>
        <w:t>Дефинирайте предварително какво трябва да се случи при всяка анотирана сцена и отчитайте отделно погрешно зелено, погрешно missing, погрешна misalignment индикация и UNKNOWN. Статистика само за „брой успешно обработени файлове“ или съвпадение с предходна версия не е точност на разпознаване.</w:t>
      </w:r>
    </w:p>
    <w:p>
      <w:bookmarkStart w:id="117" w:name="chapter_17"/>
      <w:pPr>
        <w:pStyle w:val="Heading1"/>
      </w:pPr>
      <w:r>
        <w:t>17 Производителност и разпределение на отговорностите</w:t>
      </w:r>
      <w:bookmarkEnd w:id="117"/>
    </w:p>
    <w:p>
      <w:r>
        <w:t xml:space="preserve">Използваемата площ в основния пример е около </w:t>
      </w:r>
      <w:r>
        <w:rPr>
          <w:b/>
        </w:rPr>
        <w:t>23.7%</w:t>
      </w:r>
      <w:r>
        <w:t xml:space="preserve"> от пълния кадър. Пространствените филтри и нормализацията работят върху ROI, но за общите координати се създават и масиви с пълния размер на кадъра. Намаляването на ROI ограничава значителна част от работата, но не означава точно пропорционално увеличение на FPS.</w:t>
      </w:r>
    </w:p>
    <w:p>
      <w:r>
        <w:t>Завъртените шаблони, техните маски и картите на близост се кешират. Текущата proximity карта се изчислява веднъж на кадър. Съответствията използват OpenCV операции върху цели масиви, а геометричните хипотези се оценяват с NumPy broadcasting. Python цикли остават за малките списъци от признаци и ъгли, не за пикселите.</w:t>
      </w:r>
    </w:p>
    <w:p>
      <w:r>
        <w:t xml:space="preserve">В основния кадър има общо </w:t>
      </w:r>
      <w:r>
        <w:rPr>
          <w:b/>
        </w:rPr>
        <w:t>113 кандидата</w:t>
      </w:r>
      <w:r>
        <w:t xml:space="preserve"> преди геометричното филтриране. Увеличаването на candidate бюджетите повишава броя разглеждани двойки и размера на междинните масиви. Обикновено има по-голям ефект от добавянето на няколко скаларни сравнения при вземане на решението.</w:t>
      </w:r>
    </w:p>
    <w:p>
      <w:r>
        <w:t xml:space="preserve">Първият кадър може да бъде по-бавен заради подготовката на кешовете. Създаване на нов детектор за всяко изображение губи и кешовете, и времевото потвърждение. </w:t>
      </w:r>
      <w:r>
        <w:rPr>
          <w:rFonts w:ascii="DejaVu Sans Mono" w:hAnsi="DejaVu Sans Mono"/>
          <w:sz w:val="19"/>
        </w:rPr>
        <w:t>configure</w:t>
      </w:r>
      <w:r>
        <w:t xml:space="preserve"> също подготвя нов модел и започва нова история, което е правилно при смяна на калибрация.</w:t>
      </w:r>
    </w:p>
    <w:p>
      <w:r>
        <w:t xml:space="preserve">Камерата може да отчита 30 FPS, докато приложението обработва по-малко кадри в секунда. Етикетът в разработческото приложение измерва реалния цикъл. Бенчмаркът без камера измерва многократни </w:t>
      </w:r>
      <w:r>
        <w:rPr>
          <w:rFonts w:ascii="DejaVu Sans Mono" w:hAnsi="DejaVu Sans Mono"/>
          <w:sz w:val="19"/>
        </w:rPr>
        <w:t>get_status</w:t>
      </w:r>
      <w:r>
        <w:t xml:space="preserve"> извиквания след една загряваща операция, без четене от камера, рендериране или запис. Capture summary разделя времето за четене от времето за детекция.</w:t>
      </w:r>
    </w:p>
    <w:p>
      <w:r>
        <w:rPr>
          <w:rFonts w:ascii="DejaVu Sans Mono" w:hAnsi="DejaVu Sans Mono"/>
          <w:sz w:val="19"/>
        </w:rPr>
        <w:t>development.json</w:t>
      </w:r>
      <w:r>
        <w:t xml:space="preserve"> задава </w:t>
      </w:r>
      <w:r>
        <w:rPr>
          <w:rFonts w:ascii="DejaVu Sans Mono" w:hAnsi="DejaVu Sans Mono"/>
          <w:sz w:val="19"/>
        </w:rPr>
        <w:t>opencv_threads=1</w:t>
      </w:r>
      <w:r>
        <w:t xml:space="preserve"> за разработческите входни точки. Публичното API не променя глобалната thread политика на интегриращото приложение. Проверявайте реалния ефект на целевия процесор, вместо да приемате, че повече нишки непременно означават по-висока скорост.</w:t>
      </w:r>
    </w:p>
    <w:p>
      <w:bookmarkStart w:id="118" w:name="chapter_18"/>
      <w:pPr>
        <w:pStyle w:val="Heading1"/>
      </w:pPr>
      <w:r>
        <w:t>18 Карта на кода</w:t>
      </w:r>
      <w:bookmarkEnd w:id="118"/>
    </w:p>
    <w:p>
      <w:r>
        <w:t xml:space="preserve">Пътищата в таблицата са относителни към </w:t>
      </w:r>
      <w:r>
        <w:rPr>
          <w:rFonts w:ascii="DejaVu Sans Mono" w:hAnsi="DejaVu Sans Mono"/>
          <w:sz w:val="19"/>
        </w:rPr>
        <w:t>src/paint_head_detector/</w:t>
      </w:r>
      <w:r>
        <w:t>. Имената на функциите позволяват всяка описана стъпка да се намери директно в реализацията.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2880"/>
        <w:gridCol w:w="7200"/>
      </w:tblGrid>
      <w:tr>
        <w:trPr>
          <w:tblHeader/>
          <w:cantSplit/>
        </w:trPr>
        <w:tc>
          <w:tcPr>
            <w:tcW w:type="dxa" w:w="2880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7200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Отговорност и основни входни точки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api.py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PaintHeadDetector.get_status</w:t>
            </w:r>
            <w:r>
              <w:rPr>
                <w:sz w:val="20"/>
              </w:rPr>
              <w:t>, изграждане на runtime, заключване, атомарна конфигурация и резултат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calibration.py</w:t>
            </w:r>
          </w:p>
        </w:tc>
        <w:tc>
          <w:tcPr>
            <w:tcW w:type="dxa" w:w="7200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CalibrationLoader</w:t>
            </w:r>
            <w:r>
              <w:rPr>
                <w:sz w:val="20"/>
              </w:rPr>
              <w:t xml:space="preserve">, референтни снимки, проверка на размерите, </w:t>
            </w:r>
            <w:r>
              <w:rPr>
                <w:rFonts w:ascii="DejaVu Sans Mono" w:hAnsi="DejaVu Sans Mono"/>
                <w:sz w:val="18"/>
              </w:rPr>
              <w:t>ImageValidator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configuration.py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sz w:val="20"/>
              </w:rPr>
              <w:t>Типизирани настройки, JSON граница, проверки и зареждане на признаците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preprocessing.py</w:t>
            </w:r>
          </w:p>
        </w:tc>
        <w:tc>
          <w:tcPr>
            <w:tcW w:type="dxa" w:w="7200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ImageProcessor.extract_edges</w:t>
            </w:r>
            <w:r>
              <w:rPr>
                <w:sz w:val="20"/>
              </w:rPr>
              <w:t xml:space="preserve">, </w:t>
            </w:r>
            <w:r>
              <w:rPr>
                <w:rFonts w:ascii="DejaVu Sans Mono" w:hAnsi="DejaVu Sans Mono"/>
                <w:sz w:val="18"/>
              </w:rPr>
              <w:t>check_quality</w:t>
            </w:r>
            <w:r>
              <w:rPr>
                <w:sz w:val="20"/>
              </w:rPr>
              <w:t xml:space="preserve">, </w:t>
            </w:r>
            <w:r>
              <w:rPr>
                <w:rFonts w:ascii="DejaVu Sans Mono" w:hAnsi="DejaVu Sans Mono"/>
                <w:sz w:val="18"/>
              </w:rPr>
              <w:t>edge_proximity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templates.py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_rotated_template</w:t>
            </w:r>
            <w:r>
              <w:rPr>
                <w:sz w:val="20"/>
              </w:rPr>
              <w:t xml:space="preserve">, </w:t>
            </w:r>
            <w:r>
              <w:rPr>
                <w:rFonts w:ascii="DejaVu Sans Mono" w:hAnsi="DejaVu Sans Mono"/>
                <w:sz w:val="18"/>
              </w:rPr>
              <w:t>_shape_scores</w:t>
            </w:r>
            <w:r>
              <w:rPr>
                <w:sz w:val="20"/>
              </w:rPr>
              <w:t xml:space="preserve">, </w:t>
            </w:r>
            <w:r>
              <w:rPr>
                <w:rFonts w:ascii="DejaVu Sans Mono" w:hAnsi="DejaVu Sans Mono"/>
                <w:sz w:val="18"/>
              </w:rPr>
              <w:t>_candidate_matches</w:t>
            </w:r>
            <w:r>
              <w:rPr>
                <w:sz w:val="20"/>
              </w:rPr>
              <w:t>, support и кешове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matching.py</w:t>
            </w:r>
          </w:p>
        </w:tc>
        <w:tc>
          <w:tcPr>
            <w:tcW w:type="dxa" w:w="7200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FeatureMatcher.match_present</w:t>
            </w:r>
            <w:r>
              <w:rPr>
                <w:sz w:val="20"/>
              </w:rPr>
              <w:t xml:space="preserve">, </w:t>
            </w:r>
            <w:r>
              <w:rPr>
                <w:rFonts w:ascii="DejaVu Sans Mono" w:hAnsi="DejaVu Sans Mono"/>
                <w:sz w:val="18"/>
              </w:rPr>
              <w:t>match_missing</w:t>
            </w:r>
            <w:r>
              <w:rPr>
                <w:sz w:val="20"/>
              </w:rPr>
              <w:t>, фиксирана plate оценка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consensus.py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_consensus_present</w:t>
            </w:r>
            <w:r>
              <w:rPr>
                <w:sz w:val="20"/>
              </w:rPr>
              <w:t>, векторизирани хипотези и избор на съгласувани признаци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geometry.py</w:t>
            </w:r>
          </w:p>
        </w:tc>
        <w:tc>
          <w:tcPr>
            <w:tcW w:type="dxa" w:w="7200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fitted_pose</w:t>
            </w:r>
            <w:r>
              <w:rPr>
                <w:sz w:val="20"/>
              </w:rPr>
              <w:t xml:space="preserve"> и </w:t>
            </w:r>
            <w:r>
              <w:rPr>
                <w:rFonts w:ascii="DejaVu Sans Mono" w:hAnsi="DejaVu Sans Mono"/>
                <w:sz w:val="18"/>
              </w:rPr>
              <w:t>_relative_geometry</w:t>
            </w:r>
            <w:r>
              <w:rPr>
                <w:sz w:val="20"/>
              </w:rPr>
              <w:t xml:space="preserve"> за двата различни геометрични теста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decision.py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DecisionPolicy</w:t>
            </w:r>
            <w:r>
              <w:rPr>
                <w:sz w:val="20"/>
              </w:rPr>
              <w:t xml:space="preserve">, </w:t>
            </w:r>
            <w:r>
              <w:rPr>
                <w:rFonts w:ascii="DejaVu Sans Mono" w:hAnsi="DejaVu Sans Mono"/>
                <w:sz w:val="18"/>
              </w:rPr>
              <w:t>StatusStabilizer</w:t>
            </w:r>
            <w:r>
              <w:rPr>
                <w:sz w:val="20"/>
              </w:rPr>
              <w:t>, причини, граници и история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models.py</w:t>
            </w:r>
          </w:p>
        </w:tc>
        <w:tc>
          <w:tcPr>
            <w:tcW w:type="dxa" w:w="7200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sz w:val="20"/>
              </w:rPr>
              <w:t xml:space="preserve">Enum стойности, признаци, измервания, доказателства и </w:t>
            </w:r>
            <w:r>
              <w:rPr>
                <w:rFonts w:ascii="DejaVu Sans Mono" w:hAnsi="DejaVu Sans Mono"/>
                <w:sz w:val="18"/>
              </w:rPr>
              <w:t>DetectionResult</w:t>
            </w:r>
          </w:p>
        </w:tc>
      </w:tr>
    </w:tbl>
    <w:p>
      <w:pPr>
        <w:spacing w:after="60"/>
      </w:pPr>
    </w:p>
    <w:p>
      <w:r>
        <w:t xml:space="preserve">Камерата е в </w:t>
      </w:r>
      <w:r>
        <w:rPr>
          <w:rFonts w:ascii="DejaVu Sans Mono" w:hAnsi="DejaVu Sans Mono"/>
          <w:sz w:val="19"/>
        </w:rPr>
        <w:t>src/Camera.py</w:t>
      </w:r>
      <w:r>
        <w:t xml:space="preserve">. Прозорците, overlay, capture, сериализацията и настройките за развитие са под </w:t>
      </w:r>
      <w:r>
        <w:rPr>
          <w:rFonts w:ascii="DejaVu Sans Mono" w:hAnsi="DejaVu Sans Mono"/>
          <w:sz w:val="19"/>
        </w:rPr>
        <w:t>development/</w:t>
      </w:r>
      <w:r>
        <w:t xml:space="preserve">. </w:t>
      </w:r>
      <w:r>
        <w:rPr>
          <w:rFonts w:ascii="DejaVu Sans Mono" w:hAnsi="DejaVu Sans Mono"/>
          <w:sz w:val="19"/>
        </w:rPr>
        <w:t>src/detect.py</w:t>
      </w:r>
      <w:r>
        <w:t xml:space="preserve"> е вход към тази интеграция. </w:t>
      </w:r>
      <w:r>
        <w:rPr>
          <w:rFonts w:ascii="DejaVu Sans Mono" w:hAnsi="DejaVu Sans Mono"/>
          <w:sz w:val="19"/>
        </w:rPr>
        <w:t>examples/get_status.py</w:t>
      </w:r>
      <w:r>
        <w:t xml:space="preserve"> е втората интеграция без камера и GUI, която използва същото API.</w:t>
      </w:r>
    </w:p>
    <w:p>
      <w:bookmarkStart w:id="119" w:name="chapter_19"/>
      <w:pPr>
        <w:pStyle w:val="Heading1"/>
      </w:pPr>
      <w:r>
        <w:t>19 Проследимост на изображенията и настройките</w:t>
      </w:r>
      <w:bookmarkEnd w:id="119"/>
    </w:p>
    <w:p>
      <w:r>
        <w:t>Следващите идентификатори се отнасят до реалните входни PNG файлове, не до изчислените карти или анотираните панели. SHA256 префиксите помагат да се установи кой оригинал е използван. Пълният SHA256 на основния кадър е:</w:t>
      </w:r>
    </w:p>
    <w:p>
      <w:pPr>
        <w:pStyle w:val="ManualCode"/>
        <w:keepLines w:val="0"/>
      </w:pPr>
      <w:r>
        <w:t>dff6d2afbc3ccdd2fceb337271ad7897fe69af80bc22a6ca4a57ef97a576bf26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3312"/>
        <w:gridCol w:w="4176"/>
        <w:gridCol w:w="2592"/>
      </w:tblGrid>
      <w:tr>
        <w:trPr>
          <w:tblHeader/>
          <w:cantSplit/>
        </w:trPr>
        <w:tc>
          <w:tcPr>
            <w:tcW w:type="dxa" w:w="3312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Сцена</w:t>
            </w:r>
          </w:p>
        </w:tc>
        <w:tc>
          <w:tcPr>
            <w:tcW w:type="dxa" w:w="4176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Име на оригиналния кадър</w:t>
            </w:r>
          </w:p>
        </w:tc>
        <w:tc>
          <w:tcPr>
            <w:tcW w:type="dxa" w:w="2592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SHA256 префикс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Основен наклонен кадър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20261028T141407_073347Z.png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dff6d2afbc3ccdd2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Правилно положение</w:t>
            </w:r>
          </w:p>
        </w:tc>
        <w:tc>
          <w:tcPr>
            <w:tcW w:type="dxa" w:w="4176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20261028T143418_885985Z.png</w:t>
            </w:r>
          </w:p>
        </w:tc>
        <w:tc>
          <w:tcPr>
            <w:tcW w:type="dxa" w:w="2592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a62c878b1cd4be4f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Празна стойка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20261028T143423_996715Z.png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d6019170ce1663e9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Другата посока на наклон</w:t>
            </w:r>
          </w:p>
        </w:tc>
        <w:tc>
          <w:tcPr>
            <w:tcW w:type="dxa" w:w="4176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20261028T143428_092327Z.png</w:t>
            </w:r>
          </w:p>
        </w:tc>
        <w:tc>
          <w:tcPr>
            <w:tcW w:type="dxa" w:w="2592"/>
            <w:vAlign w:val="center"/>
            <w:shd w:fill="F1F5F8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39fbf452891b063c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sz w:val="20"/>
              </w:rPr>
              <w:t>Недостатъчни доказателства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20261028T143422_963721Z.png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keepNext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74a6d1a1d3c39d92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sz w:val="20"/>
              </w:rPr>
              <w:t>Погрешно съответствие</w:t>
            </w:r>
          </w:p>
        </w:tc>
        <w:tc>
          <w:tcPr>
            <w:tcW w:type="dxa" w:w="4176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20261028T133809_020939Z.png</w:t>
            </w:r>
          </w:p>
        </w:tc>
        <w:tc>
          <w:tcPr>
            <w:tcW w:type="dxa" w:w="2592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1baa63d409fb811c</w:t>
            </w:r>
          </w:p>
        </w:tc>
      </w:tr>
    </w:tbl>
    <w:p>
      <w:pPr>
        <w:spacing w:after="60"/>
      </w:pPr>
    </w:p>
    <w:p>
      <w:r>
        <w:t xml:space="preserve">Първият кадър е в capture сесия </w:t>
      </w:r>
      <w:r>
        <w:rPr>
          <w:rFonts w:ascii="DejaVu Sans Mono" w:hAnsi="DejaVu Sans Mono"/>
          <w:sz w:val="19"/>
        </w:rPr>
        <w:t>20261028T141402_707354Z</w:t>
      </w:r>
      <w:r>
        <w:t xml:space="preserve">. Четирите кадъра с час 14:34 са в </w:t>
      </w:r>
      <w:r>
        <w:rPr>
          <w:rFonts w:ascii="DejaVu Sans Mono" w:hAnsi="DejaVu Sans Mono"/>
          <w:sz w:val="19"/>
        </w:rPr>
        <w:t>20261028T143415_038968Z</w:t>
      </w:r>
      <w:r>
        <w:t xml:space="preserve">. Последният е в </w:t>
      </w:r>
      <w:r>
        <w:rPr>
          <w:rFonts w:ascii="DejaVu Sans Mono" w:hAnsi="DejaVu Sans Mono"/>
          <w:sz w:val="19"/>
        </w:rPr>
        <w:t>20261028T133747_522320Z/normal_exposure</w:t>
      </w:r>
      <w:r>
        <w:t xml:space="preserve">. Всички са под </w:t>
      </w:r>
      <w:r>
        <w:rPr>
          <w:rFonts w:ascii="DejaVu Sans Mono" w:hAnsi="DejaVu Sans Mono"/>
          <w:sz w:val="19"/>
        </w:rPr>
        <w:t>output/captures/</w:t>
      </w:r>
      <w:r>
        <w:t>.</w:t>
      </w:r>
    </w:p>
    <w:p>
      <w:r>
        <w:t xml:space="preserve">Референциите са </w:t>
      </w:r>
      <w:r>
        <w:rPr>
          <w:rFonts w:ascii="DejaVu Sans Mono" w:hAnsi="DejaVu Sans Mono"/>
          <w:sz w:val="19"/>
        </w:rPr>
        <w:t>src/paint_head_dataset/references/head_present.png</w:t>
      </w:r>
      <w:r>
        <w:t xml:space="preserve"> и </w:t>
      </w:r>
      <w:r>
        <w:rPr>
          <w:rFonts w:ascii="DejaVu Sans Mono" w:hAnsi="DejaVu Sans Mono"/>
          <w:sz w:val="19"/>
        </w:rPr>
        <w:t>head_missing.png</w:t>
      </w:r>
      <w:r>
        <w:t xml:space="preserve">. Техните SHA256 префикси са съответно </w:t>
      </w:r>
      <w:r>
        <w:rPr>
          <w:b/>
        </w:rPr>
        <w:t>a3fd163e3075ff32</w:t>
      </w:r>
      <w:r>
        <w:t xml:space="preserve"> и </w:t>
      </w:r>
      <w:r>
        <w:rPr>
          <w:b/>
        </w:rPr>
        <w:t>0598bc88466f3e42</w:t>
      </w:r>
      <w:r>
        <w:t>. Размерът на всички разгледани входни кадри е 1280 на 720.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2880"/>
        <w:gridCol w:w="7200"/>
      </w:tblGrid>
      <w:tr>
        <w:trPr>
          <w:tblHeader/>
          <w:cantSplit/>
        </w:trPr>
        <w:tc>
          <w:tcPr>
            <w:tcW w:type="dxa" w:w="2880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Конфигурационен файл</w:t>
            </w:r>
          </w:p>
        </w:tc>
        <w:tc>
          <w:tcPr>
            <w:tcW w:type="dxa" w:w="7200"/>
            <w:vAlign w:val="center"/>
            <w:shd w:fill="20384D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0"/>
              </w:rPr>
              <w:t>SHA256 префикс на използваното съдържание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references.json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bd41aff558dd5255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roi.json</w:t>
            </w:r>
          </w:p>
        </w:tc>
        <w:tc>
          <w:tcPr>
            <w:tcW w:type="dxa" w:w="7200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5902d2c8c71e67d4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present_features.json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1ab0256c17e5698e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missing_features.json</w:t>
            </w:r>
          </w:p>
        </w:tc>
        <w:tc>
          <w:tcPr>
            <w:tcW w:type="dxa" w:w="7200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9f3ea2de40405ffc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matching.json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3a4191ebc6182362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preprocessing.json</w:t>
            </w:r>
          </w:p>
        </w:tc>
        <w:tc>
          <w:tcPr>
            <w:tcW w:type="dxa" w:w="7200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5076c017b3fd90e1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alignment.json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c408ac339f1f82dd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development.json</w:t>
            </w:r>
          </w:p>
        </w:tc>
        <w:tc>
          <w:tcPr>
            <w:tcW w:type="dxa" w:w="7200"/>
            <w:vAlign w:val="center"/>
            <w:shd w:fill="F1F5F8"/>
          </w:tcPr>
          <w:p>
            <w:pPr>
              <w:keepNext w:val="0"/>
              <w:spacing w:after="60" w:before="60" w:line="252" w:lineRule="auto"/>
            </w:pPr>
            <w:r>
              <w:rPr>
                <w:rFonts w:ascii="DejaVu Sans Mono" w:hAnsi="DejaVu Sans Mono"/>
                <w:sz w:val="18"/>
              </w:rPr>
              <w:t>fa1d224733363ba5</w:t>
            </w:r>
          </w:p>
        </w:tc>
      </w:tr>
    </w:tbl>
    <w:p>
      <w:pPr>
        <w:spacing w:after="60"/>
      </w:pPr>
    </w:p>
    <w:p>
      <w:r>
        <w:t>Подробният справочник за всички конфигурационни полета, техните единици и настройване е в секцията Configuration на README. Версиите и хешовете тук фиксират стойностите, с които са получени числата и изображенията в това ръководство.</w:t>
      </w:r>
    </w:p>
    <w:p>
      <w:bookmarkStart w:id="120" w:name="chapter_20"/>
      <w:pPr>
        <w:pStyle w:val="Heading1"/>
        <w:pageBreakBefore/>
      </w:pPr>
      <w:r>
        <w:t>20 Източници за използваните операции</w:t>
      </w:r>
      <w:bookmarkEnd w:id="120"/>
    </w:p>
    <w:p>
      <w:r>
        <w:t>Основният източник за поведението на детектора е кодът и конфигурацията към SVN r109. Обясненията на стандартните операции са съобразени със следните официални материали на OpenCV. Използваните в това ръководство снимки и междинни резултати са от локалната реализация, а не от изображенията в тези материали.</w:t>
      </w:r>
    </w:p>
    <w:p>
      <w:r>
        <w:t>[1] OpenCV Canny Edge Detection. Описание на градиентите, потискането на немаксимални стойности и свързването по два прага.</w:t>
      </w:r>
    </w:p>
    <w:p>
      <w:r>
        <w:t>https://docs.opencv.org/4.13.0/da/d22/tutorial_py_canny.html</w:t>
      </w:r>
    </w:p>
    <w:p>
      <w:r>
        <w:t>[2] OpenCV Histograms and Histogram Equalization. Описание на локалното изравняване с ограничаване на контраста.</w:t>
      </w:r>
    </w:p>
    <w:p>
      <w:r>
        <w:t>https://docs.opencv.org/4.13.0/d5/daf/tutorial_py_histogram_equalization.html</w:t>
      </w:r>
    </w:p>
    <w:p>
      <w:r>
        <w:t>[3] OpenCV Image Inpainting. Описание на Telea запълване по информация от околността.</w:t>
      </w:r>
    </w:p>
    <w:p>
      <w:r>
        <w:t>https://docs.opencv.org/4.13.0/df/d3d/tutorial_py_inpainting.html</w:t>
      </w:r>
    </w:p>
    <w:p>
      <w:r>
        <w:t>[4] OpenCV Miscellaneous Image Transformations. Договор на distanceTransform и типовете разстояния.</w:t>
      </w:r>
    </w:p>
    <w:p>
      <w:r>
        <w:t>https://docs.opencv.org/4.13.0/d7/d1b/group__imgproc__misc.html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40"/>
    </w:pPr>
    <w:rPr>
      <w:rFonts w:ascii="DejaVu Sans" w:hAnsi="DejaVu Sans"/>
      <w:color w:val="000000"/>
      <w:sz w:val="22"/>
      <w:lang w:val="bg-BG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4"/>
      <w:szCs w:val="28"/>
      <w:lang w:val="bg-BG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6"/>
      <w:szCs w:val="2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  <w:lang w:val="bg-BG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DejaVu Sans" w:hAnsi="DejaVu Sans"/>
      <w:i w:val="0"/>
      <w:iCs/>
      <w:color w:val="000000"/>
      <w:spacing w:val="15"/>
      <w:sz w:val="26"/>
      <w:szCs w:val="24"/>
      <w:lang w:val="bg-BG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20"/>
    </w:pPr>
    <w:rPr>
      <w:rFonts w:ascii="DejaVu Sans" w:hAnsi="DejaVu Sans"/>
      <w:b w:val="0"/>
      <w:bCs/>
      <w:i w:val="0"/>
      <w:color w:val="000000"/>
      <w:sz w:val="19"/>
      <w:szCs w:val="18"/>
      <w:lang w:val="bg-BG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Code">
    <w:name w:val="Manual Code"/>
    <w:pPr>
      <w:widowControl/>
      <w:spacing w:after="160" w:line="240" w:lineRule="auto"/>
      <w:ind w:left="173"/>
    </w:pPr>
    <w:rPr>
      <w:rFonts w:ascii="DejaVu Sans Mono" w:hAnsi="DejaVu Sans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Разпознаване на боядисваща глава</dc:title>
  <dc:subject>Подробно техническо ръководство на български с реални изображения</dc:subject>
  <dc:creator>Paint Head Detection</dc:creator>
  <cp:keywords>ROI Canny CLAHE структурно съпоставяне геометрия misalignment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