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3A5F"/>
          <w:sz w:val="52"/>
        </w:rPr>
        <w:t>主力净流入策略 V4.1</w:t>
      </w:r>
    </w:p>
    <w:p>
      <w:pPr>
        <w:jc w:val="center"/>
      </w:pPr>
      <w:r>
        <w:rPr>
          <w:b/>
          <w:i w:val="0"/>
          <w:color w:val="2A7F8E"/>
          <w:sz w:val="42"/>
        </w:rPr>
        <w:t>投研评审、V4.2 优化方案与回测方案</w:t>
      </w:r>
    </w:p>
    <w:p>
      <w:pPr>
        <w:jc w:val="center"/>
      </w:pPr>
      <w:r>
        <w:rPr>
          <w:b w:val="0"/>
          <w:i w:val="0"/>
          <w:sz w:val="24"/>
        </w:rPr>
        <w:t>—— 面向 A 股的机构级评审:不足、调整、可交由本地 Claude Code 执行的回测 ——</w:t>
      </w:r>
    </w:p>
    <w:p/>
    <w:p>
      <w:pPr>
        <w:jc w:val="center"/>
      </w:pPr>
      <w:r>
        <w:rPr>
          <w:b w:val="0"/>
          <w:i w:val="0"/>
          <w:sz w:val="22"/>
        </w:rPr>
        <w:t>评审对象:V4.1 每日选股报告 2026-10-09(候选池 387 只 / 观察 60 只 / 0 买入)</w:t>
      </w:r>
    </w:p>
    <w:p>
      <w:pPr>
        <w:jc w:val="center"/>
      </w:pPr>
      <w:r>
        <w:rPr>
          <w:b w:val="0"/>
          <w:i w:val="0"/>
          <w:sz w:val="22"/>
        </w:rPr>
        <w:t>日期:2026-10-09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6D6"/>
          </w:tcPr>
          <w:p>
            <w:r/>
            <w:r>
              <w:rPr>
                <w:sz w:val="20"/>
              </w:rPr>
              <w:t>说明:本评审基于你上传的报告与 Excel 中可见的数字与规则文字,未看到生产脚本与历史数据库,因此"证据"限于 2026-10-09 截面;凡涉及历史有效性的判断,均已转化为可检验的假设,交由本地回测验证。回测框架已用合成数据完成无前视/T+1/涨停/安慰剂等 9 项自检,合成结果不是策略证据。仅供研究,不构成投资建议。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  评审结论</w:t>
      </w:r>
    </w:p>
    <w:p>
      <w:r>
        <w:rPr>
          <w:b w:val="0"/>
          <w:i w:val="0"/>
        </w:rPr>
        <w:t>总评:V4.1 的工程纪律(数据质量门、拒绝估算、方向自检、涨停硬约束、如实标注选择性偏差)优于多数散户级方案,但在"策略是否有效"这一根本问题上证据为零:没有历史回测、没有样本外、没有成本与持有期定义。当前 0 买入是 C1 熔断的结果,而不是风控的结果。在补齐证据之前,V4.1 只适合作为观察工具,不应实盘。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361"/>
        <w:gridCol w:w="6009"/>
      </w:tblGrid>
      <w:tr>
        <w:tc>
          <w:tcPr>
            <w:tcW w:type="dxa" w:w="2268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评审维度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评级(1~5)</w:t>
            </w:r>
          </w:p>
        </w:tc>
        <w:tc>
          <w:tcPr>
            <w:tcW w:type="dxa" w:w="6009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数据与点时性</w:t>
            </w:r>
          </w:p>
        </w:tc>
        <w:tc>
          <w:tcPr>
            <w:tcW w:type="dxa" w:w="1361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6009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质量门细致;但依赖供应商快照、不可回放、历史资金流口径未沉淀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信号有效性证据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600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无 IC/分层/样本外;核心因子预测力未检验</w:t>
            </w:r>
          </w:p>
        </w:tc>
      </w:tr>
      <w:tr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评分结构</w:t>
            </w:r>
          </w:p>
        </w:tc>
        <w:tc>
          <w:tcPr>
            <w:tcW w:type="dxa" w:w="1361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6009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名义四维实为约 2.5 维;动量与反转混合(U 型);批内相对化缺时间序列信息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风险与熔断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600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多数熔断为恒真/弱检验;宏观闸门阈值几乎不触发;无策略回撤熔断</w:t>
            </w:r>
          </w:p>
        </w:tc>
      </w:tr>
      <w:tr>
        <w:tc>
          <w:tcPr>
            <w:tcW w:type="dxa" w:w="2268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执行与组合</w:t>
            </w:r>
          </w:p>
        </w:tc>
        <w:tc>
          <w:tcPr>
            <w:tcW w:type="dxa" w:w="1361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6009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无持有期/止损/仓位/成本/T+1 建模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流程与治理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600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纪律好;缺预先登记验收标准与试验次数记录</w:t>
            </w:r>
          </w:p>
        </w:tc>
      </w:tr>
    </w:tbl>
    <w:p>
      <w:pPr>
        <w:spacing w:after="40"/>
      </w:pPr>
    </w:p>
    <w:p>
      <w:pPr>
        <w:pStyle w:val="Heading2"/>
      </w:pPr>
      <w:r>
        <w:t>1.1  做得好的地方(保留)</w:t>
      </w:r>
    </w:p>
    <w:p>
      <w:pPr>
        <w:pStyle w:val="ListBullet"/>
      </w:pPr>
      <w:r>
        <w:rPr>
          <w:b/>
        </w:rPr>
        <w:t>数据质量门</w:t>
      </w:r>
      <w:r>
        <w:t>单位核对、5 日资金流逐日取真实值(严禁"当日×3")、缺失/零值剔除、C5 如实披露选择性偏差。</w:t>
      </w:r>
    </w:p>
    <w:p>
      <w:pPr>
        <w:pStyle w:val="ListBullet"/>
      </w:pPr>
      <w:r>
        <w:rPr>
          <w:b/>
        </w:rPr>
        <w:t>涨停硬约束</w:t>
      </w:r>
      <w:r>
        <w:t>涨幅达板块上限不给买入区间,符合 A 股可成交性现实。</w:t>
      </w:r>
    </w:p>
    <w:p>
      <w:pPr>
        <w:pStyle w:val="ListBullet"/>
      </w:pPr>
      <w:r>
        <w:rPr>
          <w:b/>
        </w:rPr>
        <w:t>方向自检与风险披露</w:t>
      </w:r>
      <w:r>
        <w:t>每只标的有"最弱一维/主风险",避免只讲优点。</w:t>
      </w:r>
    </w:p>
    <w:p>
      <w:pPr>
        <w:pStyle w:val="ListBullet"/>
      </w:pPr>
      <w:r>
        <w:rPr>
          <w:b/>
        </w:rPr>
        <w:t>禁止批内 60 分位替代绝对门槛</w:t>
      </w:r>
      <w:r>
        <w:t>识别了"恒真"陷阱——这个问题意识是对的,只是解法还要换(见 P6)。</w:t>
      </w:r>
    </w:p>
    <w:p>
      <w:pPr>
        <w:pStyle w:val="Heading2"/>
      </w:pPr>
      <w:r>
        <w:t>1.2  最关键的 5 个问题</w:t>
      </w:r>
    </w:p>
    <w:p>
      <w:pPr>
        <w:pStyle w:val="ListBullet"/>
      </w:pPr>
      <w:r>
        <w:rPr>
          <w:b/>
        </w:rPr>
        <w:t>P1 无样本外证据(致命)</w:t>
      </w:r>
      <w:r>
        <w:t>定稿 2026-08-12,至今 60 个交易日仅观察,0 买入,所有参数未经检验。</w:t>
      </w:r>
    </w:p>
    <w:p>
      <w:pPr>
        <w:pStyle w:val="ListBullet"/>
      </w:pPr>
      <w:r>
        <w:rPr>
          <w:b/>
        </w:rPr>
        <w:t>P2 核心因子未验证(致命)</w:t>
      </w:r>
      <w:r>
        <w:t>"主力净流入"是数据商按单笔大小分类的成交结果,买卖必有对手方;短期可能延续也可能反转,需自测 IC。</w:t>
      </w:r>
    </w:p>
    <w:p>
      <w:pPr>
        <w:pStyle w:val="ListBullet"/>
      </w:pPr>
      <w:r>
        <w:rPr>
          <w:b/>
        </w:rPr>
        <w:t>P3/P4 评分共线与 U 型</w:t>
      </w:r>
      <w:r>
        <w:t>D1 与资金/市值比 ρ=0.97,四维有效维度≈2.5;最跌与最涨的两端分数都偏高。</w:t>
      </w:r>
    </w:p>
    <w:p>
      <w:pPr>
        <w:pStyle w:val="ListBullet"/>
      </w:pPr>
      <w:r>
        <w:rPr>
          <w:b/>
        </w:rPr>
        <w:t>P6/P7 熔断与惩罚形同虚设</w:t>
      </w:r>
      <w:r>
        <w:t>C2 恒真;Overheat 惩罚仅换出 6/60;C1 在批内构造下无信息。</w:t>
      </w:r>
    </w:p>
    <w:p>
      <w:pPr>
        <w:pStyle w:val="ListBullet"/>
      </w:pPr>
      <w:r>
        <w:rPr>
          <w:b/>
        </w:rPr>
        <w:t>P10 执行层缺失</w:t>
      </w:r>
      <w:r>
        <w:t>没有持有期、止损、成本、T+1,收益无法计算。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903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_cor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0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图1  候选池 387 只的 Spearman 相关:D1 与资金/市值比 0.97,D1–D2 0.83(数据来自 2026-10-09 评分明细)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09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2_ush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图2  修正综合分按当日涨跌幅分五档:最跌与最涨两端都偏高(U 型),D4 与 Overheat 对下跌股双重"优待"</w:t>
      </w:r>
    </w:p>
    <w:p>
      <w:r>
        <w:br w:type="page"/>
      </w:r>
    </w:p>
    <w:p>
      <w:pPr>
        <w:pStyle w:val="Heading1"/>
      </w:pPr>
      <w:r>
        <w:t>2  问题清单(15 项)</w:t>
      </w:r>
    </w:p>
    <w:p>
      <w:r>
        <w:rPr>
          <w:b w:val="0"/>
          <w:i w:val="0"/>
        </w:rPr>
        <w:t>按严重度排序;"证据"全部来自你提供的 10-09 报告/Excel;"实验"对应第 4 章的回测实验编号。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37"/>
        <w:gridCol w:w="1814"/>
        <w:gridCol w:w="3175"/>
        <w:gridCol w:w="2948"/>
        <w:gridCol w:w="680"/>
      </w:tblGrid>
      <w:tr>
        <w:tc>
          <w:tcPr>
            <w:tcW w:type="dxa" w:w="567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737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5"/>
              </w:rPr>
              <w:t>严重度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5"/>
              </w:rPr>
              <w:t>调整</w:t>
            </w:r>
          </w:p>
        </w:tc>
        <w:tc>
          <w:tcPr>
            <w:tcW w:type="dxa" w:w="680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5"/>
              </w:rPr>
              <w:t>实验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P1</w:t>
            </w:r>
          </w:p>
        </w:tc>
        <w:tc>
          <w:tcPr>
            <w:tcW w:type="dxa" w:w="737"/>
            <w:shd w:val="clear" w:color="auto" w:fill="F4B6B6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致命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没有任何样本外业绩证据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方案 2026-08-12 定稿;至 2026-10-09 仅 60 个交易日试运行;C1 绝对门槛(需≥60 个历史样本)直到本期才勉强接近,期间 0 买入;跟踪表只回填观察名单,无全市场对照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先对全市场做历史回测与 IC 检验(≥2 年),再决定是否继续迭代评分;同时建立不可修改的前向记录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E1,E2,E8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P2</w:t>
            </w:r>
          </w:p>
        </w:tc>
        <w:tc>
          <w:tcPr>
            <w:tcW w:type="dxa" w:w="737"/>
            <w:shd w:val="clear" w:color="auto" w:fill="F4B6B6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致命</w:t>
            </w:r>
          </w:p>
        </w:tc>
        <w:tc>
          <w:tcPr>
            <w:tcW w:type="dxa" w:w="181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核心因子"主力净流入"的预测力未被检验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初筛、D1、D2、C4 全部围绕主力净流入;资金由数据商按单笔成交额阈值划分,买卖必有对手方;5 日累计、当日值均为顺周期的成交结果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对资金类因子做 1/3/5/10/20 日 RankIC、分层收益、行业市值中性检验;区分净流入占成交额、相对自身历史的异常程度、连续性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E1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P3</w:t>
            </w:r>
          </w:p>
        </w:tc>
        <w:tc>
          <w:tcPr>
            <w:tcW w:type="dxa" w:w="737"/>
            <w:shd w:val="clear" w:color="auto" w:fill="FFD9A8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严重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四维分高度共线,名义 4 维实为约 2.5 维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候选池 387 只:D1 与 资金/市值比 的 Spearman ρ=0.97;D1–D2 ρ=0.83;相关矩阵参与比≈2.5;D1 贡献原始分方差约 44%(名义权重 35%),D4 仅约 11%(名义 20%)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改为:先做相关性/VIF 筛选,再用滚动 IC 或岭回归定权重;C3 换为"相关矩阵条件数/有效维度"检查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E1,E2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P4</w:t>
            </w:r>
          </w:p>
        </w:tc>
        <w:tc>
          <w:tcPr>
            <w:tcW w:type="dxa" w:w="737"/>
            <w:shd w:val="clear" w:color="auto" w:fill="FFD9A8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严重</w:t>
            </w:r>
          </w:p>
        </w:tc>
        <w:tc>
          <w:tcPr>
            <w:tcW w:type="dxa" w:w="181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动量与反转混在同一个分数里(U 型)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修正综合分按当日涨跌幅五分位:最跌 20% 为 4.20、中间 3.54~3.75、最涨 20% 为 4.88;D4(距压力位空间)与涨跌幅 ρ=-0.30;观察第 1 名胜通能源当日-8.23%、5 日-17.41%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拆为两个子策略:动量延续(资金流入+趋势向上)与超跌吸筹(资金流入+超跌),各自评分、各自回测,不混合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E4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P5</w:t>
            </w:r>
          </w:p>
        </w:tc>
        <w:tc>
          <w:tcPr>
            <w:tcW w:type="dxa" w:w="737"/>
            <w:shd w:val="clear" w:color="auto" w:fill="FFD9A8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严重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维度分与双门槛全部"批内相对化"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维度分=0.5×批内Z排名+0.5×批内分位(历史分位"暂以批内替代");初筛 N 历史在 662~1682 之间波动(今日 1432);相对条件为前 15%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加入时间序列维度(相对自身 60/120 日的异常程度)、行业/市值中性残差;绝对条件改用"预期超额收益模型输出"而非历史综合分分位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E1,E4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P6</w:t>
            </w:r>
          </w:p>
        </w:tc>
        <w:tc>
          <w:tcPr>
            <w:tcW w:type="dxa" w:w="737"/>
            <w:shd w:val="clear" w:color="auto" w:fill="FFD9A8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严重</w:t>
            </w:r>
          </w:p>
        </w:tc>
        <w:tc>
          <w:tcPr>
            <w:tcW w:type="dxa" w:w="181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C1 绝对门槛设计缺陷;C2/C3 为恒真或弱检验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C1:绝对条件=历史综合分 60 分位,但综合分本身是批内排名构造,分布近似稳定→"绝对门槛"几乎不含信息,即使攒够 250 天也只会退化为纯相对;C2:Overheat 已 min-max 归一,值域必然∈[0,1]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删除 C1/C2 形式熔断,换成真实熔断:数据熔断(缺失率、单位、N 异常)、环境闸门(敞口 0~100%)、策略回撤熔断(滚动 20 日净值)、容量熔断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E6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P7</w:t>
            </w:r>
          </w:p>
        </w:tc>
        <w:tc>
          <w:tcPr>
            <w:tcW w:type="dxa" w:w="737"/>
            <w:shd w:val="clear" w:color="auto" w:fill="FFD9A8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严重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Overheat 惩罚近乎装饰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修正分=原始分-1.5×Overheat;Overheat 标准差 0.119,惩罚的截面波动仅≈0.18,而原始分标准差 1.25;前 60 名在有无惩罚下重合 54/60;Overheat 与当日涨跌幅 ρ 为正、与 D4 ρ=-0.49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取消减法惩罚;用硬过滤(5 日涨幅区间 -12%~+25%、涨停不买、BIAS20 上限)替代;如保留则用回测定系数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E2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P8</w:t>
            </w:r>
          </w:p>
        </w:tc>
        <w:tc>
          <w:tcPr>
            <w:tcW w:type="dxa" w:w="737"/>
            <w:shd w:val="clear" w:color="auto" w:fill="FFD9A8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严重</w:t>
            </w:r>
          </w:p>
        </w:tc>
        <w:tc>
          <w:tcPr>
            <w:tcW w:type="dxa" w:w="181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816/1432(57%)"主力与散户同为净流入"被当作口径异常剔除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[4] 剔除 816 只;C5 损耗率 58.7%,报告自己承认"样本存在轻度选择性偏差"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不剔除,改为特征 retail_div=(主力-小单)/成交额,检验是否有增量;如有效再作为打分项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E2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P9</w:t>
            </w:r>
          </w:p>
        </w:tc>
        <w:tc>
          <w:tcPr>
            <w:tcW w:type="dxa" w:w="737"/>
            <w:shd w:val="clear" w:color="auto" w:fill="FFD9A8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严重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宏观闸门阈值几乎永远不会触发,且缺少 A 股内生状态变量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触发条件=沪深300/中证500 单日跌&gt;5%、美国 CPI/非农/FOMC 日、重大政策;本期各项均"未触发"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改为 5 项环境分(广度、成交额分位、指数趋势、跌停占比、波动率分位)→ 敞口 0/25/50/75/100%;阈值由回测校准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E6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P10</w:t>
            </w:r>
          </w:p>
        </w:tc>
        <w:tc>
          <w:tcPr>
            <w:tcW w:type="dxa" w:w="737"/>
            <w:shd w:val="clear" w:color="auto" w:fill="FFF1BF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中</w:t>
            </w:r>
          </w:p>
        </w:tc>
        <w:tc>
          <w:tcPr>
            <w:tcW w:type="dxa" w:w="181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没有持有期、退出、仓位规则,T+1 与交易成本未建模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报告只有"观察"与 T+1/T+5/T+10 回填;组合约束仅有行业≤2 只/单票≤15%/权重≤40%;成本"0 元"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T 收盘出信号→T+1 开盘成交(涨停不买);持有 N 日 + 7%止损 + 资金流反转离场;10~20 只、单票≤10%、行业≤30%;成本按双边≥0.3% 起算并做敏感性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E3,E5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P11</w:t>
            </w:r>
          </w:p>
        </w:tc>
        <w:tc>
          <w:tcPr>
            <w:tcW w:type="dxa" w:w="737"/>
            <w:shd w:val="clear" w:color="auto" w:fill="FFF1BF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中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压力位数据缺省被当成利好,且空间指标逻辑矛盾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华鑫股份"压力位数据缺省(space=0)"却列为 D4 贡献维度 9.0;汉得信息距压力位 2.31%、TCL 中环 0.52% 仍高分入围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缺省→剔除或中性分,不得加分;D4 改为盈亏比(ATR 止损距离 vs 压力位距离),盈亏比&lt;1.5 直接排除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E2,E4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P12</w:t>
            </w:r>
          </w:p>
        </w:tc>
        <w:tc>
          <w:tcPr>
            <w:tcW w:type="dxa" w:w="737"/>
            <w:shd w:val="clear" w:color="auto" w:fill="FFF1BF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中</w:t>
            </w:r>
          </w:p>
        </w:tc>
        <w:tc>
          <w:tcPr>
            <w:tcW w:type="dxa" w:w="181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无行业/市值中性,存在隐含大市值倾斜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观察名单 60 只市值中位数 149 亿,候选池 66.5 亿;D2、D3 与市值 ρ≈0.47、0.46;行业集中在电子/计算机/有色/电力设备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因子对 [行业哑变量+ln市值] 回归取残差;组合做行业约束与风格归因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E1,E4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P13</w:t>
            </w:r>
          </w:p>
        </w:tc>
        <w:tc>
          <w:tcPr>
            <w:tcW w:type="dxa" w:w="737"/>
            <w:shd w:val="clear" w:color="auto" w:fill="FFF1BF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中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数据管线脆弱且不可回放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问财 6 次连查、"日期列自动发现"、单位核对、25 只缺失;今日资金流可能是收盘前快照;5 日累计靠逐日单字段查询累加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每日落地原始快照(parquet)+ 版本号;历史回测用同口径的本地库;上线前做"供应商口径回归测试"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数据体检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P14</w:t>
            </w:r>
          </w:p>
        </w:tc>
        <w:tc>
          <w:tcPr>
            <w:tcW w:type="dxa" w:w="737"/>
            <w:shd w:val="clear" w:color="auto" w:fill="FFF1BF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中</w:t>
            </w:r>
          </w:p>
        </w:tc>
        <w:tc>
          <w:tcPr>
            <w:tcW w:type="dxa" w:w="181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流程叙述多、验收标准少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每只入选股有长篇"入选理由";模型档位在 Pro/Flash 间降级;V4→V4.1 多次改规则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预先登记验收门槛(见《验收门槛》);记录所有试验次数并用通缩夏普折扣;规则冻结后才允许看样本外</w:t>
            </w:r>
          </w:p>
        </w:tc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E7,E8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P15</w:t>
            </w:r>
          </w:p>
        </w:tc>
        <w:tc>
          <w:tcPr>
            <w:tcW w:type="dxa" w:w="737"/>
            <w:shd w:val="clear" w:color="auto" w:fill="DDE6EE"/>
          </w:tcPr>
          <w:p>
            <w:pPr>
              <w:spacing w:after="20" w:line="269" w:lineRule="auto"/>
            </w:pPr>
            <w:r/>
            <w:r>
              <w:rPr>
                <w:b/>
                <w:sz w:val="15"/>
              </w:rPr>
              <w:t>低</w:t>
            </w:r>
          </w:p>
        </w:tc>
        <w:tc>
          <w:tcPr>
            <w:tcW w:type="dxa" w:w="1814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换手 1%~5%、市值 30~500 亿等硬边界未经检验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硬边界剔除大量强势股与大盘股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做边界敏感性(0.5%/8% 换手、20/800 亿市值)</w:t>
            </w:r>
          </w:p>
        </w:tc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sz w:val="15"/>
              </w:rPr>
              <w:t>E3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271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3_overhe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7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图3  1.5×Overheat 在前 60 名里只换出 6 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205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4_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0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图4  观察名单的市值中位数是候选池的 2.2 倍:无意中的大市值倾斜(未做市值中性)</w:t>
      </w:r>
    </w:p>
    <w:p>
      <w:pPr>
        <w:pStyle w:val="Heading1"/>
      </w:pPr>
      <w:r>
        <w:t>3  V4.2 调整方案</w:t>
      </w:r>
    </w:p>
    <w:p>
      <w:pPr>
        <w:pStyle w:val="Heading2"/>
      </w:pPr>
      <w:r>
        <w:t>3.1  设计原则</w:t>
      </w:r>
    </w:p>
    <w:p>
      <w:pPr>
        <w:pStyle w:val="ListBullet"/>
      </w:pPr>
      <w:r>
        <w:rPr>
          <w:b/>
        </w:rPr>
        <w:t>先因子后策略</w:t>
      </w:r>
      <w:r>
        <w:t>没有通过 IC 与分层检验的因子,不进入打分。</w:t>
      </w:r>
    </w:p>
    <w:p>
      <w:pPr>
        <w:pStyle w:val="ListBullet"/>
      </w:pPr>
      <w:r>
        <w:rPr>
          <w:b/>
        </w:rPr>
        <w:t>动量与反转分开</w:t>
      </w:r>
      <w:r>
        <w:t>同一资金信号在"上涨趋势中"和"超跌后"含义不同,各自一个子策略、各自回测。</w:t>
      </w:r>
    </w:p>
    <w:p>
      <w:pPr>
        <w:pStyle w:val="ListBullet"/>
      </w:pPr>
      <w:r>
        <w:rPr>
          <w:b/>
        </w:rPr>
        <w:t>硬过滤优于减法惩罚</w:t>
      </w:r>
      <w:r>
        <w:t>追高与接飞刀用可审计的区间过滤,而不是调一个无来源的系数。</w:t>
      </w:r>
    </w:p>
    <w:p>
      <w:pPr>
        <w:pStyle w:val="ListBullet"/>
      </w:pPr>
      <w:r>
        <w:rPr>
          <w:b/>
        </w:rPr>
        <w:t>熔断要降低真实风险</w:t>
      </w:r>
      <w:r>
        <w:t>数据熔断、环境闸门(敞口)、策略回撤熔断、容量熔断。</w:t>
      </w:r>
    </w:p>
    <w:p>
      <w:pPr>
        <w:pStyle w:val="ListBullet"/>
      </w:pPr>
      <w:r>
        <w:rPr>
          <w:b/>
        </w:rPr>
        <w:t>执行先于收益</w:t>
      </w:r>
      <w:r>
        <w:t>T+1、涨跌停、成本、容量进入回测,再谈净值。</w:t>
      </w:r>
    </w:p>
    <w:p>
      <w:pPr>
        <w:pStyle w:val="ListBullet"/>
      </w:pPr>
      <w:r>
        <w:rPr>
          <w:b/>
        </w:rPr>
        <w:t>预先登记、一次性样本外</w:t>
      </w:r>
      <w:r>
        <w:t>验收门槛先定;样本外规则冻结后只看一次;记录全部试验次数。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94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2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9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图5  V4.2 架构</w:t>
      </w:r>
    </w:p>
    <w:p>
      <w:pPr>
        <w:pStyle w:val="Heading2"/>
      </w:pPr>
      <w:r>
        <w:t>3.2  V4.1 → V4.2 逐项调整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154"/>
        <w:gridCol w:w="4139"/>
        <w:gridCol w:w="2098"/>
      </w:tblGrid>
      <w:tr>
        <w:tc>
          <w:tcPr>
            <w:tcW w:type="dxa" w:w="1247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V4.1 现状</w:t>
            </w:r>
          </w:p>
        </w:tc>
        <w:tc>
          <w:tcPr>
            <w:tcW w:type="dxa" w:w="4139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V4.2 调整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样本与验证</w:t>
            </w:r>
          </w:p>
        </w:tc>
        <w:tc>
          <w:tcPr>
            <w:tcW w:type="dxa" w:w="215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仅观察名单跟踪,无历史回测</w:t>
            </w:r>
          </w:p>
        </w:tc>
        <w:tc>
          <w:tcPr>
            <w:tcW w:type="dxa" w:w="4139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全市场 ≥2 年历史:单因子 IC → 分层 → 组合回测 → 样本外一次性验证</w:t>
            </w:r>
          </w:p>
        </w:tc>
        <w:tc>
          <w:tcPr>
            <w:tcW w:type="dxa" w:w="2098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没有证据的参数不应上线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信号构造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资金/市值比为核心(D1≈该因子)</w:t>
            </w:r>
          </w:p>
        </w:tc>
        <w:tc>
          <w:tcPr>
            <w:tcW w:type="dxa" w:w="413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资金流改为"净流入占成交额"、5/20 日平滑、相对自身 60 日历史的 z 值、连续净流入天数;资金/市值比仅作对照</w:t>
            </w:r>
          </w:p>
        </w:tc>
        <w:tc>
          <w:tcPr>
            <w:tcW w:type="dxa" w:w="209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去市值相关性,保留异常程度与持续性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维度结构</w:t>
            </w:r>
          </w:p>
        </w:tc>
        <w:tc>
          <w:tcPr>
            <w:tcW w:type="dxa" w:w="215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四维、权重 35/25/20/20、批内 Z+分位</w:t>
            </w:r>
          </w:p>
        </w:tc>
        <w:tc>
          <w:tcPr>
            <w:tcW w:type="dxa" w:w="4139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按 IC/岭回归滚动定权重;截面分位→行业市值中性;剔除共线因子</w:t>
            </w:r>
          </w:p>
        </w:tc>
        <w:tc>
          <w:tcPr>
            <w:tcW w:type="dxa" w:w="2098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有效维度从 2.5 提升到可解释的 3~4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动量/反转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同一分数里混合</w:t>
            </w:r>
          </w:p>
        </w:tc>
        <w:tc>
          <w:tcPr>
            <w:tcW w:type="dxa" w:w="413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两个子策略:mom(资金流入+站上20日线)与 rev(资金流入+超跌),分别回测</w:t>
            </w:r>
          </w:p>
        </w:tc>
        <w:tc>
          <w:tcPr>
            <w:tcW w:type="dxa" w:w="209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避免 U 型分数与风险暴露不清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过热惩罚</w:t>
            </w:r>
          </w:p>
        </w:tc>
        <w:tc>
          <w:tcPr>
            <w:tcW w:type="dxa" w:w="215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原始分-1.5×Overheat</w:t>
            </w:r>
          </w:p>
        </w:tc>
        <w:tc>
          <w:tcPr>
            <w:tcW w:type="dxa" w:w="4139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取消减法;硬过滤:5日涨幅∈[-12%,+25%]、涨停不买、剔除新股/ST</w:t>
            </w:r>
          </w:p>
        </w:tc>
        <w:tc>
          <w:tcPr>
            <w:tcW w:type="dxa" w:w="2098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惩罚近乎装饰,硬过滤更可控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[4] 同向剔除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剔除 57% 样本</w:t>
            </w:r>
          </w:p>
        </w:tc>
        <w:tc>
          <w:tcPr>
            <w:tcW w:type="dxa" w:w="413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不剔除;retail_div 作为候选因子检验</w:t>
            </w:r>
          </w:p>
        </w:tc>
        <w:tc>
          <w:tcPr>
            <w:tcW w:type="dxa" w:w="209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避免隐含因子与选择性偏差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双门槛/C1</w:t>
            </w:r>
          </w:p>
        </w:tc>
        <w:tc>
          <w:tcPr>
            <w:tcW w:type="dxa" w:w="215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前15%+历史 60 分位</w:t>
            </w:r>
          </w:p>
        </w:tc>
        <w:tc>
          <w:tcPr>
            <w:tcW w:type="dxa" w:w="4139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前 N 名(10~20)+ 预期超额模型阈值;C1/C2 删除</w:t>
            </w:r>
          </w:p>
        </w:tc>
        <w:tc>
          <w:tcPr>
            <w:tcW w:type="dxa" w:w="2098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绝对门槛在批内构造下无信息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宏观闸门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单日-5% / 海外事件 / 政策</w:t>
            </w:r>
          </w:p>
        </w:tc>
        <w:tc>
          <w:tcPr>
            <w:tcW w:type="dxa" w:w="413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5 项 A 股环境分 → 敞口 0~100%;事件日只降杠杆不改方向</w:t>
            </w:r>
          </w:p>
        </w:tc>
        <w:tc>
          <w:tcPr>
            <w:tcW w:type="dxa" w:w="209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更贴合 A 股状态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买卖点与持有</w:t>
            </w:r>
          </w:p>
        </w:tc>
        <w:tc>
          <w:tcPr>
            <w:tcW w:type="dxa" w:w="215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未定义</w:t>
            </w:r>
          </w:p>
        </w:tc>
        <w:tc>
          <w:tcPr>
            <w:tcW w:type="dxa" w:w="4139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T+1 开盘买(涨停不买);持有 N 日(E3 定);7% 止损或 ATR 止损;资金流 5 日转负离场</w:t>
            </w:r>
          </w:p>
        </w:tc>
        <w:tc>
          <w:tcPr>
            <w:tcW w:type="dxa" w:w="2098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可计算净收益与回撤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组合约束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行业≤2 只/单票≤15%/权重≤40%</w:t>
            </w:r>
          </w:p>
        </w:tc>
        <w:tc>
          <w:tcPr>
            <w:tcW w:type="dxa" w:w="413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10~20 只、单票≤10%、行业≤30%、单票≤20 日成交额 5%</w:t>
            </w:r>
          </w:p>
        </w:tc>
        <w:tc>
          <w:tcPr>
            <w:tcW w:type="dxa" w:w="209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分散与容量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成本</w:t>
            </w:r>
          </w:p>
        </w:tc>
        <w:tc>
          <w:tcPr>
            <w:tcW w:type="dxa" w:w="215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报告 0 元</w:t>
            </w:r>
          </w:p>
        </w:tc>
        <w:tc>
          <w:tcPr>
            <w:tcW w:type="dxa" w:w="4139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佣金万2.5×2、印花税 0.05%(卖)、过户费 0.001%、滑点≥10bp+冲击</w:t>
            </w:r>
          </w:p>
        </w:tc>
        <w:tc>
          <w:tcPr>
            <w:tcW w:type="dxa" w:w="2098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净值口径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熔断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C1~C6(多为恒真)</w:t>
            </w:r>
          </w:p>
        </w:tc>
        <w:tc>
          <w:tcPr>
            <w:tcW w:type="dxa" w:w="413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数据熔断 + 环境闸门 + 策略回撤熔断(20 日净值-X%减半,-Y%暂停)+ 容量熔断</w:t>
            </w:r>
          </w:p>
        </w:tc>
        <w:tc>
          <w:tcPr>
            <w:tcW w:type="dxa" w:w="209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熔断应降低真实风险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数据治理</w:t>
            </w:r>
          </w:p>
        </w:tc>
        <w:tc>
          <w:tcPr>
            <w:tcW w:type="dxa" w:w="215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问财快照+本地K线</w:t>
            </w:r>
          </w:p>
        </w:tc>
        <w:tc>
          <w:tcPr>
            <w:tcW w:type="dxa" w:w="4139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原始快照落库+版本号;点时股票池(含退市/ST 历史);口径回归测试</w:t>
            </w:r>
          </w:p>
        </w:tc>
        <w:tc>
          <w:tcPr>
            <w:tcW w:type="dxa" w:w="2098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可回放、可审计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评估闭环</w:t>
            </w:r>
          </w:p>
        </w:tc>
        <w:tc>
          <w:tcPr>
            <w:tcW w:type="dxa" w:w="215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T+1/T+5/T+10 回填(仅观察名单)</w:t>
            </w:r>
          </w:p>
        </w:tc>
        <w:tc>
          <w:tcPr>
            <w:tcW w:type="dxa" w:w="4139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全池信号登记 + 与基准/随机组合对比 + 滚动 IC 监控 + 衰减报警</w:t>
            </w:r>
          </w:p>
        </w:tc>
        <w:tc>
          <w:tcPr>
            <w:tcW w:type="dxa" w:w="209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能发现因子失效</w:t>
            </w:r>
          </w:p>
        </w:tc>
      </w:tr>
    </w:tbl>
    <w:p>
      <w:pPr>
        <w:spacing w:after="40"/>
      </w:pPr>
    </w:p>
    <w:p>
      <w:pPr>
        <w:pStyle w:val="Heading2"/>
      </w:pPr>
      <w:r>
        <w:t>3.3  V4.2 默认规则(待回测校准的初值)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6803"/>
        <w:gridCol w:w="1531"/>
      </w:tblGrid>
      <w:tr>
        <w:tc>
          <w:tcPr>
            <w:tcW w:type="dxa" w:w="1304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03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默认设定(初值,非结论)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校准实验</w:t>
            </w:r>
          </w:p>
        </w:tc>
      </w:tr>
      <w:tr>
        <w:tc>
          <w:tcPr>
            <w:tcW w:type="dxa" w:w="1304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股票池</w:t>
            </w:r>
          </w:p>
        </w:tc>
        <w:tc>
          <w:tcPr>
            <w:tcW w:type="dxa" w:w="6803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非 ST;上市&gt;120 日;市值 30~500 亿;20 日均成交额≥1 亿;非停牌;涨停不买</w:t>
            </w:r>
          </w:p>
        </w:tc>
        <w:tc>
          <w:tcPr>
            <w:tcW w:type="dxa" w:w="153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E3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过滤</w:t>
            </w:r>
          </w:p>
        </w:tc>
        <w:tc>
          <w:tcPr>
            <w:tcW w:type="dxa" w:w="6803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5 日涨幅∈[-12%,+25%];mom:5 日资金累计&gt;0 且收盘&gt;MA20;rev:5 日资金累计&gt;0 且 BIAS20&lt;-8% 且 5 日跌幅&lt;0</w:t>
            </w:r>
          </w:p>
        </w:tc>
        <w:tc>
          <w:tcPr>
            <w:tcW w:type="dxa" w:w="153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E4</w:t>
            </w:r>
          </w:p>
        </w:tc>
      </w:tr>
      <w:tr>
        <w:tc>
          <w:tcPr>
            <w:tcW w:type="dxa" w:w="1304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因子(mom)</w:t>
            </w:r>
          </w:p>
        </w:tc>
        <w:tc>
          <w:tcPr>
            <w:tcW w:type="dxa" w:w="6803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净流入占成交额 5 日 30%、相对自身 60 日 z 20%、连续净流入天数 10%、主力-小单背离 10%、20 日趋势 10%、换手相对强度 -5%、ATR% -15%;行业+市值中性后截面分位加权</w:t>
            </w:r>
          </w:p>
        </w:tc>
        <w:tc>
          <w:tcPr>
            <w:tcW w:type="dxa" w:w="153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E1/E4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环境闸门</w:t>
            </w:r>
          </w:p>
        </w:tc>
        <w:tc>
          <w:tcPr>
            <w:tcW w:type="dxa" w:w="6803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5 项各 1 分:广度(站上 20 日线)≥35%、成交额 250 日分位≥30%、指数&gt;MA60、跌停占比≤2%、波动率分位≤90% → 敞口 0/0/25/50/75/100%</w:t>
            </w:r>
          </w:p>
        </w:tc>
        <w:tc>
          <w:tcPr>
            <w:tcW w:type="dxa" w:w="153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E6</w:t>
            </w:r>
          </w:p>
        </w:tc>
      </w:tr>
      <w:tr>
        <w:tc>
          <w:tcPr>
            <w:tcW w:type="dxa" w:w="1304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组合</w:t>
            </w:r>
          </w:p>
        </w:tc>
        <w:tc>
          <w:tcPr>
            <w:tcW w:type="dxa" w:w="6803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Top10(行业≤2 只);单票≤15%(分仓内);单票≤20 日成交额 5%</w:t>
            </w:r>
          </w:p>
        </w:tc>
        <w:tc>
          <w:tcPr>
            <w:tcW w:type="dxa" w:w="153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E3/E5</w:t>
            </w:r>
          </w:p>
        </w:tc>
      </w:tr>
      <w:tr>
        <w:tc>
          <w:tcPr>
            <w:tcW w:type="dxa" w:w="130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持有与退出</w:t>
            </w:r>
          </w:p>
        </w:tc>
        <w:tc>
          <w:tcPr>
            <w:tcW w:type="dxa" w:w="6803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持有 5 个隔夜;7% 止损(次日起、最低价触发,跳空按开盘);5 日资金累计转负离场(待加入);策略 20 日净值回撤熔断</w:t>
            </w:r>
          </w:p>
        </w:tc>
        <w:tc>
          <w:tcPr>
            <w:tcW w:type="dxa" w:w="153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E3/E7</w:t>
            </w:r>
          </w:p>
        </w:tc>
      </w:tr>
      <w:tr>
        <w:tc>
          <w:tcPr>
            <w:tcW w:type="dxa" w:w="1304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成本</w:t>
            </w:r>
          </w:p>
        </w:tc>
        <w:tc>
          <w:tcPr>
            <w:tcW w:type="dxa" w:w="6803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佣金万 2.5×2、印花税 0.05%(卖)、过户费 0.001%×2、滑点 10bp + 冲击 10bp×参与率</w:t>
            </w:r>
          </w:p>
        </w:tc>
        <w:tc>
          <w:tcPr>
            <w:tcW w:type="dxa" w:w="153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E5</w:t>
            </w:r>
          </w:p>
        </w:tc>
      </w:tr>
    </w:tbl>
    <w:p>
      <w:pPr>
        <w:spacing w:after="40"/>
      </w:pPr>
    </w:p>
    <w:p>
      <w:pPr>
        <w:pStyle w:val="Heading1"/>
      </w:pPr>
      <w:r>
        <w:t>4  回测方案</w:t>
      </w:r>
    </w:p>
    <w:p>
      <w:pPr>
        <w:pStyle w:val="Heading2"/>
      </w:pPr>
      <w:r>
        <w:t>4.1  目标与原则</w:t>
      </w:r>
    </w:p>
    <w:p>
      <w:r>
        <w:rPr>
          <w:b w:val="0"/>
          <w:i w:val="0"/>
        </w:rPr>
        <w:t>回答三个问题:(1) V4.1 的信号有没有预测力,收益来自哪里?(2) V4.2 的改动是否带来可复现的改进?(3) 扣除成本、考虑 T+1 与容量之后是否仍然盈利,且通过统计显著性与稳健性检验?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18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2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图6  时序与样本划分</w:t>
      </w:r>
    </w:p>
    <w:p>
      <w:pPr>
        <w:pStyle w:val="ListBullet"/>
      </w:pPr>
      <w:r>
        <w:rPr>
          <w:b/>
        </w:rPr>
        <w:t>点时数据</w:t>
      </w:r>
      <w:r>
        <w:t>所有字段取 T 日收盘后可得值;股票池含退市/ST/停牌;不用最新市值/行业回填历史。</w:t>
      </w:r>
    </w:p>
    <w:p>
      <w:pPr>
        <w:pStyle w:val="ListBullet"/>
      </w:pPr>
      <w:r>
        <w:rPr>
          <w:b/>
        </w:rPr>
        <w:t>成交假设</w:t>
      </w:r>
      <w:r>
        <w:t>T+1 开盘价成交;涨停开盘买不到、停牌无法成交、跌停锁死顺延卖出;次日起可卖。</w:t>
      </w:r>
    </w:p>
    <w:p>
      <w:pPr>
        <w:pStyle w:val="ListBullet"/>
      </w:pPr>
      <w:r>
        <w:rPr>
          <w:b/>
        </w:rPr>
        <w:t>基准</w:t>
      </w:r>
      <w:r>
        <w:t>中证 500 与中证 1000 等权混合(与 30~500 亿市值池相近);同时报告全 A 等权。</w:t>
      </w:r>
    </w:p>
    <w:p>
      <w:pPr>
        <w:pStyle w:val="ListBullet"/>
      </w:pPr>
      <w:r>
        <w:rPr>
          <w:b/>
        </w:rPr>
        <w:t>区间</w:t>
      </w:r>
      <w:r>
        <w:t>训练 2021-01~2024-12(或库内最早)、验证 2025、样本外 2026-01-05~最新;样本外只看一次。</w:t>
      </w:r>
    </w:p>
    <w:p>
      <w:pPr>
        <w:pStyle w:val="ListBullet"/>
      </w:pPr>
      <w:r>
        <w:rPr>
          <w:b/>
        </w:rPr>
        <w:t>统计</w:t>
      </w:r>
      <w:r>
        <w:t>Newey-West t、块自助法、通缩夏普(用总试验次数)、随机打乱与信号延迟检验。</w:t>
      </w:r>
    </w:p>
    <w:p>
      <w:pPr>
        <w:pStyle w:val="Heading2"/>
      </w:pPr>
      <w:r>
        <w:t>4.2  实验矩阵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4195"/>
        <w:gridCol w:w="3402"/>
      </w:tblGrid>
      <w:tr>
        <w:tc>
          <w:tcPr>
            <w:tcW w:type="dxa" w:w="567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预先登记的假设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E1</w:t>
            </w:r>
          </w:p>
        </w:tc>
        <w:tc>
          <w:tcPr>
            <w:tcW w:type="dxa" w:w="147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单因子体检</w:t>
            </w:r>
          </w:p>
        </w:tc>
        <w:tc>
          <w:tcPr>
            <w:tcW w:type="dxa" w:w="4195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H1:资金占成交额比的 5 日 RankIC&gt;0.02;H2:V4.1 修正综合分在中性化后 IC 显著低于其子因子;H3:D3/D4 的 IC 为负或不显著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中性后 5 日 RankIC≥0.02 且 NW-t≥2.5、单调性≥0.7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E2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V4.1 复刻与组件消融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H4:去掉 Overheat 几乎无变化;H5:去掉 D4 改善;H6:去掉[4]剔除改善;H7:前15%→前30% 改善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识别"负贡献组件"(去掉后夏普提升&gt;0.1)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E3</w:t>
            </w:r>
          </w:p>
        </w:tc>
        <w:tc>
          <w:tcPr>
            <w:tcW w:type="dxa" w:w="147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持有期/止损/TopN 网格</w:t>
            </w:r>
          </w:p>
        </w:tc>
        <w:tc>
          <w:tcPr>
            <w:tcW w:type="dxa" w:w="4195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H8:3~10 日最优;H9:止损 5~8% 改善回撤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最优点邻域(±1 档)夏普≥最优的 70%(无尖峰)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E4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V4.2 变体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H10:拆分后 mom 子策略回撤低于 V4.1;H11:中性化降低风格暴露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优于 V4.1 且回撤更小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E5</w:t>
            </w:r>
          </w:p>
        </w:tc>
        <w:tc>
          <w:tcPr>
            <w:tcW w:type="dxa" w:w="147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成本与容量</w:t>
            </w:r>
          </w:p>
        </w:tc>
        <w:tc>
          <w:tcPr>
            <w:tcW w:type="dxa" w:w="4195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H12:滑点 20bp 时超额仍为正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滑点20bp 下年化超额≥6%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E6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环境闸门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H13:闸门降低最大回撤≥20% 且收益损失&lt;30%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回撤改善且夏普不降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E7</w:t>
            </w:r>
          </w:p>
        </w:tc>
        <w:tc>
          <w:tcPr>
            <w:tcW w:type="dxa" w:w="147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滚动样本外</w:t>
            </w:r>
          </w:p>
        </w:tc>
        <w:tc>
          <w:tcPr>
            <w:tcW w:type="dxa" w:w="4195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H14:训练期选优参数在测试期保持正超额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样本外夏普≥0.6×样本内,DSR概率≥0.9</w:t>
            </w:r>
          </w:p>
        </w:tc>
      </w:tr>
      <w:tr>
        <w:tc>
          <w:tcPr>
            <w:tcW w:type="dxa" w:w="56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E8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样本内/外与自助法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H15:2026-01-05 起样本外超额&gt;0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夏普5分位&gt;0 或超额t&gt;2</w:t>
            </w:r>
          </w:p>
        </w:tc>
      </w:tr>
      <w:tr>
        <w:tc>
          <w:tcPr>
            <w:tcW w:type="dxa" w:w="56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E9</w:t>
            </w:r>
          </w:p>
        </w:tc>
        <w:tc>
          <w:tcPr>
            <w:tcW w:type="dxa" w:w="1474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安慰剂与信号延迟</w:t>
            </w:r>
          </w:p>
        </w:tc>
        <w:tc>
          <w:tcPr>
            <w:tcW w:type="dxa" w:w="4195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H16:随机打乱得分得不到同等收益;延迟1日仍保留≥50% 超额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真实年化&gt;随机 95 分位;延迟1日保留≥50%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85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2_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B6675"/>
          <w:sz w:val="18"/>
        </w:rPr>
        <w:t>图7  实验流程与停止规则</w:t>
      </w:r>
    </w:p>
    <w:p>
      <w:pPr>
        <w:pStyle w:val="Heading2"/>
      </w:pPr>
      <w:r>
        <w:t>4.3  验收门槛(预先登记)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361"/>
        <w:gridCol w:w="3628"/>
        <w:gridCol w:w="1020"/>
        <w:gridCol w:w="2948"/>
      </w:tblGrid>
      <w:tr>
        <w:tc>
          <w:tcPr>
            <w:tcW w:type="dxa" w:w="680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628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阈值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G1</w:t>
            </w:r>
          </w:p>
        </w:tc>
        <w:tc>
          <w:tcPr>
            <w:tcW w:type="dxa" w:w="136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因子有效</w:t>
            </w:r>
          </w:p>
        </w:tc>
        <w:tc>
          <w:tcPr>
            <w:tcW w:type="dxa" w:w="362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V4.2 核心因子 5 日 RankIC(行业市值中性)</w:t>
            </w:r>
          </w:p>
        </w:tc>
        <w:tc>
          <w:tcPr>
            <w:tcW w:type="dxa" w:w="1020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0.02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且 NW-t≥2.5、五分层单调性≥0.7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G2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样本外一致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样本外夏普 ÷ 样本内夏普</w:t>
            </w:r>
          </w:p>
        </w:tc>
        <w:tc>
          <w:tcPr>
            <w:tcW w:type="dxa" w:w="102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60%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同口径、规则冻结后</w:t>
            </w:r>
          </w:p>
        </w:tc>
      </w:tr>
      <w:tr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G3</w:t>
            </w:r>
          </w:p>
        </w:tc>
        <w:tc>
          <w:tcPr>
            <w:tcW w:type="dxa" w:w="136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成本后盈利</w:t>
            </w:r>
          </w:p>
        </w:tc>
        <w:tc>
          <w:tcPr>
            <w:tcW w:type="dxa" w:w="362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滑点 20bp 下年化超额(相对基准)</w:t>
            </w:r>
          </w:p>
        </w:tc>
        <w:tc>
          <w:tcPr>
            <w:tcW w:type="dxa" w:w="1020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6%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基准=中证500/1000 等权混合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G4a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风险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最大回撤上限</w:t>
            </w:r>
          </w:p>
        </w:tc>
        <w:tc>
          <w:tcPr>
            <w:tcW w:type="dxa" w:w="102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-20%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组合口径,含止损与闸门</w:t>
            </w:r>
          </w:p>
        </w:tc>
      </w:tr>
      <w:tr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G4b</w:t>
            </w:r>
          </w:p>
        </w:tc>
        <w:tc>
          <w:tcPr>
            <w:tcW w:type="dxa" w:w="136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统计显著</w:t>
            </w:r>
          </w:p>
        </w:tc>
        <w:tc>
          <w:tcPr>
            <w:tcW w:type="dxa" w:w="362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通缩夏普概率</w:t>
            </w:r>
          </w:p>
        </w:tc>
        <w:tc>
          <w:tcPr>
            <w:tcW w:type="dxa" w:w="1020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90%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用全部试验次数折扣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G4c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安慰剂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真实年化 − 随机打乱95分位 &gt; 0</w:t>
            </w:r>
          </w:p>
        </w:tc>
        <w:tc>
          <w:tcPr>
            <w:tcW w:type="dxa" w:w="102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0.0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E9</w:t>
            </w:r>
          </w:p>
        </w:tc>
      </w:tr>
      <w:tr>
        <w:tc>
          <w:tcPr>
            <w:tcW w:type="dxa" w:w="680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G4d</w:t>
            </w:r>
          </w:p>
        </w:tc>
        <w:tc>
          <w:tcPr>
            <w:tcW w:type="dxa" w:w="1361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信号延迟</w:t>
            </w:r>
          </w:p>
        </w:tc>
        <w:tc>
          <w:tcPr>
            <w:tcW w:type="dxa" w:w="362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延迟1日保留的超额比例</w:t>
            </w:r>
          </w:p>
        </w:tc>
        <w:tc>
          <w:tcPr>
            <w:tcW w:type="dxa" w:w="1020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50%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E9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7"/>
              </w:rPr>
              <w:t>G4e</w:t>
            </w:r>
          </w:p>
        </w:tc>
        <w:tc>
          <w:tcPr>
            <w:tcW w:type="dxa" w:w="136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参数平台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邻域夏普 ÷ 最优夏普</w:t>
            </w:r>
          </w:p>
        </w:tc>
        <w:tc>
          <w:tcPr>
            <w:tcW w:type="dxa" w:w="1020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70%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7"/>
              </w:rPr>
              <w:t>E3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E3F1F4"/>
          </w:tcPr>
          <w:p>
            <w:r/>
            <w:r>
              <w:rPr>
                <w:sz w:val="20"/>
              </w:rPr>
              <w:t>规则:全部 PASS 才建议进入 ≥3 个月的前向模拟盘;任一 FAIL 回到 E1/E2 找根因,不得放宽阈值。阈值是建议初值,你可按风险偏好调整,但必须在看到样本外结果之前确定;配套 Excel《验收门槛》自动判定 PASS/FAIL。</w:t>
            </w:r>
          </w:p>
        </w:tc>
      </w:tr>
    </w:tbl>
    <w:p>
      <w:pPr>
        <w:spacing w:after="40"/>
      </w:pPr>
    </w:p>
    <w:p>
      <w:pPr>
        <w:pStyle w:val="Heading2"/>
      </w:pPr>
      <w:r>
        <w:t>4.4  数据需求(本地库)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737"/>
        <w:gridCol w:w="3402"/>
        <w:gridCol w:w="2891"/>
      </w:tblGrid>
      <w:tr>
        <w:tc>
          <w:tcPr>
            <w:tcW w:type="dxa" w:w="907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37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单位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点时规则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6"/>
              </w:rPr>
              <w:t>检验</w:t>
            </w:r>
          </w:p>
        </w:tc>
      </w:tr>
      <w:tr>
        <w:tc>
          <w:tcPr>
            <w:tcW w:type="dxa" w:w="90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日K</w:t>
            </w:r>
          </w:p>
        </w:tc>
        <w:tc>
          <w:tcPr>
            <w:tcW w:type="dxa" w:w="170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date,code</w:t>
            </w:r>
          </w:p>
        </w:tc>
        <w:tc>
          <w:tcPr>
            <w:tcW w:type="dxa" w:w="73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按交易日对齐;含退市、ST、停牌记录</w:t>
            </w:r>
          </w:p>
        </w:tc>
        <w:tc>
          <w:tcPr>
            <w:tcW w:type="dxa" w:w="289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股票数应远大于现存 A 股数;停牌日 volume=0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日K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open/high/low/close</w:t>
            </w:r>
          </w:p>
        </w:tc>
        <w:tc>
          <w:tcPr>
            <w:tcW w:type="dxa" w:w="73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元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未复权价用于涨跌停/成交判断;复权价用于收益</w:t>
            </w:r>
          </w:p>
        </w:tc>
        <w:tc>
          <w:tcPr>
            <w:tcW w:type="dxa" w:w="289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涨跌幅&gt;25% 占比≈0(排除新股首日)</w:t>
            </w:r>
          </w:p>
        </w:tc>
      </w:tr>
      <w:tr>
        <w:tc>
          <w:tcPr>
            <w:tcW w:type="dxa" w:w="90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日K</w:t>
            </w:r>
          </w:p>
        </w:tc>
        <w:tc>
          <w:tcPr>
            <w:tcW w:type="dxa" w:w="170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adj_factor</w:t>
            </w:r>
          </w:p>
        </w:tc>
        <w:tc>
          <w:tcPr>
            <w:tcW w:type="dxa" w:w="73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后复权累计因子;缺失则全 1</w:t>
            </w:r>
          </w:p>
        </w:tc>
        <w:tc>
          <w:tcPr>
            <w:tcW w:type="dxa" w:w="289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除权日前后收益连续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日K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volume/amount</w:t>
            </w:r>
          </w:p>
        </w:tc>
        <w:tc>
          <w:tcPr>
            <w:tcW w:type="dxa" w:w="73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股/元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amount 用于 20 日均成交额与容量</w:t>
            </w:r>
          </w:p>
        </w:tc>
        <w:tc>
          <w:tcPr>
            <w:tcW w:type="dxa" w:w="289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amount≈volume×均价</w:t>
            </w:r>
          </w:p>
        </w:tc>
      </w:tr>
      <w:tr>
        <w:tc>
          <w:tcPr>
            <w:tcW w:type="dxa" w:w="90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日K</w:t>
            </w:r>
          </w:p>
        </w:tc>
        <w:tc>
          <w:tcPr>
            <w:tcW w:type="dxa" w:w="170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turnover</w:t>
            </w:r>
          </w:p>
        </w:tc>
        <w:tc>
          <w:tcPr>
            <w:tcW w:type="dxa" w:w="73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与所用市值口径一致(流通)</w:t>
            </w:r>
          </w:p>
        </w:tc>
        <w:tc>
          <w:tcPr>
            <w:tcW w:type="dxa" w:w="289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1%~5% 区间占比合理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日K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mktcap</w:t>
            </w:r>
          </w:p>
        </w:tc>
        <w:tc>
          <w:tcPr>
            <w:tcW w:type="dxa" w:w="73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亿元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T 日收盘后可得;流通市值 vs 总市值须与实盘一致</w:t>
            </w:r>
          </w:p>
        </w:tc>
        <w:tc>
          <w:tcPr>
            <w:tcW w:type="dxa" w:w="289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不得用最新市值回填历史</w:t>
            </w:r>
          </w:p>
        </w:tc>
      </w:tr>
      <w:tr>
        <w:tc>
          <w:tcPr>
            <w:tcW w:type="dxa" w:w="90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日K</w:t>
            </w:r>
          </w:p>
        </w:tc>
        <w:tc>
          <w:tcPr>
            <w:tcW w:type="dxa" w:w="170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is_st/susp</w:t>
            </w:r>
          </w:p>
        </w:tc>
        <w:tc>
          <w:tcPr>
            <w:tcW w:type="dxa" w:w="73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bool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按当日状态(历史 ST 标记),不是现状</w:t>
            </w:r>
          </w:p>
        </w:tc>
        <w:tc>
          <w:tcPr>
            <w:tcW w:type="dxa" w:w="289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回测中 ST 样本占比随年份变化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资金流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main_net</w:t>
            </w:r>
          </w:p>
        </w:tc>
        <w:tc>
          <w:tcPr>
            <w:tcW w:type="dxa" w:w="73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元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T 日收盘终值;口径(大单阈值)全历史一致</w:t>
            </w:r>
          </w:p>
        </w:tc>
        <w:tc>
          <w:tcPr>
            <w:tcW w:type="dxa" w:w="289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|main_net|≤amount;与 small_net 符号分布合理</w:t>
            </w:r>
          </w:p>
        </w:tc>
      </w:tr>
      <w:tr>
        <w:tc>
          <w:tcPr>
            <w:tcW w:type="dxa" w:w="90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资金流</w:t>
            </w:r>
          </w:p>
        </w:tc>
        <w:tc>
          <w:tcPr>
            <w:tcW w:type="dxa" w:w="170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small_net</w:t>
            </w:r>
          </w:p>
        </w:tc>
        <w:tc>
          <w:tcPr>
            <w:tcW w:type="dxa" w:w="73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元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散户代理(小单);与实盘一致</w:t>
            </w:r>
          </w:p>
        </w:tc>
        <w:tc>
          <w:tcPr>
            <w:tcW w:type="dxa" w:w="289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行业</w:t>
            </w:r>
          </w:p>
        </w:tc>
        <w:tc>
          <w:tcPr>
            <w:tcW w:type="dxa" w:w="170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sw_l1</w:t>
            </w:r>
          </w:p>
        </w:tc>
        <w:tc>
          <w:tcPr>
            <w:tcW w:type="dxa" w:w="73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点时申万一级;至少用最新分类并标注</w:t>
            </w:r>
          </w:p>
        </w:tc>
        <w:tc>
          <w:tcPr>
            <w:tcW w:type="dxa" w:w="2891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无大量"未知"</w:t>
            </w:r>
          </w:p>
        </w:tc>
      </w:tr>
      <w:tr>
        <w:tc>
          <w:tcPr>
            <w:tcW w:type="dxa" w:w="907"/>
          </w:tcPr>
          <w:p>
            <w:pPr>
              <w:spacing w:after="20" w:line="269" w:lineRule="auto"/>
            </w:pPr>
            <w:r/>
            <w:r>
              <w:rPr>
                <w:b/>
                <w:sz w:val="16"/>
              </w:rPr>
              <w:t>指数</w:t>
            </w:r>
          </w:p>
        </w:tc>
        <w:tc>
          <w:tcPr>
            <w:tcW w:type="dxa" w:w="170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close</w:t>
            </w:r>
          </w:p>
        </w:tc>
        <w:tc>
          <w:tcPr>
            <w:tcW w:type="dxa" w:w="737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点</w:t>
            </w:r>
          </w:p>
        </w:tc>
        <w:tc>
          <w:tcPr>
            <w:tcW w:type="dxa" w:w="3402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沪深300/中证500/中证1000/等权全A</w:t>
            </w:r>
          </w:p>
        </w:tc>
        <w:tc>
          <w:tcPr>
            <w:tcW w:type="dxa" w:w="2891"/>
          </w:tcPr>
          <w:p>
            <w:pPr>
              <w:spacing w:after="20" w:line="269" w:lineRule="auto"/>
            </w:pPr>
            <w:r/>
            <w:r>
              <w:rPr>
                <w:sz w:val="16"/>
              </w:rPr>
              <w:t>用于闸门与基准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B00020"/>
        </w:rPr>
        <w:t>若本地库的资金流历史不足 2 年:E1~E8 无法给出可靠结论,应先把历史补齐(同一口径),或改为"每日全池快照 + 前向跟踪";不得用估算数据补历史。</w:t>
      </w:r>
    </w:p>
    <w:p>
      <w:pPr>
        <w:pStyle w:val="Heading2"/>
      </w:pPr>
      <w:r>
        <w:t>4.5  防坑清单</w:t>
      </w:r>
    </w:p>
    <w:p>
      <w:pPr>
        <w:pStyle w:val="ListBullet"/>
      </w:pPr>
      <w:r>
        <w:rPr>
          <w:b/>
        </w:rPr>
        <w:t>幸存者偏差</w:t>
      </w:r>
      <w:r>
        <w:t>股票池必须含退市与 ST 历史。</w:t>
      </w:r>
    </w:p>
    <w:p>
      <w:pPr>
        <w:pStyle w:val="ListBullet"/>
      </w:pPr>
      <w:r>
        <w:rPr>
          <w:b/>
        </w:rPr>
        <w:t>前视偏差</w:t>
      </w:r>
      <w:r>
        <w:t>信号只用 T 日及以前;已用截断不变性测试证明引擎与因子无泄漏(真实数据请重做)。</w:t>
      </w:r>
    </w:p>
    <w:p>
      <w:pPr>
        <w:pStyle w:val="ListBullet"/>
      </w:pPr>
      <w:r>
        <w:rPr>
          <w:b/>
        </w:rPr>
        <w:t>复权</w:t>
      </w:r>
      <w:r>
        <w:t>收益用复权价,涨跌停/成交用未复权价。</w:t>
      </w:r>
    </w:p>
    <w:p>
      <w:pPr>
        <w:pStyle w:val="ListBullet"/>
      </w:pPr>
      <w:r>
        <w:rPr>
          <w:b/>
        </w:rPr>
        <w:t>停牌/涨跌停</w:t>
      </w:r>
      <w:r>
        <w:t>买不到的单要剔除,卖不出的要顺延,不能假设成交。</w:t>
      </w:r>
    </w:p>
    <w:p>
      <w:pPr>
        <w:pStyle w:val="ListBullet"/>
      </w:pPr>
      <w:r>
        <w:rPr>
          <w:b/>
        </w:rPr>
        <w:t>参数过拟合</w:t>
      </w:r>
      <w:r>
        <w:t>看平台区而非尖峰;记录试验次数;通缩夏普折扣。</w:t>
      </w:r>
    </w:p>
    <w:p>
      <w:pPr>
        <w:pStyle w:val="ListBullet"/>
      </w:pPr>
      <w:r>
        <w:rPr>
          <w:b/>
        </w:rPr>
        <w:t>容量</w:t>
      </w:r>
      <w:r>
        <w:t>5% 成交额上限,并给 500 万~10 亿规模的衰减曲线。</w:t>
      </w:r>
    </w:p>
    <w:p>
      <w:pPr>
        <w:pStyle w:val="ListBullet"/>
      </w:pPr>
      <w:r>
        <w:rPr>
          <w:b/>
        </w:rPr>
        <w:t>成本</w:t>
      </w:r>
      <w:r>
        <w:t>往返≥0.3%,年换手 40 倍时成本拖累≈6%/年(见 Excel《成本模型》)。</w:t>
      </w:r>
    </w:p>
    <w:p>
      <w:pPr>
        <w:pStyle w:val="Heading1"/>
      </w:pPr>
      <w:r>
        <w:t>5  如何交给本地 Claude Code 执行</w:t>
      </w:r>
    </w:p>
    <w:p>
      <w:r>
        <w:rPr>
          <w:b w:val="0"/>
          <w:i w:val="0"/>
        </w:rPr>
        <w:t>backtest/ 目录是一个可直接运行的回测框架,配套 CLAUDE_CODE_TASK.md 是逐步任务书。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5443"/>
        <w:gridCol w:w="2948"/>
      </w:tblGrid>
      <w:tr>
        <w:tc>
          <w:tcPr>
            <w:tcW w:type="dxa" w:w="1247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443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产出 / 门槛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1 摸库</w:t>
            </w:r>
          </w:p>
        </w:tc>
        <w:tc>
          <w:tcPr>
            <w:tcW w:type="dxa" w:w="5443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探查日K/资金流/行业/指数表,确认单位、区间、是否含退市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db_schema.md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2 配置</w:t>
            </w:r>
          </w:p>
        </w:tc>
        <w:tc>
          <w:tcPr>
            <w:tcW w:type="dxa" w:w="5443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复制 config.example.yaml → config.yaml,映射真实列名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数据体检达标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3 对齐</w:t>
            </w:r>
          </w:p>
        </w:tc>
        <w:tc>
          <w:tcPr>
            <w:tcW w:type="dxa" w:w="5443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把生产评分封装成 V41_HOOK,前 60 名重合率≥95%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消除复刻偏差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4 自检</w:t>
            </w:r>
          </w:p>
        </w:tc>
        <w:tc>
          <w:tcPr>
            <w:tcW w:type="dxa" w:w="5443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python selftest.py 全部 PASS;真实数据重做截断不变性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无前视证明</w:t>
            </w:r>
          </w:p>
        </w:tc>
      </w:tr>
      <w:tr>
        <w:tc>
          <w:tcPr>
            <w:tcW w:type="dxa" w:w="124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5 实验</w:t>
            </w:r>
          </w:p>
        </w:tc>
        <w:tc>
          <w:tcPr>
            <w:tcW w:type="dxa" w:w="5443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E1→E9 严格顺序,每步有停止规则</w:t>
            </w:r>
          </w:p>
        </w:tc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各实验表、净值图</w:t>
            </w:r>
          </w:p>
        </w:tc>
      </w:tr>
      <w:tr>
        <w:tc>
          <w:tcPr>
            <w:tcW w:type="dxa" w:w="1247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6 验收</w:t>
            </w:r>
          </w:p>
        </w:tc>
        <w:tc>
          <w:tcPr>
            <w:tcW w:type="dxa" w:w="5443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填《结果登记》,《验收门槛》自动判定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回测报告.md + PASS/FAIL</w:t>
            </w:r>
          </w:p>
        </w:tc>
      </w:tr>
    </w:tbl>
    <w:p>
      <w:pPr>
        <w:spacing w:after="40"/>
      </w:pPr>
    </w:p>
    <w:p>
      <w:pPr>
        <w:pStyle w:val="Heading2"/>
      </w:pPr>
      <w:r>
        <w:t>5.1  框架已验证的内容(合成数据自检)</w:t>
      </w:r>
    </w:p>
    <w:p>
      <w:pPr>
        <w:pStyle w:val="ListBullet"/>
      </w:pPr>
      <w:r>
        <w:t>植入的资金信号能被 IC 检出(IC≈0.058、NW-t≈12.9);无植入时 IC 不显著(t≈0.8)。</w:t>
      </w:r>
    </w:p>
    <w:p>
      <w:pPr>
        <w:pStyle w:val="ListBullet"/>
      </w:pPr>
      <w:r>
        <w:t>V4.1 与 V4.2 的信号都通过截断不变性测试(无前视)。</w:t>
      </w:r>
    </w:p>
    <w:p>
      <w:pPr>
        <w:pStyle w:val="ListBullet"/>
      </w:pPr>
      <w:r>
        <w:t>全部交易满足:信号日&lt;入场日&lt;退出日;涨停开盘无成交;滑点 0bp 的收益高于 30bp。</w:t>
      </w:r>
    </w:p>
    <w:p>
      <w:pPr>
        <w:pStyle w:val="ListBullet"/>
      </w:pPr>
      <w:r>
        <w:t>同日随机打乱得分后收益显著低于真实信号。</w:t>
      </w:r>
    </w:p>
    <w:p>
      <w:pPr>
        <w:pStyle w:val="ListBullet"/>
      </w:pPr>
      <w:r>
        <w:t>E1~E9 全部实验在合成数据上端到端跑通(约 3.5 分钟,300 只×520 日)。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6D6"/>
          </w:tcPr>
          <w:p>
            <w:r/>
            <w:r>
              <w:rPr>
                <w:sz w:val="20"/>
              </w:rPr>
              <w:t>重要:以上只证明"机器没坏"。合成数据里的任何收益数字都不是对 V4.1/V4.2 的证据;真实结论必须来自你本地的历史数据。</w:t>
            </w:r>
          </w:p>
        </w:tc>
      </w:tr>
    </w:tbl>
    <w:p>
      <w:pPr>
        <w:spacing w:after="40"/>
      </w:pPr>
    </w:p>
    <w:p>
      <w:pPr>
        <w:pStyle w:val="Heading1"/>
      </w:pPr>
      <w:r>
        <w:t>6  预期与决策树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175"/>
        <w:gridCol w:w="3515"/>
      </w:tblGrid>
      <w:tr>
        <w:tc>
          <w:tcPr>
            <w:tcW w:type="dxa" w:w="2948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E1 结果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515"/>
            <w:shd w:val="clear" w:color="auto" w:fill="1F3A5F"/>
          </w:tcPr>
          <w:p>
            <w:pPr>
              <w:spacing w:after="20" w:line="269" w:lineRule="auto"/>
            </w:pPr>
            <w:r/>
            <w:r>
              <w:rPr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V4.1 综合分中性后 5 日 RankIC≥0.02 且显著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资金流信号有效,问题主要在结构</w:t>
            </w:r>
          </w:p>
        </w:tc>
        <w:tc>
          <w:tcPr>
            <w:tcW w:type="dxa" w:w="3515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按 V4.2 重构、做 E2~E6</w:t>
            </w:r>
          </w:p>
        </w:tc>
      </w:tr>
      <w:tr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子因子有效、综合分无效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合成方式(权重/共线/U 型)拖累</w:t>
            </w:r>
          </w:p>
        </w:tc>
        <w:tc>
          <w:tcPr>
            <w:tcW w:type="dxa" w:w="351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用 IC/岭回归重做权重,拆动量/反转</w:t>
            </w:r>
          </w:p>
        </w:tc>
      </w:tr>
      <w:tr>
        <w:tc>
          <w:tcPr>
            <w:tcW w:type="dxa" w:w="2948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仅短周期(1~3 日)有效</w:t>
            </w:r>
          </w:p>
        </w:tc>
        <w:tc>
          <w:tcPr>
            <w:tcW w:type="dxa" w:w="3175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更像短线反转/情绪因子</w:t>
            </w:r>
          </w:p>
        </w:tc>
        <w:tc>
          <w:tcPr>
            <w:tcW w:type="dxa" w:w="3515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缩短持有期;重点看成本与容量(E5)</w:t>
            </w:r>
          </w:p>
        </w:tc>
      </w:tr>
      <w:tr>
        <w:tc>
          <w:tcPr>
            <w:tcW w:type="dxa" w:w="2948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b/>
                <w:sz w:val="18"/>
              </w:rPr>
              <w:t>全部不显著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资金流在该池内无稳定预测力</w:t>
            </w:r>
          </w:p>
        </w:tc>
        <w:tc>
          <w:tcPr>
            <w:tcW w:type="dxa" w:w="3515"/>
            <w:shd w:val="clear" w:color="auto" w:fill="F2F4F7"/>
          </w:tcPr>
          <w:p>
            <w:pPr>
              <w:spacing w:after="20" w:line="269" w:lineRule="auto"/>
            </w:pPr>
            <w:r/>
            <w:r>
              <w:rPr>
                <w:sz w:val="18"/>
              </w:rPr>
              <w:t>降级为"流动性/风险过滤器";更换信号来源</w:t>
            </w:r>
          </w:p>
        </w:tc>
      </w:tr>
    </w:tbl>
    <w:p>
      <w:pPr>
        <w:spacing w:after="40"/>
      </w:pPr>
    </w:p>
    <w:p>
      <w:pPr>
        <w:pStyle w:val="Heading1"/>
      </w:pPr>
      <w:r>
        <w:t>7  风险与局限</w:t>
      </w:r>
    </w:p>
    <w:p>
      <w:pPr>
        <w:pStyle w:val="ListBullet"/>
      </w:pPr>
      <w:r>
        <w:t>评审证据仅限 2026-10-09 截面,无法替代历史回测。</w:t>
      </w:r>
    </w:p>
    <w:p>
      <w:pPr>
        <w:pStyle w:val="ListBullet"/>
      </w:pPr>
      <w:r>
        <w:t>V4.1 子因子按报告文字复刻,必须与生产脚本对齐。</w:t>
      </w:r>
    </w:p>
    <w:p>
      <w:pPr>
        <w:pStyle w:val="ListBullet"/>
      </w:pPr>
      <w:r>
        <w:t>引擎采用逐日分仓、固定名义近似,未按 100 股取整,止损用日线最低价近似;结果应视为趋势性判断而非精确净值。</w:t>
      </w:r>
    </w:p>
    <w:p>
      <w:pPr>
        <w:pStyle w:val="ListBullet"/>
      </w:pPr>
      <w:r>
        <w:t>V4.2 的所有数值(权重、阈值、闸门)均为待校准初值;校准只允许在训练/验证区间进行。</w:t>
      </w:r>
    </w:p>
    <w:p>
      <w:pPr>
        <w:pStyle w:val="ListBullet"/>
      </w:pPr>
      <w:r>
        <w:t>回测盈利不保证未来;仅供研究,不构成投资建议。</w:t>
      </w:r>
    </w:p>
    <w:sectPr w:rsidR="00FC693F" w:rsidRPr="0006063C" w:rsidSect="00034616">
      <w:footerReference w:type="default" r:id="rId16"/>
      <w:pgSz w:w="11906" w:h="16838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490"/>
        <w:sz w:val="16"/>
      </w:rPr>
      <w:t>V4.1 评审与 V4.2 回测方案 · 仅供研究,不构成投资建议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7F8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