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軟體即服務（SaaS）訂閱合約</w:t>
      </w:r>
    </w:p>
    <w:p>
      <w:pPr>
        <w:jc w:val="right"/>
      </w:pPr>
      <w:r>
        <w:t>合約編號：20260331-001</w:t>
        <w:br/>
      </w:r>
      <w:r>
        <w:t>簽約日期：2026年03月31日</w:t>
      </w:r>
    </w:p>
    <w:p/>
    <w:p>
      <w:r>
        <w:rPr>
          <w:b/>
        </w:rPr>
        <w:t>甲方（服務提供方）：</w:t>
      </w:r>
    </w:p>
    <w:p>
      <w:r>
        <w:t>公司名稱：角落旅行社股份有限公司</w:t>
      </w:r>
    </w:p>
    <w:p>
      <w:r>
        <w:t>統一編號：12345678</w:t>
      </w:r>
    </w:p>
    <w:p>
      <w:r>
        <w:t>地址：台北市中山區...</w:t>
      </w:r>
    </w:p>
    <w:p>
      <w:r>
        <w:t>代表人：王大明</w:t>
      </w:r>
    </w:p>
    <w:p/>
    <w:p>
      <w:r>
        <w:rPr>
          <w:b/>
        </w:rPr>
        <w:t>乙方（服務使用方）：</w:t>
      </w:r>
    </w:p>
    <w:p>
      <w:r>
        <w:t>公司名稱：_______________</w:t>
      </w:r>
    </w:p>
    <w:p>
      <w:r>
        <w:t>統一編號：_______________</w:t>
      </w:r>
    </w:p>
    <w:p>
      <w:r>
        <w:t>地址：_______________</w:t>
      </w:r>
    </w:p>
    <w:p>
      <w:r>
        <w:t>代表人：_______________</w:t>
      </w:r>
    </w:p>
    <w:p/>
    <w:p>
      <w:pPr>
        <w:pStyle w:val="Heading2"/>
      </w:pPr>
      <w:r>
        <w:t>第一條　服務內容</w:t>
      </w:r>
    </w:p>
    <w:p>
      <w:pPr>
        <w:pStyle w:val="ListNumber"/>
      </w:pPr>
      <w:r>
        <w:t>1.1 甲方同意提供乙方使用「Venturo ERP 旅遊業管理系統」（以下簡稱「本系統」）。</w:t>
      </w:r>
    </w:p>
    <w:p>
      <w:pPr>
        <w:pStyle w:val="ListNumber"/>
      </w:pPr>
      <w:r>
        <w:t>1.2 本系統包含：行程管理、訂單管理、財務管理、客戶關係管理等功能模組。</w:t>
      </w:r>
    </w:p>
    <w:p>
      <w:pPr>
        <w:pStyle w:val="ListNumber"/>
      </w:pPr>
      <w:r>
        <w:t>1.3 甲方應確保系統正常運作，年度可用性不低於 99.5%。</w:t>
      </w:r>
    </w:p>
    <w:p>
      <w:pPr>
        <w:pStyle w:val="Heading2"/>
      </w:pPr>
      <w:r>
        <w:t>第二條　服務期間</w:t>
      </w:r>
    </w:p>
    <w:p>
      <w:pPr>
        <w:pStyle w:val="ListNumber"/>
      </w:pPr>
      <w:r>
        <w:t>2.1 本合約有效期間自簽約日起算一年。</w:t>
      </w:r>
    </w:p>
    <w:p>
      <w:pPr>
        <w:pStyle w:val="ListNumber"/>
      </w:pPr>
      <w:r>
        <w:t>2.2 合約到期前 30 日，任一方未以書面通知終止，本合約自動續約一年。</w:t>
      </w:r>
    </w:p>
    <w:p>
      <w:pPr>
        <w:pStyle w:val="ListNumber"/>
      </w:pPr>
      <w:r>
        <w:t>2.3 續約費用依甲方公告之當年度定價為準。</w:t>
      </w:r>
    </w:p>
    <w:p>
      <w:pPr>
        <w:pStyle w:val="Heading2"/>
      </w:pPr>
      <w:r>
        <w:t>第三條　費用與付款</w:t>
      </w:r>
    </w:p>
    <w:p>
      <w:pPr>
        <w:pStyle w:val="ListNumber"/>
      </w:pPr>
      <w:r>
        <w:t>3.1 乙方應依附件一所列價格支付服務費用。</w:t>
      </w:r>
    </w:p>
    <w:p>
      <w:pPr>
        <w:pStyle w:val="ListNumber"/>
      </w:pPr>
      <w:r>
        <w:t>3.2 付款方式：年繳（預付）或月繳（每月 5 日前支付當月費用）。</w:t>
      </w:r>
    </w:p>
    <w:p>
      <w:pPr>
        <w:pStyle w:val="ListNumber"/>
      </w:pPr>
      <w:r>
        <w:t>3.3 逾期付款者，甲方得暫停服務，乙方應支付年利率 5% 之遲延利息。</w:t>
      </w:r>
    </w:p>
    <w:p>
      <w:pPr>
        <w:pStyle w:val="Heading2"/>
      </w:pPr>
      <w:r>
        <w:t>第四條　資料所有權與保密</w:t>
      </w:r>
    </w:p>
    <w:p>
      <w:pPr>
        <w:pStyle w:val="ListNumber"/>
      </w:pPr>
      <w:r>
        <w:t>4.1 乙方於本系統內所建立之資料，所有權歸乙方所有。</w:t>
      </w:r>
    </w:p>
    <w:p>
      <w:pPr>
        <w:pStyle w:val="ListNumber"/>
      </w:pPr>
      <w:r>
        <w:t>4.2 甲方應妥善保管乙方資料，非經乙方同意不得揭露予第三人。</w:t>
      </w:r>
    </w:p>
    <w:p>
      <w:pPr>
        <w:pStyle w:val="ListNumber"/>
      </w:pPr>
      <w:r>
        <w:t>4.3 合約終止時，甲方應於 30 日內提供乙方資料匯出，並於確認後刪除。</w:t>
      </w:r>
    </w:p>
    <w:p>
      <w:pPr>
        <w:pStyle w:val="Heading2"/>
      </w:pPr>
      <w:r>
        <w:t>第五條　終止與退費</w:t>
      </w:r>
    </w:p>
    <w:p>
      <w:pPr>
        <w:pStyle w:val="ListNumber"/>
      </w:pPr>
      <w:r>
        <w:t>5.1 任一方得於 30 日前以書面通知終止本合約。</w:t>
      </w:r>
    </w:p>
    <w:p>
      <w:pPr>
        <w:pStyle w:val="ListNumber"/>
      </w:pPr>
      <w:r>
        <w:t>5.2 乙方提前終止者，已付費用不予退還。</w:t>
      </w:r>
    </w:p>
    <w:p>
      <w:pPr>
        <w:pStyle w:val="ListNumber"/>
      </w:pPr>
      <w:r>
        <w:t>5.3 甲方因故無法繼續提供服務時，應按比例退還未使用期間之費用。</w:t>
      </w:r>
    </w:p>
    <w:p>
      <w:pPr>
        <w:pStyle w:val="Heading2"/>
      </w:pPr>
      <w:r>
        <w:t>附件一：服務定價表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單價（NTD）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268"/>
          </w:tcPr>
          <w:p>
            <w:r>
              <w:t>基本方案</w:t>
            </w:r>
          </w:p>
        </w:tc>
        <w:tc>
          <w:tcPr>
            <w:tcW w:type="dxa" w:w="2268"/>
          </w:tcPr>
          <w:p>
            <w:r>
              <w:t>5 使用者、基本功能</w:t>
            </w:r>
          </w:p>
        </w:tc>
        <w:tc>
          <w:tcPr>
            <w:tcW w:type="dxa" w:w="2268"/>
          </w:tcPr>
          <w:p>
            <w:r>
              <w:t>$15,000</w:t>
            </w:r>
          </w:p>
        </w:tc>
        <w:tc>
          <w:tcPr>
            <w:tcW w:type="dxa" w:w="2268"/>
          </w:tcPr>
          <w:p>
            <w:r>
              <w:t>年繳</w:t>
            </w:r>
          </w:p>
        </w:tc>
      </w:tr>
      <w:tr>
        <w:tc>
          <w:tcPr>
            <w:tcW w:type="dxa" w:w="2268"/>
          </w:tcPr>
          <w:p>
            <w:r>
              <w:t>專業方案</w:t>
            </w:r>
          </w:p>
        </w:tc>
        <w:tc>
          <w:tcPr>
            <w:tcW w:type="dxa" w:w="2268"/>
          </w:tcPr>
          <w:p>
            <w:r>
              <w:t>20 使用者、進階功能</w:t>
            </w:r>
          </w:p>
        </w:tc>
        <w:tc>
          <w:tcPr>
            <w:tcW w:type="dxa" w:w="2268"/>
          </w:tcPr>
          <w:p>
            <w:r>
              <w:t>$36,000</w:t>
            </w:r>
          </w:p>
        </w:tc>
        <w:tc>
          <w:tcPr>
            <w:tcW w:type="dxa" w:w="2268"/>
          </w:tcPr>
          <w:p>
            <w:r>
              <w:t>年繳</w:t>
            </w:r>
          </w:p>
        </w:tc>
      </w:tr>
      <w:tr>
        <w:tc>
          <w:tcPr>
            <w:tcW w:type="dxa" w:w="2268"/>
          </w:tcPr>
          <w:p>
            <w:r>
              <w:t>企業方案</w:t>
            </w:r>
          </w:p>
        </w:tc>
        <w:tc>
          <w:tcPr>
            <w:tcW w:type="dxa" w:w="2268"/>
          </w:tcPr>
          <w:p>
            <w:r>
              <w:t>無限使用者、完整功能</w:t>
            </w:r>
          </w:p>
        </w:tc>
        <w:tc>
          <w:tcPr>
            <w:tcW w:type="dxa" w:w="2268"/>
          </w:tcPr>
          <w:p>
            <w:r>
              <w:t>$72,000</w:t>
            </w:r>
          </w:p>
        </w:tc>
        <w:tc>
          <w:tcPr>
            <w:tcW w:type="dxa" w:w="2268"/>
          </w:tcPr>
          <w:p>
            <w:r>
              <w:t>年繳</w:t>
            </w:r>
          </w:p>
        </w:tc>
      </w:tr>
      <w:tr>
        <w:tc>
          <w:tcPr>
            <w:tcW w:type="dxa" w:w="2268"/>
          </w:tcPr>
          <w:p>
            <w:r>
              <w:t>導入服務</w:t>
            </w:r>
          </w:p>
        </w:tc>
        <w:tc>
          <w:tcPr>
            <w:tcW w:type="dxa" w:w="2268"/>
          </w:tcPr>
          <w:p>
            <w:r>
              <w:t>系統設定、資料轉移</w:t>
            </w:r>
          </w:p>
        </w:tc>
        <w:tc>
          <w:tcPr>
            <w:tcW w:type="dxa" w:w="2268"/>
          </w:tcPr>
          <w:p>
            <w:r>
              <w:t>$30,000</w:t>
            </w:r>
          </w:p>
        </w:tc>
        <w:tc>
          <w:tcPr>
            <w:tcW w:type="dxa" w:w="2268"/>
          </w:tcPr>
          <w:p>
            <w:r>
              <w:t>一次性</w:t>
            </w:r>
          </w:p>
        </w:tc>
      </w:tr>
      <w:tr>
        <w:tc>
          <w:tcPr>
            <w:tcW w:type="dxa" w:w="2268"/>
          </w:tcPr>
          <w:p>
            <w:r>
              <w:t>教育訓練</w:t>
            </w:r>
          </w:p>
        </w:tc>
        <w:tc>
          <w:tcPr>
            <w:tcW w:type="dxa" w:w="2268"/>
          </w:tcPr>
          <w:p>
            <w:r>
              <w:t>每場 3 小時</w:t>
            </w:r>
          </w:p>
        </w:tc>
        <w:tc>
          <w:tcPr>
            <w:tcW w:type="dxa" w:w="2268"/>
          </w:tcPr>
          <w:p>
            <w:r>
              <w:t>$5,000</w:t>
            </w:r>
          </w:p>
        </w:tc>
        <w:tc>
          <w:tcPr>
            <w:tcW w:type="dxa" w:w="2268"/>
          </w:tcPr>
          <w:p>
            <w:r>
              <w:t>每場</w:t>
            </w:r>
          </w:p>
        </w:tc>
      </w:tr>
    </w:tbl>
    <w:p/>
    <w:p>
      <w:pPr>
        <w:pStyle w:val="Heading2"/>
      </w:pPr>
      <w:r>
        <w:t>簽署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甲方（服務提供方）</w:t>
            </w:r>
          </w:p>
        </w:tc>
        <w:tc>
          <w:tcPr>
            <w:tcW w:type="dxa" w:w="4536"/>
          </w:tcPr>
          <w:p>
            <w:r>
              <w:t>乙方（服務使用方）</w:t>
            </w:r>
          </w:p>
        </w:tc>
      </w:tr>
      <w:tr>
        <w:tc>
          <w:tcPr>
            <w:tcW w:type="dxa" w:w="4536"/>
          </w:tcPr>
          <w:p>
            <w:pPr>
              <w:spacing w:after="800"/>
            </w:pPr>
            <w:r>
              <w:t>公司大章：</w:t>
            </w:r>
          </w:p>
        </w:tc>
        <w:tc>
          <w:tcPr>
            <w:tcW w:type="dxa" w:w="4536"/>
          </w:tcPr>
          <w:p>
            <w:pPr>
              <w:spacing w:after="800"/>
            </w:pPr>
            <w:r>
              <w:t>公司大章：</w:t>
            </w:r>
          </w:p>
        </w:tc>
      </w:tr>
      <w:tr>
        <w:tc>
          <w:tcPr>
            <w:tcW w:type="dxa" w:w="4536"/>
          </w:tcPr>
          <w:p>
            <w:pPr>
              <w:spacing w:after="800"/>
            </w:pPr>
            <w:r>
              <w:t>代表人章：</w:t>
            </w:r>
          </w:p>
        </w:tc>
        <w:tc>
          <w:tcPr>
            <w:tcW w:type="dxa" w:w="4536"/>
          </w:tcPr>
          <w:p>
            <w:pPr>
              <w:spacing w:after="800"/>
            </w:pPr>
            <w:r>
              <w:t>代表人章：</w:t>
            </w:r>
          </w:p>
        </w:tc>
      </w:tr>
      <w:tr>
        <w:tc>
          <w:tcPr>
            <w:tcW w:type="dxa" w:w="4536"/>
          </w:tcPr>
          <w:p>
            <w:pPr>
              <w:spacing w:after="800"/>
            </w:pPr>
            <w:r>
              <w:t>日期：　　年　　月　　日</w:t>
            </w:r>
          </w:p>
        </w:tc>
        <w:tc>
          <w:tcPr>
            <w:tcW w:type="dxa" w:w="4536"/>
          </w:tcPr>
          <w:p>
            <w:pPr>
              <w:spacing w:after="800"/>
            </w:pPr>
            <w:r>
              <w:t>日期：　　年　　月　　日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