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Финансовый университет при Правительстве Российской Федерации</w:t>
      </w:r>
    </w:p>
    <w:p>
      <w:pPr>
        <w:jc w:val="center"/>
      </w:pPr>
      <w:r>
        <w:rPr>
          <w:b w:val="0"/>
          <w:i w:val="0"/>
        </w:rPr>
        <w:t>Новороссийский филиал</w:t>
      </w:r>
    </w:p>
    <w:p/>
    <w:p/>
    <w:p/>
    <w:p>
      <w:pPr>
        <w:jc w:val="center"/>
      </w:pPr>
      <w:r>
        <w:rPr>
          <w:b/>
          <w:i w:val="0"/>
          <w:sz w:val="36"/>
        </w:rPr>
        <w:t>ТЕХНИЧЕСКОЕ ЗАДАНИЕ</w:t>
      </w:r>
    </w:p>
    <w:p>
      <w:pPr>
        <w:jc w:val="center"/>
      </w:pPr>
      <w:r>
        <w:rPr>
          <w:b w:val="0"/>
          <w:i w:val="0"/>
          <w:sz w:val="28"/>
        </w:rPr>
        <w:t>на создание автоматизированной системы</w:t>
      </w:r>
    </w:p>
    <w:p>
      <w:pPr>
        <w:jc w:val="center"/>
      </w:pPr>
      <w:r>
        <w:rPr>
          <w:b/>
          <w:i w:val="0"/>
          <w:sz w:val="40"/>
        </w:rPr>
        <w:t>«SmartRubleAI»</w:t>
      </w:r>
    </w:p>
    <w:p>
      <w:pPr>
        <w:jc w:val="center"/>
      </w:pPr>
      <w:r>
        <w:rPr>
          <w:b w:val="0"/>
          <w:i w:val="0"/>
          <w:sz w:val="26"/>
        </w:rPr>
        <w:t>Интеллектуальная экосистема динамического контроля и валидации целевых расходов цифрового рубля на базе технологий искусственного интеллекта и смарт-контрактов</w:t>
      </w:r>
    </w:p>
    <w:p>
      <w:pPr>
        <w:jc w:val="center"/>
      </w:pPr>
      <w:r>
        <w:rPr>
          <w:b w:val="0"/>
          <w:i/>
        </w:rPr>
        <w:t>(оформлено по ГОСТ 34.602-89)</w:t>
      </w:r>
    </w:p>
    <w:p/>
    <w:p/>
    <w:p/>
    <w:p>
      <w:r>
        <w:rPr>
          <w:b w:val="0"/>
          <w:i w:val="0"/>
        </w:rPr>
        <w:t>Авторы: Окунев Владислав Игоревич, Штунь Анастасия Романовна</w:t>
      </w:r>
    </w:p>
    <w:p>
      <w:r>
        <w:rPr>
          <w:b w:val="0"/>
          <w:i w:val="0"/>
        </w:rPr>
        <w:t>Направление «Бизнес-информатика», группа НВРС25-1Б-ТЦБМ01</w:t>
      </w:r>
    </w:p>
    <w:p>
      <w:r>
        <w:rPr>
          <w:b w:val="0"/>
          <w:i w:val="0"/>
        </w:rPr>
        <w:t>Научный руководитель: Рзун Ирина Геннадьевна, доцент кафедры «Информатика, математика и общегуманитарные науки»</w:t>
      </w:r>
    </w:p>
    <w:p>
      <w:r>
        <w:rPr>
          <w:b w:val="0"/>
          <w:i w:val="0"/>
        </w:rPr>
        <w:t>Версия 0.1, октябрь 2026</w:t>
      </w:r>
    </w:p>
    <w:p>
      <w:pPr>
        <w:jc w:val="both"/>
      </w:pPr>
      <w:r>
        <w:rPr>
          <w:b w:val="0"/>
          <w:i/>
          <w:sz w:val="23"/>
        </w:rPr>
        <w:t>Статус: проект ТЗ для молодёжного чемпионата «Практическое применение цифровых технологий для задач финансовой отрасли». Документ описывает целевую систему и прототип-симуляцию; интеграция с платформой цифрового рубля Банка России в состав прототипа не входит.</w:t>
      </w:r>
    </w:p>
    <w:p>
      <w:r>
        <w:br w:type="page"/>
      </w:r>
    </w:p>
    <w:p>
      <w:pPr>
        <w:pStyle w:val="Heading1"/>
      </w:pPr>
      <w:r>
        <w:t>1. Общие сведения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3118"/>
            <w:shd w:val="clear" w:color="auto" w:fill="D9E2F3"/>
          </w:tcPr>
          <w:p>
            <w:r/>
            <w:r>
              <w:rPr>
                <w:b/>
                <w:sz w:val="23"/>
              </w:rPr>
              <w:t>Пункт</w:t>
            </w:r>
          </w:p>
        </w:tc>
        <w:tc>
          <w:tcPr>
            <w:tcW w:type="dxa" w:w="5953"/>
            <w:shd w:val="clear" w:color="auto" w:fill="D9E2F3"/>
          </w:tcPr>
          <w:p>
            <w:r/>
            <w:r>
              <w:rPr>
                <w:b/>
                <w:sz w:val="23"/>
              </w:rPr>
              <w:t>Содержание</w:t>
            </w:r>
          </w:p>
        </w:tc>
      </w:tr>
      <w:tr>
        <w:tc>
          <w:tcPr>
            <w:tcW w:type="dxa" w:w="3118"/>
          </w:tcPr>
          <w:p>
            <w:pPr>
              <w:spacing w:line="264" w:lineRule="auto"/>
            </w:pPr>
            <w:r/>
            <w:r>
              <w:rPr>
                <w:sz w:val="23"/>
              </w:rPr>
              <w:t>1.1 Полное наименование</w:t>
            </w:r>
          </w:p>
        </w:tc>
        <w:tc>
          <w:tcPr>
            <w:tcW w:type="dxa" w:w="5953"/>
          </w:tcPr>
          <w:p>
            <w:pPr>
              <w:spacing w:line="264" w:lineRule="auto"/>
            </w:pPr>
            <w:r/>
            <w:r>
              <w:rPr>
                <w:sz w:val="23"/>
              </w:rPr>
              <w:t>Автоматизированная система динамического контроля и валидации целевых расходов цифрового рубля на базе искусственного интеллекта и смарт-контрактов</w:t>
            </w:r>
          </w:p>
        </w:tc>
      </w:tr>
      <w:tr>
        <w:tc>
          <w:tcPr>
            <w:tcW w:type="dxa" w:w="3118"/>
          </w:tcPr>
          <w:p>
            <w:pPr>
              <w:spacing w:line="264" w:lineRule="auto"/>
            </w:pPr>
            <w:r/>
            <w:r>
              <w:rPr>
                <w:sz w:val="23"/>
              </w:rPr>
              <w:t>1.2 Условное обозначение</w:t>
            </w:r>
          </w:p>
        </w:tc>
        <w:tc>
          <w:tcPr>
            <w:tcW w:type="dxa" w:w="5953"/>
          </w:tcPr>
          <w:p>
            <w:pPr>
              <w:spacing w:line="264" w:lineRule="auto"/>
            </w:pPr>
            <w:r/>
            <w:r>
              <w:rPr>
                <w:sz w:val="23"/>
              </w:rPr>
              <w:t>SmartRubleAI</w:t>
            </w:r>
          </w:p>
        </w:tc>
      </w:tr>
      <w:tr>
        <w:tc>
          <w:tcPr>
            <w:tcW w:type="dxa" w:w="3118"/>
          </w:tcPr>
          <w:p>
            <w:pPr>
              <w:spacing w:line="264" w:lineRule="auto"/>
            </w:pPr>
            <w:r/>
            <w:r>
              <w:rPr>
                <w:sz w:val="23"/>
              </w:rPr>
              <w:t>1.3 Разработчики</w:t>
            </w:r>
          </w:p>
        </w:tc>
        <w:tc>
          <w:tcPr>
            <w:tcW w:type="dxa" w:w="5953"/>
          </w:tcPr>
          <w:p>
            <w:pPr>
              <w:spacing w:line="264" w:lineRule="auto"/>
            </w:pPr>
            <w:r/>
            <w:r>
              <w:rPr>
                <w:sz w:val="23"/>
              </w:rPr>
              <w:t>Окунев В. И., Штунь А. Р. (научный руководитель: Рзун И. Г.)</w:t>
            </w:r>
          </w:p>
        </w:tc>
      </w:tr>
      <w:tr>
        <w:tc>
          <w:tcPr>
            <w:tcW w:type="dxa" w:w="3118"/>
          </w:tcPr>
          <w:p>
            <w:pPr>
              <w:spacing w:line="264" w:lineRule="auto"/>
            </w:pPr>
            <w:r/>
            <w:r>
              <w:rPr>
                <w:sz w:val="23"/>
              </w:rPr>
              <w:t>1.4 Заказчик (целевой пользователь)</w:t>
            </w:r>
          </w:p>
        </w:tc>
        <w:tc>
          <w:tcPr>
            <w:tcW w:type="dxa" w:w="5953"/>
          </w:tcPr>
          <w:p>
            <w:pPr>
              <w:spacing w:line="264" w:lineRule="auto"/>
            </w:pPr>
            <w:r/>
            <w:r>
              <w:rPr>
                <w:sz w:val="23"/>
              </w:rPr>
              <w:t>Организация-получатель целевых средств (вуз, научная организация), для пилота: бухгалтерия и грантовый отдел</w:t>
            </w:r>
          </w:p>
        </w:tc>
      </w:tr>
      <w:tr>
        <w:tc>
          <w:tcPr>
            <w:tcW w:type="dxa" w:w="3118"/>
          </w:tcPr>
          <w:p>
            <w:pPr>
              <w:spacing w:line="264" w:lineRule="auto"/>
            </w:pPr>
            <w:r/>
            <w:r>
              <w:rPr>
                <w:sz w:val="23"/>
              </w:rPr>
              <w:t>1.5 Основание для разработки</w:t>
            </w:r>
          </w:p>
        </w:tc>
        <w:tc>
          <w:tcPr>
            <w:tcW w:type="dxa" w:w="5953"/>
          </w:tcPr>
          <w:p>
            <w:pPr>
              <w:spacing w:line="264" w:lineRule="auto"/>
            </w:pPr>
            <w:r/>
            <w:r>
              <w:rPr>
                <w:sz w:val="23"/>
              </w:rPr>
              <w:t>Участие в молодёжном чемпионате (тематическое направление 2026 года: «Применение искусственного интеллекта в финансовой сфере»)</w:t>
            </w:r>
          </w:p>
        </w:tc>
      </w:tr>
      <w:tr>
        <w:tc>
          <w:tcPr>
            <w:tcW w:type="dxa" w:w="3118"/>
          </w:tcPr>
          <w:p>
            <w:pPr>
              <w:spacing w:line="264" w:lineRule="auto"/>
            </w:pPr>
            <w:r/>
            <w:r>
              <w:rPr>
                <w:sz w:val="23"/>
              </w:rPr>
              <w:t>1.6 Плановые сроки</w:t>
            </w:r>
          </w:p>
        </w:tc>
        <w:tc>
          <w:tcPr>
            <w:tcW w:type="dxa" w:w="5953"/>
          </w:tcPr>
          <w:p>
            <w:pPr>
              <w:spacing w:line="264" w:lineRule="auto"/>
            </w:pPr>
            <w:r/>
            <w:r>
              <w:rPr>
                <w:sz w:val="23"/>
              </w:rPr>
              <w:t>Прототип: октябрь 2026. MVP и пилот: 12 месяцев (оценка затрат приведена в презентации)</w:t>
            </w:r>
          </w:p>
        </w:tc>
      </w:tr>
      <w:tr>
        <w:tc>
          <w:tcPr>
            <w:tcW w:type="dxa" w:w="3118"/>
          </w:tcPr>
          <w:p>
            <w:pPr>
              <w:spacing w:line="264" w:lineRule="auto"/>
            </w:pPr>
            <w:r/>
            <w:r>
              <w:rPr>
                <w:sz w:val="23"/>
              </w:rPr>
              <w:t>1.7 Источники финансирования</w:t>
            </w:r>
          </w:p>
        </w:tc>
        <w:tc>
          <w:tcPr>
            <w:tcW w:type="dxa" w:w="5953"/>
          </w:tcPr>
          <w:p>
            <w:pPr>
              <w:spacing w:line="264" w:lineRule="auto"/>
            </w:pPr>
            <w:r/>
            <w:r>
              <w:rPr>
                <w:sz w:val="23"/>
              </w:rPr>
              <w:t>Прототип выполнен силами авторов. Финансирование MVP определяется после пилотного соглашения</w:t>
            </w:r>
          </w:p>
        </w:tc>
      </w:tr>
    </w:tbl>
    <w:p/>
    <w:p>
      <w:pPr>
        <w:pStyle w:val="Heading1"/>
      </w:pPr>
      <w:r>
        <w:t>2. Назначение и цели создания системы</w:t>
      </w:r>
    </w:p>
    <w:p>
      <w:pPr>
        <w:pStyle w:val="Heading2"/>
      </w:pPr>
      <w:r>
        <w:t>2.1 Назначение</w:t>
      </w:r>
    </w:p>
    <w:p>
      <w:pPr>
        <w:jc w:val="both"/>
      </w:pPr>
      <w:r>
        <w:rPr>
          <w:b w:val="0"/>
          <w:i w:val="0"/>
        </w:rPr>
        <w:t>Система предназначена для проверки целевого использования средств (грант, подотчётная сумма, целевая выплата) в момент оплаты цифровым рублём, а не после расходования. Система преобразует смету в параметры контракта, классифицирует позиции чека, принимает решение «одобрить / отправить человеку / отказать», ищет подозрительные схемы и ведёт неизменяемый журнал решений.</w:t>
      </w:r>
    </w:p>
    <w:p>
      <w:pPr>
        <w:pStyle w:val="Heading2"/>
      </w:pPr>
      <w:r>
        <w:t>2.2 Цели создания</w:t>
      </w:r>
    </w:p>
    <w:p>
      <w:pPr>
        <w:pStyle w:val="ListBullet"/>
        <w:spacing w:line="288" w:lineRule="auto"/>
      </w:pPr>
      <w:r>
        <w:t>перенести контроль целевых расходов из постфактум-аудита в момент платежа;</w:t>
      </w:r>
    </w:p>
    <w:p>
      <w:pPr>
        <w:pStyle w:val="ListBullet"/>
        <w:spacing w:line="288" w:lineRule="auto"/>
      </w:pPr>
      <w:r>
        <w:t>сократить объём ручной сверки позиций чеков со сметой;</w:t>
      </w:r>
    </w:p>
    <w:p>
      <w:pPr>
        <w:pStyle w:val="ListBullet"/>
        <w:spacing w:line="288" w:lineRule="auto"/>
      </w:pPr>
      <w:r>
        <w:t>обеспечить объяснимость и аудит каждого решения (причина, уверенность, запись в журнале);</w:t>
      </w:r>
    </w:p>
    <w:p>
      <w:pPr>
        <w:pStyle w:val="ListBullet"/>
        <w:spacing w:line="288" w:lineRule="auto"/>
      </w:pPr>
      <w:r>
        <w:t>оставить спорные решения за человеком (контур «человек в процессе»).</w:t>
      </w:r>
    </w:p>
    <w:p>
      <w:pPr>
        <w:pStyle w:val="Heading2"/>
      </w:pPr>
      <w:r>
        <w:t>2.3 Критерии достижения целей (измеряются на пилоте)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268"/>
      </w:tblGrid>
      <w:tr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23"/>
              </w:rPr>
              <w:t>Показатель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23"/>
              </w:rPr>
              <w:t>Как измеряется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23"/>
              </w:rPr>
              <w:t>Целевое значение</w:t>
            </w:r>
          </w:p>
        </w:tc>
      </w:tr>
      <w:tr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Доля позиций, решённых без человека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Доля позиций с уверенностью не ниже порога</w:t>
            </w:r>
          </w:p>
        </w:tc>
        <w:tc>
          <w:tcPr>
            <w:tcW w:type="dxa" w:w="2268"/>
          </w:tcPr>
          <w:p>
            <w:pPr>
              <w:spacing w:line="264" w:lineRule="auto"/>
            </w:pPr>
            <w:r/>
            <w:r>
              <w:rPr>
                <w:sz w:val="23"/>
              </w:rPr>
              <w:t>Устанавливается на пилоте</w:t>
            </w:r>
          </w:p>
        </w:tc>
      </w:tr>
      <w:tr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Доля нецелевых позиций, ошибочно одобренных автоматически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Контрольная разметка выборки чеков</w:t>
            </w:r>
          </w:p>
        </w:tc>
        <w:tc>
          <w:tcPr>
            <w:tcW w:type="dxa" w:w="2268"/>
          </w:tcPr>
          <w:p>
            <w:pPr>
              <w:spacing w:line="264" w:lineRule="auto"/>
            </w:pPr>
            <w:r/>
            <w:r>
              <w:rPr>
                <w:sz w:val="23"/>
              </w:rPr>
              <w:t>Не выше согласованного порога риска</w:t>
            </w:r>
          </w:p>
        </w:tc>
      </w:tr>
      <w:tr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Срок проверки отчёта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Среднее время от закрытия периода до принятия отчёта</w:t>
            </w:r>
          </w:p>
        </w:tc>
        <w:tc>
          <w:tcPr>
            <w:tcW w:type="dxa" w:w="2268"/>
          </w:tcPr>
          <w:p>
            <w:pPr>
              <w:spacing w:line="264" w:lineRule="auto"/>
            </w:pPr>
            <w:r/>
            <w:r>
              <w:rPr>
                <w:sz w:val="23"/>
              </w:rPr>
              <w:t>Устанавливается на пилоте</w:t>
            </w:r>
          </w:p>
        </w:tc>
      </w:tr>
      <w:tr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Число возвратов средств за нецелевые расходы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Журнал обращений фонда</w:t>
            </w:r>
          </w:p>
        </w:tc>
        <w:tc>
          <w:tcPr>
            <w:tcW w:type="dxa" w:w="2268"/>
          </w:tcPr>
          <w:p>
            <w:pPr>
              <w:spacing w:line="264" w:lineRule="auto"/>
            </w:pPr>
            <w:r/>
            <w:r>
              <w:rPr>
                <w:sz w:val="23"/>
              </w:rPr>
              <w:t>Снижение относительно базового периода</w:t>
            </w:r>
          </w:p>
        </w:tc>
      </w:tr>
    </w:tbl>
    <w:p/>
    <w:p>
      <w:r>
        <w:rPr>
          <w:b w:val="0"/>
          <w:i/>
          <w:sz w:val="23"/>
        </w:rPr>
        <w:t>Значения целевых показателей не заданы заранее: они определяются после измерения базового уровня на данных организации.</w:t>
      </w:r>
    </w:p>
    <w:p>
      <w:pPr>
        <w:pStyle w:val="Heading1"/>
      </w:pPr>
      <w:r>
        <w:t>3. Характеристика объекта автоматизации</w:t>
      </w:r>
    </w:p>
    <w:p>
      <w:pPr>
        <w:jc w:val="both"/>
      </w:pPr>
      <w:r>
        <w:rPr>
          <w:b w:val="0"/>
          <w:i w:val="0"/>
        </w:rPr>
        <w:t>Объект автоматизации — процесс контроля целевого расходования средств в организации-получателе. Текущий процесс (AS IS): покупка, сбор чеков и документов, составление отчёта в электронных таблицах, приём бухгалтерией, ручная сверка позиций со сметой, закрытие отчёта или возврат средств. Конфликт процесса: проверка выполняется после платежа. Последствия: возможное требование о возврате средств при нецелевом использовании, санкции за просрочку отчёта, трудозатраты бухгалтерии (по разъяснениям РНФ от 01.10.2022, пп. 2.2.5, 2.3.8, 2.3.9).</w:t>
      </w:r>
    </w:p>
    <w:p>
      <w:pPr>
        <w:jc w:val="both"/>
      </w:pPr>
      <w:r>
        <w:rPr>
          <w:b w:val="0"/>
          <w:i w:val="0"/>
        </w:rPr>
        <w:t>Целевой процесс (TO BE): смета разбирается в параметры контракта; в момент оплаты позиции чека проверяются классификатором; нецелевая часть оплачивается личными средствами, спорные случаи направляются человеку; операции анализируются антифрод-модулем; отчёт собирается из журнала решений.</w:t>
      </w:r>
    </w:p>
    <w:p>
      <w:pPr>
        <w:pStyle w:val="Heading1"/>
      </w:pPr>
      <w:r>
        <w:t>4. Требования к системе</w:t>
      </w:r>
    </w:p>
    <w:p>
      <w:pPr>
        <w:pStyle w:val="Heading2"/>
      </w:pPr>
      <w:r>
        <w:t>4.1 Требования к структуре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515"/>
        <w:gridCol w:w="3402"/>
      </w:tblGrid>
      <w:tr>
        <w:tc>
          <w:tcPr>
            <w:tcW w:type="dxa" w:w="2154"/>
            <w:shd w:val="clear" w:color="auto" w:fill="D9E2F3"/>
          </w:tcPr>
          <w:p>
            <w:r/>
            <w:r>
              <w:rPr>
                <w:b/>
                <w:sz w:val="23"/>
              </w:rPr>
              <w:t>Модуль</w:t>
            </w:r>
          </w:p>
        </w:tc>
        <w:tc>
          <w:tcPr>
            <w:tcW w:type="dxa" w:w="3515"/>
            <w:shd w:val="clear" w:color="auto" w:fill="D9E2F3"/>
          </w:tcPr>
          <w:p>
            <w:r/>
            <w:r>
              <w:rPr>
                <w:b/>
                <w:sz w:val="23"/>
              </w:rPr>
              <w:t>Назначение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23"/>
              </w:rPr>
              <w:t>Реализация в прототипе</w:t>
            </w:r>
          </w:p>
        </w:tc>
      </w:tr>
      <w:tr>
        <w:tc>
          <w:tcPr>
            <w:tcW w:type="dxa" w:w="2154"/>
          </w:tcPr>
          <w:p>
            <w:pPr>
              <w:spacing w:line="264" w:lineRule="auto"/>
            </w:pPr>
            <w:r/>
            <w:r>
              <w:rPr>
                <w:sz w:val="23"/>
              </w:rPr>
              <w:t>M1. Разбор сметы</w:t>
            </w:r>
          </w:p>
        </w:tc>
        <w:tc>
          <w:tcPr>
            <w:tcW w:type="dxa" w:w="3515"/>
          </w:tcPr>
          <w:p>
            <w:pPr>
              <w:spacing w:line="264" w:lineRule="auto"/>
            </w:pPr>
            <w:r/>
            <w:r>
              <w:rPr>
                <w:sz w:val="23"/>
              </w:rPr>
              <w:t>Извлечение статей и лимитов в структурированный вид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Детерминированный разбор (parser.py); на этапе 2 — языковая модель с проверкой результата</w:t>
            </w:r>
          </w:p>
        </w:tc>
      </w:tr>
      <w:tr>
        <w:tc>
          <w:tcPr>
            <w:tcW w:type="dxa" w:w="2154"/>
          </w:tcPr>
          <w:p>
            <w:pPr>
              <w:spacing w:line="264" w:lineRule="auto"/>
            </w:pPr>
            <w:r/>
            <w:r>
              <w:rPr>
                <w:sz w:val="23"/>
              </w:rPr>
              <w:t>M2. Классификатор позиций</w:t>
            </w:r>
          </w:p>
        </w:tc>
        <w:tc>
          <w:tcPr>
            <w:tcW w:type="dxa" w:w="3515"/>
          </w:tcPr>
          <w:p>
            <w:pPr>
              <w:spacing w:line="264" w:lineRule="auto"/>
            </w:pPr>
            <w:r/>
            <w:r>
              <w:rPr>
                <w:sz w:val="23"/>
              </w:rPr>
              <w:t>Отнесение позиции чека к категории с оценкой уверенности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Базовый вариант: TF-IDF по символьным n-граммам + логистическая регрессия (classifier.py). Целевая архитектура: векторные эмбеддинги, этап 2 (не реализовано)</w:t>
            </w:r>
          </w:p>
        </w:tc>
      </w:tr>
      <w:tr>
        <w:tc>
          <w:tcPr>
            <w:tcW w:type="dxa" w:w="2154"/>
          </w:tcPr>
          <w:p>
            <w:pPr>
              <w:spacing w:line="264" w:lineRule="auto"/>
            </w:pPr>
            <w:r/>
            <w:r>
              <w:rPr>
                <w:sz w:val="23"/>
              </w:rPr>
              <w:t>M3. Контракт и решения</w:t>
            </w:r>
          </w:p>
        </w:tc>
        <w:tc>
          <w:tcPr>
            <w:tcW w:type="dxa" w:w="3515"/>
          </w:tcPr>
          <w:p>
            <w:pPr>
              <w:spacing w:line="264" w:lineRule="auto"/>
            </w:pPr>
            <w:r/>
            <w:r>
              <w:rPr>
                <w:sz w:val="23"/>
              </w:rPr>
              <w:t>Лимиты, остатки, решение по позициям и чеку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Шаблон контракта-симуляция (contract.py)</w:t>
            </w:r>
          </w:p>
        </w:tc>
      </w:tr>
      <w:tr>
        <w:tc>
          <w:tcPr>
            <w:tcW w:type="dxa" w:w="2154"/>
          </w:tcPr>
          <w:p>
            <w:pPr>
              <w:spacing w:line="264" w:lineRule="auto"/>
            </w:pPr>
            <w:r/>
            <w:r>
              <w:rPr>
                <w:sz w:val="23"/>
              </w:rPr>
              <w:t>M4. Антифрод</w:t>
            </w:r>
          </w:p>
        </w:tc>
        <w:tc>
          <w:tcPr>
            <w:tcW w:type="dxa" w:w="3515"/>
          </w:tcPr>
          <w:p>
            <w:pPr>
              <w:spacing w:line="264" w:lineRule="auto"/>
            </w:pPr>
            <w:r/>
            <w:r>
              <w:rPr>
                <w:sz w:val="23"/>
              </w:rPr>
              <w:t>Признаки продавцов из графа «студент — продавец», ранжирование по аномальности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NetworkX + Isolation Forest (antifraud.py)</w:t>
            </w:r>
          </w:p>
        </w:tc>
      </w:tr>
      <w:tr>
        <w:tc>
          <w:tcPr>
            <w:tcW w:type="dxa" w:w="2154"/>
          </w:tcPr>
          <w:p>
            <w:pPr>
              <w:spacing w:line="264" w:lineRule="auto"/>
            </w:pPr>
            <w:r/>
            <w:r>
              <w:rPr>
                <w:sz w:val="23"/>
              </w:rPr>
              <w:t>M5. Журнал аудита</w:t>
            </w:r>
          </w:p>
        </w:tc>
        <w:tc>
          <w:tcPr>
            <w:tcW w:type="dxa" w:w="3515"/>
          </w:tcPr>
          <w:p>
            <w:pPr>
              <w:spacing w:line="264" w:lineRule="auto"/>
            </w:pPr>
            <w:r/>
            <w:r>
              <w:rPr>
                <w:sz w:val="23"/>
              </w:rPr>
              <w:t>Неизменяемая запись решений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Цепочка хэшей SHA-256 и проверка целостности (contract.py)</w:t>
            </w:r>
          </w:p>
        </w:tc>
      </w:tr>
      <w:tr>
        <w:tc>
          <w:tcPr>
            <w:tcW w:type="dxa" w:w="2154"/>
          </w:tcPr>
          <w:p>
            <w:pPr>
              <w:spacing w:line="264" w:lineRule="auto"/>
            </w:pPr>
            <w:r/>
            <w:r>
              <w:rPr>
                <w:sz w:val="23"/>
              </w:rPr>
              <w:t>M6. Программный интерфейс</w:t>
            </w:r>
          </w:p>
        </w:tc>
        <w:tc>
          <w:tcPr>
            <w:tcW w:type="dxa" w:w="3515"/>
          </w:tcPr>
          <w:p>
            <w:pPr>
              <w:spacing w:line="264" w:lineRule="auto"/>
            </w:pPr>
            <w:r/>
            <w:r>
              <w:rPr>
                <w:sz w:val="23"/>
              </w:rPr>
              <w:t>Создание контракта, проверка чека, аудит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FastAPI (api.py); проверен вручную через интерактивную документацию OpenAPI (Swagger UI)</w:t>
            </w:r>
          </w:p>
        </w:tc>
      </w:tr>
    </w:tbl>
    <w:p/>
    <w:p>
      <w:pPr>
        <w:pStyle w:val="Heading2"/>
      </w:pPr>
      <w:r>
        <w:t>4.2 Функциональные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5103"/>
        <w:gridCol w:w="1587"/>
        <w:gridCol w:w="1587"/>
      </w:tblGrid>
      <w:tr>
        <w:tc>
          <w:tcPr>
            <w:tcW w:type="dxa" w:w="794"/>
            <w:shd w:val="clear" w:color="auto" w:fill="D9E2F3"/>
          </w:tcPr>
          <w:p>
            <w:r/>
            <w:r>
              <w:rPr>
                <w:b/>
                <w:sz w:val="23"/>
              </w:rPr>
              <w:t>№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23"/>
              </w:rPr>
              <w:t>Требование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b/>
                <w:sz w:val="23"/>
              </w:rPr>
              <w:t>Приоритет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b/>
                <w:sz w:val="23"/>
              </w:rPr>
              <w:t>В прототипе</w:t>
            </w:r>
          </w:p>
        </w:tc>
      </w:tr>
      <w:tr>
        <w:tc>
          <w:tcPr>
            <w:tcW w:type="dxa" w:w="794"/>
          </w:tcPr>
          <w:p>
            <w:pPr>
              <w:spacing w:line="264" w:lineRule="auto"/>
            </w:pPr>
            <w:r/>
            <w:r>
              <w:rPr>
                <w:sz w:val="23"/>
              </w:rPr>
              <w:t>FR-1</w:t>
            </w:r>
          </w:p>
        </w:tc>
        <w:tc>
          <w:tcPr>
            <w:tcW w:type="dxa" w:w="5102"/>
          </w:tcPr>
          <w:p>
            <w:pPr>
              <w:spacing w:line="264" w:lineRule="auto"/>
            </w:pPr>
            <w:r/>
            <w:r>
              <w:rPr>
                <w:sz w:val="23"/>
              </w:rPr>
              <w:t>Система принимает текст сметы и выделяет статьи расходов и лимиты; нераспознанные строки возвращаются для ручной проверки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Высокий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Да</w:t>
            </w:r>
          </w:p>
        </w:tc>
      </w:tr>
      <w:tr>
        <w:tc>
          <w:tcPr>
            <w:tcW w:type="dxa" w:w="794"/>
          </w:tcPr>
          <w:p>
            <w:pPr>
              <w:spacing w:line="264" w:lineRule="auto"/>
            </w:pPr>
            <w:r/>
            <w:r>
              <w:rPr>
                <w:sz w:val="23"/>
              </w:rPr>
              <w:t>FR-2</w:t>
            </w:r>
          </w:p>
        </w:tc>
        <w:tc>
          <w:tcPr>
            <w:tcW w:type="dxa" w:w="5102"/>
          </w:tcPr>
          <w:p>
            <w:pPr>
              <w:spacing w:line="264" w:lineRule="auto"/>
            </w:pPr>
            <w:r/>
            <w:r>
              <w:rPr>
                <w:sz w:val="23"/>
              </w:rPr>
              <w:t>Контракт создаётся из проверенного шаблона. Исполняемый код искусственным интеллектом не генерируется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Высокий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Да</w:t>
            </w:r>
          </w:p>
        </w:tc>
      </w:tr>
      <w:tr>
        <w:tc>
          <w:tcPr>
            <w:tcW w:type="dxa" w:w="794"/>
          </w:tcPr>
          <w:p>
            <w:pPr>
              <w:spacing w:line="264" w:lineRule="auto"/>
            </w:pPr>
            <w:r/>
            <w:r>
              <w:rPr>
                <w:sz w:val="23"/>
              </w:rPr>
              <w:t>FR-3</w:t>
            </w:r>
          </w:p>
        </w:tc>
        <w:tc>
          <w:tcPr>
            <w:tcW w:type="dxa" w:w="5102"/>
          </w:tcPr>
          <w:p>
            <w:pPr>
              <w:spacing w:line="264" w:lineRule="auto"/>
            </w:pPr>
            <w:r/>
            <w:r>
              <w:rPr>
                <w:sz w:val="23"/>
              </w:rPr>
              <w:t>Каждая позиция чека классифицируется с оценкой уверенности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Высокий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Да</w:t>
            </w:r>
          </w:p>
        </w:tc>
      </w:tr>
      <w:tr>
        <w:tc>
          <w:tcPr>
            <w:tcW w:type="dxa" w:w="794"/>
          </w:tcPr>
          <w:p>
            <w:pPr>
              <w:spacing w:line="264" w:lineRule="auto"/>
            </w:pPr>
            <w:r/>
            <w:r>
              <w:rPr>
                <w:sz w:val="23"/>
              </w:rPr>
              <w:t>FR-4</w:t>
            </w:r>
          </w:p>
        </w:tc>
        <w:tc>
          <w:tcPr>
            <w:tcW w:type="dxa" w:w="5102"/>
          </w:tcPr>
          <w:p>
            <w:pPr>
              <w:spacing w:line="264" w:lineRule="auto"/>
            </w:pPr>
            <w:r/>
            <w:r>
              <w:rPr>
                <w:sz w:val="23"/>
              </w:rPr>
              <w:t>По каждой позиции выносится решение: одобрить, отправить человеку или отказать. Нецелевая часть оплачивается личными средствами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Высокий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Да</w:t>
            </w:r>
          </w:p>
        </w:tc>
      </w:tr>
      <w:tr>
        <w:tc>
          <w:tcPr>
            <w:tcW w:type="dxa" w:w="794"/>
          </w:tcPr>
          <w:p>
            <w:pPr>
              <w:spacing w:line="264" w:lineRule="auto"/>
            </w:pPr>
            <w:r/>
            <w:r>
              <w:rPr>
                <w:sz w:val="23"/>
              </w:rPr>
              <w:t>FR-5</w:t>
            </w:r>
          </w:p>
        </w:tc>
        <w:tc>
          <w:tcPr>
            <w:tcW w:type="dxa" w:w="5102"/>
          </w:tcPr>
          <w:p>
            <w:pPr>
              <w:spacing w:line="264" w:lineRule="auto"/>
            </w:pPr>
            <w:r/>
            <w:r>
              <w:rPr>
                <w:sz w:val="23"/>
              </w:rPr>
              <w:t>Остаток лимита по статье контролируется, баланс не становится отрицательным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Высокий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Да</w:t>
            </w:r>
          </w:p>
        </w:tc>
      </w:tr>
      <w:tr>
        <w:tc>
          <w:tcPr>
            <w:tcW w:type="dxa" w:w="794"/>
          </w:tcPr>
          <w:p>
            <w:pPr>
              <w:spacing w:line="264" w:lineRule="auto"/>
            </w:pPr>
            <w:r/>
            <w:r>
              <w:rPr>
                <w:sz w:val="23"/>
              </w:rPr>
              <w:t>FR-6</w:t>
            </w:r>
          </w:p>
        </w:tc>
        <w:tc>
          <w:tcPr>
            <w:tcW w:type="dxa" w:w="5102"/>
          </w:tcPr>
          <w:p>
            <w:pPr>
              <w:spacing w:line="264" w:lineRule="auto"/>
            </w:pPr>
            <w:r/>
            <w:r>
              <w:rPr>
                <w:sz w:val="23"/>
              </w:rPr>
              <w:t>Позиции вне сметы и позиции с низкой уверенностью направляются человеку, а не блокируются автоматически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Высокий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Да</w:t>
            </w:r>
          </w:p>
        </w:tc>
      </w:tr>
      <w:tr>
        <w:tc>
          <w:tcPr>
            <w:tcW w:type="dxa" w:w="794"/>
          </w:tcPr>
          <w:p>
            <w:pPr>
              <w:spacing w:line="264" w:lineRule="auto"/>
            </w:pPr>
            <w:r/>
            <w:r>
              <w:rPr>
                <w:sz w:val="23"/>
              </w:rPr>
              <w:t>FR-7</w:t>
            </w:r>
          </w:p>
        </w:tc>
        <w:tc>
          <w:tcPr>
            <w:tcW w:type="dxa" w:w="5102"/>
          </w:tcPr>
          <w:p>
            <w:pPr>
              <w:spacing w:line="264" w:lineRule="auto"/>
            </w:pPr>
            <w:r/>
            <w:r>
              <w:rPr>
                <w:sz w:val="23"/>
              </w:rPr>
              <w:t>Каждое решение записывается в журнал с цепочкой хэшей; целостность журнала проверяется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Высокий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Да</w:t>
            </w:r>
          </w:p>
        </w:tc>
      </w:tr>
      <w:tr>
        <w:tc>
          <w:tcPr>
            <w:tcW w:type="dxa" w:w="794"/>
          </w:tcPr>
          <w:p>
            <w:pPr>
              <w:spacing w:line="264" w:lineRule="auto"/>
            </w:pPr>
            <w:r/>
            <w:r>
              <w:rPr>
                <w:sz w:val="23"/>
              </w:rPr>
              <w:t>FR-8</w:t>
            </w:r>
          </w:p>
        </w:tc>
        <w:tc>
          <w:tcPr>
            <w:tcW w:type="dxa" w:w="5102"/>
          </w:tcPr>
          <w:p>
            <w:pPr>
              <w:spacing w:line="264" w:lineRule="auto"/>
            </w:pPr>
            <w:r/>
            <w:r>
              <w:rPr>
                <w:sz w:val="23"/>
              </w:rPr>
              <w:t>Антифрод вычисляет признаки продавцов (число операций, концентрация на одном получателе, круглые суммы, ночные операции) и ранжирует продавцов по риску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Средний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Да</w:t>
            </w:r>
          </w:p>
        </w:tc>
      </w:tr>
      <w:tr>
        <w:tc>
          <w:tcPr>
            <w:tcW w:type="dxa" w:w="794"/>
          </w:tcPr>
          <w:p>
            <w:pPr>
              <w:spacing w:line="264" w:lineRule="auto"/>
            </w:pPr>
            <w:r/>
            <w:r>
              <w:rPr>
                <w:sz w:val="23"/>
              </w:rPr>
              <w:t>FR-9</w:t>
            </w:r>
          </w:p>
        </w:tc>
        <w:tc>
          <w:tcPr>
            <w:tcW w:type="dxa" w:w="5102"/>
          </w:tcPr>
          <w:p>
            <w:pPr>
              <w:spacing w:line="264" w:lineRule="auto"/>
            </w:pPr>
            <w:r/>
            <w:r>
              <w:rPr>
                <w:sz w:val="23"/>
              </w:rPr>
              <w:t>Программный интерфейс: создание контракта, проверка чека, просмотр аудита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Средний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Да (проверено вручную)</w:t>
            </w:r>
          </w:p>
        </w:tc>
      </w:tr>
      <w:tr>
        <w:tc>
          <w:tcPr>
            <w:tcW w:type="dxa" w:w="794"/>
          </w:tcPr>
          <w:p>
            <w:pPr>
              <w:spacing w:line="264" w:lineRule="auto"/>
            </w:pPr>
            <w:r/>
            <w:r>
              <w:rPr>
                <w:sz w:val="23"/>
              </w:rPr>
              <w:t>FR-10</w:t>
            </w:r>
          </w:p>
        </w:tc>
        <w:tc>
          <w:tcPr>
            <w:tcW w:type="dxa" w:w="5102"/>
          </w:tcPr>
          <w:p>
            <w:pPr>
              <w:spacing w:line="264" w:lineRule="auto"/>
            </w:pPr>
            <w:r/>
            <w:r>
              <w:rPr>
                <w:sz w:val="23"/>
              </w:rPr>
              <w:t>Формирование отчёта по контракту из журнала и выгрузка в учётную систему организации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Средний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Нет, этап 2</w:t>
            </w:r>
          </w:p>
        </w:tc>
      </w:tr>
      <w:tr>
        <w:tc>
          <w:tcPr>
            <w:tcW w:type="dxa" w:w="794"/>
          </w:tcPr>
          <w:p>
            <w:pPr>
              <w:spacing w:line="264" w:lineRule="auto"/>
            </w:pPr>
            <w:r/>
            <w:r>
              <w:rPr>
                <w:sz w:val="23"/>
              </w:rPr>
              <w:t>FR-11</w:t>
            </w:r>
          </w:p>
        </w:tc>
        <w:tc>
          <w:tcPr>
            <w:tcW w:type="dxa" w:w="5102"/>
          </w:tcPr>
          <w:p>
            <w:pPr>
              <w:spacing w:line="264" w:lineRule="auto"/>
            </w:pPr>
            <w:r/>
            <w:r>
              <w:rPr>
                <w:sz w:val="23"/>
              </w:rPr>
              <w:t>Интеграция с платформой цифрового рубля на условиях оператора платформы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Средний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Нет, этап 3</w:t>
            </w:r>
          </w:p>
        </w:tc>
      </w:tr>
    </w:tbl>
    <w:p/>
    <w:p>
      <w:pPr>
        <w:pStyle w:val="Heading2"/>
      </w:pPr>
      <w:r>
        <w:t>4.3 Нефункциональные требования</w:t>
      </w:r>
    </w:p>
    <w:p>
      <w:pPr>
        <w:pStyle w:val="ListBullet"/>
        <w:spacing w:line="288" w:lineRule="auto"/>
      </w:pPr>
      <w:r>
        <w:t>Объяснимость: каждый вердикт содержит категорию, уверенность и текстовую причину.</w:t>
      </w:r>
    </w:p>
    <w:p>
      <w:pPr>
        <w:pStyle w:val="ListBullet"/>
        <w:spacing w:line="288" w:lineRule="auto"/>
      </w:pPr>
      <w:r>
        <w:t>Производительность: время вердикта по одной корзине на сервере не более 2 секунд (целевое значение, измеряется на пилоте).</w:t>
      </w:r>
    </w:p>
    <w:p>
      <w:pPr>
        <w:pStyle w:val="ListBullet"/>
        <w:spacing w:line="288" w:lineRule="auto"/>
      </w:pPr>
      <w:r>
        <w:t>Надёжность: потеря журнала недопустима; журнал хранится в СУБД с резервным копированием (этап 2).</w:t>
      </w:r>
    </w:p>
    <w:p>
      <w:pPr>
        <w:pStyle w:val="ListBullet"/>
        <w:spacing w:line="288" w:lineRule="auto"/>
      </w:pPr>
      <w:r>
        <w:t>Безопасность и данные: передача по защищённым каналам, разграничение доступа по ролям, минимизация и обезличивание данных чеков, соответствие требованиям Федерального закона № 152-ФЗ «О персональных данных»; юридическая проверка до пилота.</w:t>
      </w:r>
    </w:p>
    <w:p>
      <w:pPr>
        <w:pStyle w:val="ListBullet"/>
        <w:spacing w:line="288" w:lineRule="auto"/>
      </w:pPr>
      <w:r>
        <w:t>Сопровождаемость: автоматические тесты, версионирование кода в Git, воспроизводимые метрики.</w:t>
      </w:r>
    </w:p>
    <w:p>
      <w:pPr>
        <w:pStyle w:val="Heading2"/>
      </w:pPr>
      <w:r>
        <w:t>4.4 Требования к программному обеспечению и данным</w:t>
      </w:r>
    </w:p>
    <w:p>
      <w:pPr>
        <w:jc w:val="both"/>
      </w:pPr>
      <w:r>
        <w:rPr>
          <w:b w:val="0"/>
          <w:i w:val="0"/>
        </w:rPr>
        <w:t>Python 3.11 и выше; FastAPI и Pydantic; scikit-learn; NetworkX; PostgreSQL (этап 2); Docker (этап 2). Данные прототипа синтетические; реальные чеки, персональные данные и ключи доступа в репозиторий не включаются.</w:t>
      </w:r>
    </w:p>
    <w:p>
      <w:pPr>
        <w:pStyle w:val="Heading1"/>
      </w:pPr>
      <w:r>
        <w:t>5. Состав и содержание работ по созданию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5329"/>
        <w:gridCol w:w="1587"/>
      </w:tblGrid>
      <w:tr>
        <w:tc>
          <w:tcPr>
            <w:tcW w:type="dxa" w:w="2154"/>
            <w:shd w:val="clear" w:color="auto" w:fill="D9E2F3"/>
          </w:tcPr>
          <w:p>
            <w:r/>
            <w:r>
              <w:rPr>
                <w:b/>
                <w:sz w:val="23"/>
              </w:rPr>
              <w:t>Этап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23"/>
              </w:rPr>
              <w:t>Содержание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b/>
                <w:sz w:val="23"/>
              </w:rPr>
              <w:t>Срок</w:t>
            </w:r>
          </w:p>
        </w:tc>
      </w:tr>
      <w:tr>
        <w:tc>
          <w:tcPr>
            <w:tcW w:type="dxa" w:w="2154"/>
          </w:tcPr>
          <w:p>
            <w:pPr>
              <w:spacing w:line="264" w:lineRule="auto"/>
            </w:pPr>
            <w:r/>
            <w:r>
              <w:rPr>
                <w:sz w:val="23"/>
              </w:rPr>
              <w:t>1. Прототип</w:t>
            </w:r>
          </w:p>
        </w:tc>
        <w:tc>
          <w:tcPr>
            <w:tcW w:type="dxa" w:w="5329"/>
          </w:tcPr>
          <w:p>
            <w:pPr>
              <w:spacing w:line="264" w:lineRule="auto"/>
            </w:pPr>
            <w:r/>
            <w:r>
              <w:rPr>
                <w:sz w:val="23"/>
              </w:rPr>
              <w:t>ТЗ, ядро (M1–M5), тесты, синтетические данные, метрики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Октябрь 2026</w:t>
            </w:r>
          </w:p>
        </w:tc>
      </w:tr>
      <w:tr>
        <w:tc>
          <w:tcPr>
            <w:tcW w:type="dxa" w:w="2154"/>
          </w:tcPr>
          <w:p>
            <w:pPr>
              <w:spacing w:line="264" w:lineRule="auto"/>
            </w:pPr>
            <w:r/>
            <w:r>
              <w:rPr>
                <w:sz w:val="23"/>
              </w:rPr>
              <w:t>2. Пилот</w:t>
            </w:r>
          </w:p>
        </w:tc>
        <w:tc>
          <w:tcPr>
            <w:tcW w:type="dxa" w:w="5329"/>
          </w:tcPr>
          <w:p>
            <w:pPr>
              <w:spacing w:line="264" w:lineRule="auto"/>
            </w:pPr>
            <w:r/>
            <w:r>
              <w:rPr>
                <w:sz w:val="23"/>
              </w:rPr>
              <w:t>Обезличенные данные вуза, замена классификатора на эмбеддинги или языковую модель, отчёт и выгрузка в учёт (FR-10), база данных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0–9 месяцев</w:t>
            </w:r>
          </w:p>
        </w:tc>
      </w:tr>
      <w:tr>
        <w:tc>
          <w:tcPr>
            <w:tcW w:type="dxa" w:w="2154"/>
          </w:tcPr>
          <w:p>
            <w:pPr>
              <w:spacing w:line="264" w:lineRule="auto"/>
            </w:pPr>
            <w:r/>
            <w:r>
              <w:rPr>
                <w:sz w:val="23"/>
              </w:rPr>
              <w:t>3. Интеграция и масштаб</w:t>
            </w:r>
          </w:p>
        </w:tc>
        <w:tc>
          <w:tcPr>
            <w:tcW w:type="dxa" w:w="5329"/>
          </w:tcPr>
          <w:p>
            <w:pPr>
              <w:spacing w:line="264" w:lineRule="auto"/>
            </w:pPr>
            <w:r/>
            <w:r>
              <w:rPr>
                <w:sz w:val="23"/>
              </w:rPr>
              <w:t>Тестовый контур платформы цифрового рубля при открытии доступа (FR-11), другие виды целевых средств</w:t>
            </w:r>
          </w:p>
        </w:tc>
        <w:tc>
          <w:tcPr>
            <w:tcW w:type="dxa" w:w="1587"/>
          </w:tcPr>
          <w:p>
            <w:pPr>
              <w:spacing w:line="264" w:lineRule="auto"/>
            </w:pPr>
            <w:r/>
            <w:r>
              <w:rPr>
                <w:sz w:val="23"/>
              </w:rPr>
              <w:t>9–18 месяцев</w:t>
            </w:r>
          </w:p>
        </w:tc>
      </w:tr>
    </w:tbl>
    <w:p/>
    <w:p>
      <w:pPr>
        <w:pStyle w:val="Heading1"/>
      </w:pPr>
      <w:r>
        <w:t>6. Порядок контроля и приёмки</w:t>
      </w:r>
    </w:p>
    <w:p>
      <w:pPr>
        <w:jc w:val="both"/>
      </w:pPr>
      <w:r>
        <w:rPr>
          <w:b w:val="0"/>
          <w:i w:val="0"/>
        </w:rPr>
        <w:t>Приёмка прототипа выполняется по результатам автоматических тестов и воспроизведения метрик.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0"/>
        <w:gridCol w:w="3402"/>
      </w:tblGrid>
      <w:tr>
        <w:tc>
          <w:tcPr>
            <w:tcW w:type="dxa" w:w="5669"/>
            <w:shd w:val="clear" w:color="auto" w:fill="D9E2F3"/>
          </w:tcPr>
          <w:p>
            <w:r/>
            <w:r>
              <w:rPr>
                <w:b/>
                <w:sz w:val="23"/>
              </w:rPr>
              <w:t>Проверка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23"/>
              </w:rPr>
              <w:t>Что подтверждает</w:t>
            </w:r>
          </w:p>
        </w:tc>
      </w:tr>
      <w:tr>
        <w:tc>
          <w:tcPr>
            <w:tcW w:type="dxa" w:w="5669"/>
          </w:tcPr>
          <w:p>
            <w:pPr>
              <w:spacing w:line="264" w:lineRule="auto"/>
            </w:pPr>
            <w:r/>
            <w:r>
              <w:rPr>
                <w:sz w:val="23"/>
              </w:rPr>
              <w:t>Разбор сметы с нераспознанной строкой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FR-1</w:t>
            </w:r>
          </w:p>
        </w:tc>
      </w:tr>
      <w:tr>
        <w:tc>
          <w:tcPr>
            <w:tcW w:type="dxa" w:w="5669"/>
          </w:tcPr>
          <w:p>
            <w:pPr>
              <w:spacing w:line="264" w:lineRule="auto"/>
            </w:pPr>
            <w:r/>
            <w:r>
              <w:rPr>
                <w:sz w:val="23"/>
              </w:rPr>
              <w:t>Одобрение позиции и уменьшение остатка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FR-4, FR-5</w:t>
            </w:r>
          </w:p>
        </w:tc>
      </w:tr>
      <w:tr>
        <w:tc>
          <w:tcPr>
            <w:tcW w:type="dxa" w:w="5669"/>
          </w:tcPr>
          <w:p>
            <w:pPr>
              <w:spacing w:line="264" w:lineRule="auto"/>
            </w:pPr>
            <w:r/>
            <w:r>
              <w:rPr>
                <w:sz w:val="23"/>
              </w:rPr>
              <w:t>Нецелевая позиция направляется на оплату личными средствами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FR-4</w:t>
            </w:r>
          </w:p>
        </w:tc>
      </w:tr>
      <w:tr>
        <w:tc>
          <w:tcPr>
            <w:tcW w:type="dxa" w:w="5669"/>
          </w:tcPr>
          <w:p>
            <w:pPr>
              <w:spacing w:line="264" w:lineRule="auto"/>
            </w:pPr>
            <w:r/>
            <w:r>
              <w:rPr>
                <w:sz w:val="23"/>
              </w:rPr>
              <w:t>Низкая уверенность отправляет позицию человеку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FR-6</w:t>
            </w:r>
          </w:p>
        </w:tc>
      </w:tr>
      <w:tr>
        <w:tc>
          <w:tcPr>
            <w:tcW w:type="dxa" w:w="5669"/>
          </w:tcPr>
          <w:p>
            <w:pPr>
              <w:spacing w:line="264" w:lineRule="auto"/>
            </w:pPr>
            <w:r/>
            <w:r>
              <w:rPr>
                <w:sz w:val="23"/>
              </w:rPr>
              <w:t>Позиция вне сметы отправляется человеку, а не блокируется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FR-6</w:t>
            </w:r>
          </w:p>
        </w:tc>
      </w:tr>
      <w:tr>
        <w:tc>
          <w:tcPr>
            <w:tcW w:type="dxa" w:w="5669"/>
          </w:tcPr>
          <w:p>
            <w:pPr>
              <w:spacing w:line="264" w:lineRule="auto"/>
            </w:pPr>
            <w:r/>
            <w:r>
              <w:rPr>
                <w:sz w:val="23"/>
              </w:rPr>
              <w:t>Превышение лимита приводит к отказу; остаток не отрицательный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FR-5</w:t>
            </w:r>
          </w:p>
        </w:tc>
      </w:tr>
      <w:tr>
        <w:tc>
          <w:tcPr>
            <w:tcW w:type="dxa" w:w="5669"/>
          </w:tcPr>
          <w:p>
            <w:pPr>
              <w:spacing w:line="264" w:lineRule="auto"/>
            </w:pPr>
            <w:r/>
            <w:r>
              <w:rPr>
                <w:sz w:val="23"/>
              </w:rPr>
              <w:t>Изменение записи журнала обнаруживается проверкой цепочки хэшей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FR-7</w:t>
            </w:r>
          </w:p>
        </w:tc>
      </w:tr>
      <w:tr>
        <w:tc>
          <w:tcPr>
            <w:tcW w:type="dxa" w:w="5669"/>
          </w:tcPr>
          <w:p>
            <w:pPr>
              <w:spacing w:line="264" w:lineRule="auto"/>
            </w:pPr>
            <w:r/>
            <w:r>
              <w:rPr>
                <w:sz w:val="23"/>
              </w:rPr>
              <w:t>Классификатор обучается и распознаёт известные позиции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FR-3</w:t>
            </w:r>
          </w:p>
        </w:tc>
      </w:tr>
      <w:tr>
        <w:tc>
          <w:tcPr>
            <w:tcW w:type="dxa" w:w="5669"/>
          </w:tcPr>
          <w:p>
            <w:pPr>
              <w:spacing w:line="264" w:lineRule="auto"/>
            </w:pPr>
            <w:r/>
            <w:r>
              <w:rPr>
                <w:sz w:val="23"/>
              </w:rPr>
              <w:t>Антифрод выделяет заложенную в синтетические данные схему</w:t>
            </w:r>
          </w:p>
        </w:tc>
        <w:tc>
          <w:tcPr>
            <w:tcW w:type="dxa" w:w="3402"/>
          </w:tcPr>
          <w:p>
            <w:pPr>
              <w:spacing w:line="264" w:lineRule="auto"/>
            </w:pPr>
            <w:r/>
            <w:r>
              <w:rPr>
                <w:sz w:val="23"/>
              </w:rPr>
              <w:t>FR-8</w:t>
            </w:r>
          </w:p>
        </w:tc>
      </w:tr>
    </w:tbl>
    <w:p/>
    <w:p>
      <w:pPr>
        <w:jc w:val="both"/>
      </w:pPr>
      <w:r>
        <w:rPr>
          <w:b w:val="0"/>
          <w:i w:val="0"/>
        </w:rPr>
        <w:t>Команды проверки: python -m unittest discover -s tests (все тесты проходят); python -m smartruble из каталога src воспроизводит метрики (файл docs/metrics.json).</w:t>
      </w:r>
    </w:p>
    <w:p>
      <w:pPr>
        <w:jc w:val="both"/>
      </w:pPr>
      <w:r>
        <w:rPr>
          <w:b w:val="0"/>
          <w:i/>
          <w:sz w:val="23"/>
        </w:rPr>
        <w:t>Известные ограничения: на синтетических данных точность классификатора для типов товаров, не встречавшихся при обучении, составляет около 45%; результаты антифрода получены на намеренно заметных схемах. Эти значения не переносятся на реальные чеки.</w:t>
      </w:r>
    </w:p>
    <w:p>
      <w:pPr>
        <w:pStyle w:val="Heading1"/>
      </w:pPr>
      <w:r>
        <w:t>7. Требования к подготовке объекта автоматизации</w:t>
      </w:r>
    </w:p>
    <w:p>
      <w:pPr>
        <w:pStyle w:val="ListBullet"/>
        <w:spacing w:line="288" w:lineRule="auto"/>
      </w:pPr>
      <w:r>
        <w:t>согласие организации на пилот и определение ответственных лиц;</w:t>
      </w:r>
    </w:p>
    <w:p>
      <w:pPr>
        <w:pStyle w:val="ListBullet"/>
        <w:spacing w:line="288" w:lineRule="auto"/>
      </w:pPr>
      <w:r>
        <w:t>выгрузка обезличенных смет и чеков за базовый период для измерения исходных показателей;</w:t>
      </w:r>
    </w:p>
    <w:p>
      <w:pPr>
        <w:pStyle w:val="ListBullet"/>
        <w:spacing w:line="288" w:lineRule="auto"/>
      </w:pPr>
      <w:r>
        <w:t>доступ к тестовому контуру платформы цифрового рубля после его открытия для разработчиков.</w:t>
      </w:r>
    </w:p>
    <w:p>
      <w:pPr>
        <w:pStyle w:val="Heading1"/>
      </w:pPr>
      <w:r>
        <w:t>8. Требования к документированию</w:t>
      </w:r>
    </w:p>
    <w:p>
      <w:pPr>
        <w:pStyle w:val="ListBullet"/>
        <w:spacing w:line="288" w:lineRule="auto"/>
      </w:pPr>
      <w:r>
        <w:t>ТЗ по ГОСТ 34.602-89 (настоящий документ);</w:t>
      </w:r>
    </w:p>
    <w:p>
      <w:pPr>
        <w:pStyle w:val="ListBullet"/>
        <w:spacing w:line="288" w:lineRule="auto"/>
      </w:pPr>
      <w:r>
        <w:t>README и описание программного интерфейса в репозитории;</w:t>
      </w:r>
    </w:p>
    <w:p>
      <w:pPr>
        <w:pStyle w:val="ListBullet"/>
        <w:spacing w:line="288" w:lineRule="auto"/>
      </w:pPr>
      <w:r>
        <w:t>руководство пользователя и регламент работы службы финконтроля — на этапе 2.</w:t>
      </w:r>
    </w:p>
    <w:p>
      <w:pPr>
        <w:pStyle w:val="Heading1"/>
      </w:pPr>
      <w:r>
        <w:t>9. Источники разработки</w:t>
      </w:r>
    </w:p>
    <w:p>
      <w:pPr>
        <w:pStyle w:val="ListBullet"/>
        <w:spacing w:line="288" w:lineRule="auto"/>
      </w:pPr>
      <w:r>
        <w:t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>
      <w:pPr>
        <w:pStyle w:val="ListBullet"/>
        <w:spacing w:line="288" w:lineRule="auto"/>
      </w:pPr>
      <w:r>
        <w:t>Разъяснения Российского научного фонда по использованию грантов от 01.10.2022 (отчётность, нецелевое использование, возврат средств).</w:t>
      </w:r>
    </w:p>
    <w:p>
      <w:pPr>
        <w:pStyle w:val="ListBullet"/>
        <w:spacing w:line="288" w:lineRule="auto"/>
      </w:pPr>
      <w:r>
        <w:t>Концепция платформы коммерческих смарт-контрактов на базе цифрового рубля, Банк России, 18.06.2026 (по публикации Интерфакс).</w:t>
      </w:r>
    </w:p>
    <w:p>
      <w:pPr>
        <w:pStyle w:val="ListBullet"/>
        <w:spacing w:line="288" w:lineRule="auto"/>
      </w:pPr>
      <w:r>
        <w:t>Календарь внедрения цифрового рубля (по публикациям РБК Тренды и Mail.ru Финансы); даты подлежат сверке с текстом закона.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