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4FF28" w14:textId="77777777" w:rsidR="00153A5A" w:rsidRPr="00B6673A" w:rsidRDefault="009F2C17" w:rsidP="0022671B">
      <w:pPr>
        <w:spacing w:line="276" w:lineRule="auto"/>
        <w:jc w:val="center"/>
        <w:rPr>
          <w:rFonts w:ascii="Times New Roman" w:hAnsi="Times New Roman" w:cs="Times New Roman"/>
          <w:b/>
          <w:bCs/>
          <w:sz w:val="28"/>
          <w:szCs w:val="28"/>
          <w:u w:val="single"/>
        </w:rPr>
      </w:pPr>
      <w:r w:rsidRPr="00B6673A">
        <w:rPr>
          <w:rFonts w:ascii="Times New Roman" w:hAnsi="Times New Roman" w:cs="Times New Roman"/>
          <w:b/>
          <w:bCs/>
          <w:sz w:val="28"/>
          <w:szCs w:val="28"/>
          <w:u w:val="single"/>
        </w:rPr>
        <w:t>Basel III regulations</w:t>
      </w:r>
    </w:p>
    <w:p w14:paraId="5ACD92F9" w14:textId="77777777" w:rsidR="00553FB9" w:rsidRDefault="009F2C17" w:rsidP="0022671B">
      <w:pPr>
        <w:spacing w:line="276" w:lineRule="auto"/>
        <w:rPr>
          <w:rFonts w:ascii="Times New Roman" w:hAnsi="Times New Roman" w:cs="Times New Roman"/>
          <w:sz w:val="24"/>
          <w:szCs w:val="24"/>
        </w:rPr>
      </w:pPr>
      <w:r w:rsidRPr="00B6673A">
        <w:rPr>
          <w:rFonts w:ascii="Times New Roman" w:hAnsi="Times New Roman" w:cs="Times New Roman"/>
          <w:sz w:val="24"/>
          <w:szCs w:val="24"/>
        </w:rPr>
        <w:t>Basel III is an international regulatory framework developed by the Basel Committee on Banking Supervision to strengthen the regulation, supervision, and risk management of banks. The United States has implemented key aspects of Basel III through rules issued by the Federal Reserve Board, Federal Deposit Insurance Corporation (FDIC), and Office of the Comptroller of the Currency (OCC).</w:t>
      </w:r>
    </w:p>
    <w:p w14:paraId="1B8C3473" w14:textId="77777777" w:rsidR="00B75F01" w:rsidRPr="00B75F01" w:rsidRDefault="00B75F01" w:rsidP="0022671B">
      <w:pPr>
        <w:spacing w:line="276" w:lineRule="auto"/>
        <w:rPr>
          <w:rFonts w:ascii="Times New Roman" w:hAnsi="Times New Roman" w:cs="Times New Roman"/>
          <w:b/>
          <w:bCs/>
          <w:sz w:val="24"/>
          <w:szCs w:val="24"/>
        </w:rPr>
      </w:pPr>
      <w:r w:rsidRPr="00B75F01">
        <w:rPr>
          <w:rFonts w:ascii="Times New Roman" w:hAnsi="Times New Roman" w:cs="Times New Roman"/>
          <w:b/>
          <w:bCs/>
          <w:sz w:val="24"/>
          <w:szCs w:val="24"/>
        </w:rPr>
        <w:drawing>
          <wp:anchor distT="0" distB="0" distL="114300" distR="114300" simplePos="0" relativeHeight="251659264" behindDoc="0" locked="0" layoutInCell="1" allowOverlap="1" wp14:anchorId="70E346FF" wp14:editId="5A2789F0">
            <wp:simplePos x="0" y="0"/>
            <wp:positionH relativeFrom="margin">
              <wp:posOffset>-304800</wp:posOffset>
            </wp:positionH>
            <wp:positionV relativeFrom="paragraph">
              <wp:posOffset>329565</wp:posOffset>
            </wp:positionV>
            <wp:extent cx="6301740" cy="2880360"/>
            <wp:effectExtent l="0" t="0" r="3810" b="15240"/>
            <wp:wrapNone/>
            <wp:docPr id="4007859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B75F01">
        <w:rPr>
          <w:rFonts w:ascii="Times New Roman" w:hAnsi="Times New Roman" w:cs="Times New Roman"/>
          <w:b/>
          <w:bCs/>
          <w:sz w:val="24"/>
          <w:szCs w:val="24"/>
        </w:rPr>
        <w:t>Key elements of Basel III implementation in the US</w:t>
      </w:r>
      <w:r>
        <w:rPr>
          <w:rFonts w:ascii="Times New Roman" w:hAnsi="Times New Roman" w:cs="Times New Roman"/>
          <w:b/>
          <w:bCs/>
          <w:sz w:val="24"/>
          <w:szCs w:val="24"/>
        </w:rPr>
        <w:t>:</w:t>
      </w:r>
    </w:p>
    <w:p w14:paraId="6CC4D905" w14:textId="77777777" w:rsidR="001E40DC" w:rsidRPr="00B6673A" w:rsidRDefault="001E40DC" w:rsidP="0022671B">
      <w:pPr>
        <w:spacing w:line="276" w:lineRule="auto"/>
        <w:rPr>
          <w:rFonts w:ascii="Times New Roman" w:hAnsi="Times New Roman" w:cs="Times New Roman"/>
          <w:sz w:val="24"/>
          <w:szCs w:val="24"/>
        </w:rPr>
      </w:pPr>
    </w:p>
    <w:p w14:paraId="56C68C53" w14:textId="77777777" w:rsidR="00553FB9" w:rsidRPr="00B6673A" w:rsidRDefault="00553FB9" w:rsidP="0022671B">
      <w:pPr>
        <w:spacing w:line="276" w:lineRule="auto"/>
        <w:rPr>
          <w:rFonts w:ascii="Times New Roman" w:hAnsi="Times New Roman" w:cs="Times New Roman"/>
          <w:sz w:val="24"/>
          <w:szCs w:val="24"/>
        </w:rPr>
      </w:pPr>
    </w:p>
    <w:p w14:paraId="1A024191" w14:textId="77777777" w:rsidR="00553FB9" w:rsidRPr="00B6673A" w:rsidRDefault="00553FB9" w:rsidP="0022671B">
      <w:pPr>
        <w:spacing w:line="276" w:lineRule="auto"/>
        <w:rPr>
          <w:rFonts w:ascii="Times New Roman" w:hAnsi="Times New Roman" w:cs="Times New Roman"/>
          <w:sz w:val="24"/>
          <w:szCs w:val="24"/>
        </w:rPr>
      </w:pPr>
    </w:p>
    <w:p w14:paraId="639A235A" w14:textId="77777777" w:rsidR="00553FB9" w:rsidRPr="00B6673A" w:rsidRDefault="00553FB9" w:rsidP="0022671B">
      <w:pPr>
        <w:spacing w:line="276" w:lineRule="auto"/>
        <w:rPr>
          <w:rFonts w:ascii="Times New Roman" w:hAnsi="Times New Roman" w:cs="Times New Roman"/>
          <w:sz w:val="24"/>
          <w:szCs w:val="24"/>
        </w:rPr>
      </w:pPr>
    </w:p>
    <w:p w14:paraId="2B4B1F12" w14:textId="77777777" w:rsidR="00553FB9" w:rsidRPr="00B6673A" w:rsidRDefault="00553FB9" w:rsidP="0022671B">
      <w:pPr>
        <w:spacing w:line="276" w:lineRule="auto"/>
        <w:rPr>
          <w:rFonts w:ascii="Times New Roman" w:hAnsi="Times New Roman" w:cs="Times New Roman"/>
          <w:sz w:val="24"/>
          <w:szCs w:val="24"/>
        </w:rPr>
      </w:pPr>
    </w:p>
    <w:p w14:paraId="7BF3B42D" w14:textId="77777777" w:rsidR="00553FB9" w:rsidRPr="00B6673A" w:rsidRDefault="00B75F01" w:rsidP="0022671B">
      <w:pPr>
        <w:spacing w:line="276" w:lineRule="auto"/>
        <w:rPr>
          <w:rFonts w:ascii="Times New Roman" w:hAnsi="Times New Roman" w:cs="Times New Roman"/>
          <w:sz w:val="24"/>
          <w:szCs w:val="24"/>
        </w:rPr>
      </w:pPr>
      <w:r w:rsidRPr="00B6673A">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E7CC326" wp14:editId="33574174">
                <wp:simplePos x="0" y="0"/>
                <wp:positionH relativeFrom="column">
                  <wp:posOffset>3680460</wp:posOffset>
                </wp:positionH>
                <wp:positionV relativeFrom="paragraph">
                  <wp:posOffset>8890</wp:posOffset>
                </wp:positionV>
                <wp:extent cx="487680" cy="55626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556260"/>
                        </a:xfrm>
                        <a:prstGeom prst="rect">
                          <a:avLst/>
                        </a:prstGeom>
                        <a:solidFill>
                          <a:schemeClr val="accent2"/>
                        </a:solidFill>
                        <a:ln w="9525">
                          <a:noFill/>
                          <a:miter lim="800000"/>
                          <a:headEnd/>
                          <a:tailEnd/>
                        </a:ln>
                      </wps:spPr>
                      <wps:txbx>
                        <w:txbxContent>
                          <w:p w14:paraId="6E5235EF" w14:textId="77777777" w:rsidR="001E40DC" w:rsidRPr="00B6673A" w:rsidRDefault="001E40DC" w:rsidP="001E40DC">
                            <w:pPr>
                              <w:spacing w:line="240" w:lineRule="auto"/>
                              <w:rPr>
                                <w:sz w:val="16"/>
                                <w:szCs w:val="16"/>
                              </w:rPr>
                            </w:pPr>
                            <w:r w:rsidRPr="00B6673A">
                              <w:rPr>
                                <w:sz w:val="16"/>
                                <w:szCs w:val="16"/>
                              </w:rPr>
                              <w:t>Buffer:</w:t>
                            </w:r>
                          </w:p>
                          <w:p w14:paraId="62EBF301" w14:textId="77777777" w:rsidR="001E40DC" w:rsidRPr="00B6673A" w:rsidRDefault="001E40DC" w:rsidP="001E40DC">
                            <w:pPr>
                              <w:spacing w:line="240" w:lineRule="auto"/>
                              <w:rPr>
                                <w:sz w:val="16"/>
                                <w:szCs w:val="16"/>
                              </w:rPr>
                            </w:pPr>
                            <w:r w:rsidRPr="00B6673A">
                              <w:rPr>
                                <w:sz w:val="16"/>
                                <w:szCs w:val="16"/>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7CC326" id="_x0000_t202" coordsize="21600,21600" o:spt="202" path="m,l,21600r21600,l21600,xe">
                <v:stroke joinstyle="miter"/>
                <v:path gradientshapeok="t" o:connecttype="rect"/>
              </v:shapetype>
              <v:shape id="Text Box 2" o:spid="_x0000_s1026" type="#_x0000_t202" style="position:absolute;margin-left:289.8pt;margin-top:.7pt;width:38.4pt;height:43.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" fillcolor="#ed7d31 [3205]" stroked="f">
                <v:textbox>
                  <w:txbxContent>
                    <w:p w14:paraId="6E5235EF" w14:textId="77777777" w:rsidR="001E40DC" w:rsidRPr="00B6673A" w:rsidRDefault="001E40DC" w:rsidP="001E40DC">
                      <w:pPr>
                        <w:spacing w:line="240" w:lineRule="auto"/>
                        <w:rPr>
                          <w:sz w:val="16"/>
                          <w:szCs w:val="16"/>
                        </w:rPr>
                      </w:pPr>
                      <w:r w:rsidRPr="00B6673A">
                        <w:rPr>
                          <w:sz w:val="16"/>
                          <w:szCs w:val="16"/>
                        </w:rPr>
                        <w:t>Buffer:</w:t>
                      </w:r>
                    </w:p>
                    <w:p w14:paraId="62EBF301" w14:textId="77777777" w:rsidR="001E40DC" w:rsidRPr="00B6673A" w:rsidRDefault="001E40DC" w:rsidP="001E40DC">
                      <w:pPr>
                        <w:spacing w:line="240" w:lineRule="auto"/>
                        <w:rPr>
                          <w:sz w:val="16"/>
                          <w:szCs w:val="16"/>
                        </w:rPr>
                      </w:pPr>
                      <w:r w:rsidRPr="00B6673A">
                        <w:rPr>
                          <w:sz w:val="16"/>
                          <w:szCs w:val="16"/>
                        </w:rPr>
                        <w:t>2.5%</w:t>
                      </w:r>
                    </w:p>
                  </w:txbxContent>
                </v:textbox>
                <w10:wrap type="square"/>
              </v:shape>
            </w:pict>
          </mc:Fallback>
        </mc:AlternateContent>
      </w:r>
    </w:p>
    <w:p w14:paraId="4F541CDB" w14:textId="77777777" w:rsidR="001E40DC" w:rsidRPr="00B6673A" w:rsidRDefault="001E40DC" w:rsidP="0022671B">
      <w:pPr>
        <w:spacing w:line="276" w:lineRule="auto"/>
        <w:rPr>
          <w:rFonts w:ascii="Times New Roman" w:hAnsi="Times New Roman" w:cs="Times New Roman"/>
          <w:b/>
          <w:bCs/>
          <w:sz w:val="28"/>
          <w:szCs w:val="28"/>
          <w:u w:val="single"/>
        </w:rPr>
      </w:pPr>
    </w:p>
    <w:p w14:paraId="68E3D6CC" w14:textId="77777777" w:rsidR="001E40DC" w:rsidRPr="00B6673A" w:rsidRDefault="001E40DC" w:rsidP="0022671B">
      <w:pPr>
        <w:spacing w:line="276" w:lineRule="auto"/>
        <w:rPr>
          <w:rFonts w:ascii="Times New Roman" w:hAnsi="Times New Roman" w:cs="Times New Roman"/>
          <w:b/>
          <w:bCs/>
          <w:sz w:val="28"/>
          <w:szCs w:val="28"/>
          <w:u w:val="single"/>
        </w:rPr>
      </w:pPr>
    </w:p>
    <w:p w14:paraId="07B436C4" w14:textId="77777777" w:rsidR="00904CFC" w:rsidRPr="00B6673A" w:rsidRDefault="00904CFC" w:rsidP="0022671B">
      <w:pPr>
        <w:spacing w:line="276" w:lineRule="auto"/>
        <w:rPr>
          <w:rFonts w:ascii="Times New Roman" w:hAnsi="Times New Roman" w:cs="Times New Roman"/>
          <w:b/>
          <w:bCs/>
          <w:sz w:val="28"/>
          <w:szCs w:val="28"/>
          <w:u w:val="single"/>
        </w:rPr>
      </w:pPr>
    </w:p>
    <w:p w14:paraId="27A5AAD6" w14:textId="77777777" w:rsidR="001E40DC" w:rsidRPr="00B6673A" w:rsidRDefault="001E40DC" w:rsidP="0022671B">
      <w:pPr>
        <w:spacing w:line="276" w:lineRule="auto"/>
        <w:rPr>
          <w:rFonts w:ascii="Times New Roman" w:hAnsi="Times New Roman" w:cs="Times New Roman"/>
          <w:b/>
          <w:bCs/>
          <w:sz w:val="28"/>
          <w:szCs w:val="28"/>
          <w:u w:val="single"/>
        </w:rPr>
      </w:pPr>
    </w:p>
    <w:p w14:paraId="19979EF9" w14:textId="77777777" w:rsidR="001E40DC" w:rsidRPr="00B75F01" w:rsidRDefault="00553FB9" w:rsidP="00B75F01">
      <w:pPr>
        <w:pStyle w:val="ListParagraph"/>
        <w:numPr>
          <w:ilvl w:val="0"/>
          <w:numId w:val="15"/>
        </w:numPr>
        <w:spacing w:line="276" w:lineRule="auto"/>
        <w:rPr>
          <w:rFonts w:ascii="Times New Roman" w:hAnsi="Times New Roman" w:cs="Times New Roman"/>
          <w:b/>
          <w:bCs/>
          <w:sz w:val="28"/>
          <w:szCs w:val="28"/>
          <w:u w:val="single"/>
        </w:rPr>
      </w:pPr>
      <w:r w:rsidRPr="00B75F01">
        <w:rPr>
          <w:rFonts w:ascii="Times New Roman" w:hAnsi="Times New Roman" w:cs="Times New Roman"/>
          <w:b/>
          <w:bCs/>
          <w:sz w:val="28"/>
          <w:szCs w:val="28"/>
          <w:u w:val="single"/>
        </w:rPr>
        <w:t>Analysis</w:t>
      </w:r>
    </w:p>
    <w:p w14:paraId="68BA7804" w14:textId="77777777" w:rsidR="001E40DC" w:rsidRPr="00B6673A" w:rsidRDefault="00553FB9" w:rsidP="0022671B">
      <w:pPr>
        <w:spacing w:line="276" w:lineRule="auto"/>
        <w:rPr>
          <w:rFonts w:ascii="Times New Roman" w:hAnsi="Times New Roman" w:cs="Times New Roman"/>
          <w:sz w:val="24"/>
          <w:szCs w:val="24"/>
        </w:rPr>
      </w:pPr>
      <w:r w:rsidRPr="00553FB9">
        <w:rPr>
          <w:rFonts w:ascii="Times New Roman" w:hAnsi="Times New Roman" w:cs="Times New Roman"/>
          <w:b/>
          <w:bCs/>
          <w:sz w:val="24"/>
          <w:szCs w:val="24"/>
        </w:rPr>
        <w:t>Previous Requirement:</w:t>
      </w:r>
    </w:p>
    <w:p w14:paraId="549B2F2F" w14:textId="77777777" w:rsidR="001E40DC" w:rsidRPr="00B6673A" w:rsidRDefault="00553FB9" w:rsidP="0022671B">
      <w:pPr>
        <w:spacing w:line="276" w:lineRule="auto"/>
        <w:rPr>
          <w:rFonts w:ascii="Times New Roman" w:hAnsi="Times New Roman" w:cs="Times New Roman"/>
          <w:b/>
          <w:bCs/>
          <w:sz w:val="24"/>
          <w:szCs w:val="24"/>
        </w:rPr>
      </w:pPr>
      <w:r w:rsidRPr="00553FB9">
        <w:rPr>
          <w:rFonts w:ascii="Times New Roman" w:hAnsi="Times New Roman" w:cs="Times New Roman"/>
          <w:sz w:val="24"/>
          <w:szCs w:val="24"/>
        </w:rPr>
        <w:t>Base &amp; Total Requirement: 2% (no buffer)</w:t>
      </w:r>
    </w:p>
    <w:p w14:paraId="606DEFF8" w14:textId="77777777" w:rsidR="001E40DC" w:rsidRPr="00B6673A" w:rsidRDefault="00553FB9" w:rsidP="0022671B">
      <w:pPr>
        <w:spacing w:line="276" w:lineRule="auto"/>
        <w:rPr>
          <w:rFonts w:ascii="Times New Roman" w:hAnsi="Times New Roman" w:cs="Times New Roman"/>
          <w:b/>
          <w:bCs/>
          <w:sz w:val="24"/>
          <w:szCs w:val="24"/>
        </w:rPr>
      </w:pPr>
      <w:r w:rsidRPr="00553FB9">
        <w:rPr>
          <w:rFonts w:ascii="Times New Roman" w:hAnsi="Times New Roman" w:cs="Times New Roman"/>
          <w:b/>
          <w:bCs/>
          <w:sz w:val="24"/>
          <w:szCs w:val="24"/>
        </w:rPr>
        <w:t>New Requirement:</w:t>
      </w:r>
    </w:p>
    <w:p w14:paraId="749BEB63" w14:textId="77777777" w:rsidR="001E40DC" w:rsidRPr="00B6673A" w:rsidRDefault="00553FB9" w:rsidP="0022671B">
      <w:pPr>
        <w:spacing w:line="276" w:lineRule="auto"/>
        <w:rPr>
          <w:rFonts w:ascii="Times New Roman" w:hAnsi="Times New Roman" w:cs="Times New Roman"/>
          <w:b/>
          <w:bCs/>
          <w:sz w:val="24"/>
          <w:szCs w:val="24"/>
        </w:rPr>
      </w:pPr>
      <w:r w:rsidRPr="00553FB9">
        <w:rPr>
          <w:rFonts w:ascii="Times New Roman" w:hAnsi="Times New Roman" w:cs="Times New Roman"/>
          <w:sz w:val="24"/>
          <w:szCs w:val="24"/>
        </w:rPr>
        <w:t>Base Requirement: 4.5%</w:t>
      </w:r>
    </w:p>
    <w:p w14:paraId="1CA21D31" w14:textId="77777777" w:rsidR="00553FB9" w:rsidRPr="00B6673A" w:rsidRDefault="00553FB9" w:rsidP="0022671B">
      <w:pPr>
        <w:spacing w:line="276" w:lineRule="auto"/>
        <w:rPr>
          <w:rFonts w:ascii="Times New Roman" w:hAnsi="Times New Roman" w:cs="Times New Roman"/>
          <w:b/>
          <w:bCs/>
          <w:sz w:val="24"/>
          <w:szCs w:val="24"/>
        </w:rPr>
      </w:pPr>
      <w:r w:rsidRPr="00553FB9">
        <w:rPr>
          <w:rFonts w:ascii="Times New Roman" w:hAnsi="Times New Roman" w:cs="Times New Roman"/>
          <w:sz w:val="24"/>
          <w:szCs w:val="24"/>
        </w:rPr>
        <w:t>Total Requirement: 7% (includes a 2.5% buffer)</w:t>
      </w:r>
    </w:p>
    <w:p w14:paraId="1246ADC1" w14:textId="77777777" w:rsidR="001E40DC" w:rsidRPr="00B6673A" w:rsidRDefault="00553FB9" w:rsidP="0022671B">
      <w:pPr>
        <w:spacing w:before="100" w:beforeAutospacing="1" w:after="100" w:afterAutospacing="1" w:line="276" w:lineRule="auto"/>
        <w:rPr>
          <w:rFonts w:ascii="Times New Roman" w:hAnsi="Times New Roman" w:cs="Times New Roman"/>
          <w:b/>
          <w:bCs/>
          <w:sz w:val="28"/>
          <w:szCs w:val="28"/>
          <w:u w:val="single"/>
        </w:rPr>
      </w:pPr>
      <w:r w:rsidRPr="00553FB9">
        <w:rPr>
          <w:rFonts w:ascii="Times New Roman" w:hAnsi="Times New Roman" w:cs="Times New Roman"/>
          <w:b/>
          <w:bCs/>
          <w:sz w:val="28"/>
          <w:szCs w:val="28"/>
          <w:u w:val="single"/>
        </w:rPr>
        <w:t>Inference</w:t>
      </w:r>
    </w:p>
    <w:p w14:paraId="3C848D7F" w14:textId="77777777" w:rsidR="001E40DC" w:rsidRPr="00B6673A" w:rsidRDefault="00553FB9" w:rsidP="0022671B">
      <w:pPr>
        <w:spacing w:before="100" w:beforeAutospacing="1" w:after="100" w:afterAutospacing="1" w:line="276" w:lineRule="auto"/>
        <w:rPr>
          <w:rFonts w:ascii="Times New Roman" w:hAnsi="Times New Roman" w:cs="Times New Roman"/>
          <w:b/>
          <w:bCs/>
          <w:sz w:val="24"/>
          <w:szCs w:val="24"/>
        </w:rPr>
      </w:pPr>
      <w:r w:rsidRPr="00553FB9">
        <w:rPr>
          <w:rFonts w:ascii="Times New Roman" w:hAnsi="Times New Roman" w:cs="Times New Roman"/>
          <w:b/>
          <w:bCs/>
          <w:sz w:val="24"/>
          <w:szCs w:val="24"/>
        </w:rPr>
        <w:t>Base Requirement:</w:t>
      </w:r>
    </w:p>
    <w:p w14:paraId="44350672" w14:textId="77777777" w:rsidR="0022671B" w:rsidRPr="00B6673A" w:rsidRDefault="00553FB9" w:rsidP="0022671B">
      <w:pPr>
        <w:spacing w:before="100" w:beforeAutospacing="1" w:after="100" w:afterAutospacing="1" w:line="276" w:lineRule="auto"/>
        <w:rPr>
          <w:rFonts w:ascii="Times New Roman" w:hAnsi="Times New Roman" w:cs="Times New Roman"/>
          <w:b/>
          <w:bCs/>
          <w:sz w:val="24"/>
          <w:szCs w:val="24"/>
        </w:rPr>
      </w:pPr>
      <w:r w:rsidRPr="00553FB9">
        <w:rPr>
          <w:rFonts w:ascii="Times New Roman" w:hAnsi="Times New Roman" w:cs="Times New Roman"/>
          <w:sz w:val="24"/>
          <w:szCs w:val="24"/>
        </w:rPr>
        <w:t>Increased from 2% to 4.5%.</w:t>
      </w:r>
    </w:p>
    <w:p w14:paraId="41451DED" w14:textId="77777777" w:rsidR="001E40DC" w:rsidRPr="00B6673A" w:rsidRDefault="00553FB9" w:rsidP="0022671B">
      <w:pPr>
        <w:spacing w:before="100" w:beforeAutospacing="1" w:after="100" w:afterAutospacing="1" w:line="276" w:lineRule="auto"/>
        <w:rPr>
          <w:rFonts w:ascii="Times New Roman" w:hAnsi="Times New Roman" w:cs="Times New Roman"/>
          <w:b/>
          <w:bCs/>
          <w:sz w:val="24"/>
          <w:szCs w:val="24"/>
        </w:rPr>
      </w:pPr>
      <w:r w:rsidRPr="00553FB9">
        <w:rPr>
          <w:rFonts w:ascii="Times New Roman" w:hAnsi="Times New Roman" w:cs="Times New Roman"/>
          <w:b/>
          <w:bCs/>
          <w:sz w:val="24"/>
          <w:szCs w:val="24"/>
        </w:rPr>
        <w:t>Buffer Requirement:</w:t>
      </w:r>
    </w:p>
    <w:p w14:paraId="1399F720" w14:textId="77777777" w:rsidR="001E40DC" w:rsidRPr="00B6673A" w:rsidRDefault="00553FB9" w:rsidP="0022671B">
      <w:pPr>
        <w:spacing w:before="100" w:beforeAutospacing="1" w:after="100" w:afterAutospacing="1" w:line="276" w:lineRule="auto"/>
        <w:rPr>
          <w:rFonts w:ascii="Times New Roman" w:hAnsi="Times New Roman" w:cs="Times New Roman"/>
          <w:sz w:val="24"/>
          <w:szCs w:val="24"/>
        </w:rPr>
      </w:pPr>
      <w:r w:rsidRPr="00553FB9">
        <w:rPr>
          <w:rFonts w:ascii="Times New Roman" w:hAnsi="Times New Roman" w:cs="Times New Roman"/>
          <w:sz w:val="24"/>
          <w:szCs w:val="24"/>
        </w:rPr>
        <w:t>Introduced a 2.5% buffer, raising the total to 7%.</w:t>
      </w:r>
    </w:p>
    <w:p w14:paraId="14AA3AEE" w14:textId="77777777" w:rsidR="00553FB9" w:rsidRPr="00553FB9" w:rsidRDefault="00553FB9" w:rsidP="0022671B">
      <w:pPr>
        <w:spacing w:before="100" w:beforeAutospacing="1" w:after="100" w:afterAutospacing="1" w:line="276" w:lineRule="auto"/>
        <w:rPr>
          <w:rFonts w:ascii="Times New Roman" w:hAnsi="Times New Roman" w:cs="Times New Roman"/>
          <w:b/>
          <w:bCs/>
          <w:sz w:val="28"/>
          <w:szCs w:val="28"/>
          <w:u w:val="single"/>
        </w:rPr>
      </w:pPr>
      <w:r w:rsidRPr="00553FB9">
        <w:rPr>
          <w:rFonts w:ascii="Times New Roman" w:hAnsi="Times New Roman" w:cs="Times New Roman"/>
          <w:b/>
          <w:bCs/>
          <w:sz w:val="28"/>
          <w:szCs w:val="28"/>
          <w:u w:val="single"/>
        </w:rPr>
        <w:lastRenderedPageBreak/>
        <w:t>Implications</w:t>
      </w:r>
    </w:p>
    <w:p w14:paraId="61A367B1" w14:textId="77777777" w:rsidR="00553FB9" w:rsidRPr="00B6673A" w:rsidRDefault="00553FB9" w:rsidP="0022671B">
      <w:pPr>
        <w:pStyle w:val="ListParagraph"/>
        <w:numPr>
          <w:ilvl w:val="0"/>
          <w:numId w:val="4"/>
        </w:numPr>
        <w:spacing w:before="100" w:beforeAutospacing="1" w:after="100" w:afterAutospacing="1" w:line="276" w:lineRule="auto"/>
        <w:rPr>
          <w:rFonts w:ascii="Times New Roman" w:hAnsi="Times New Roman" w:cs="Times New Roman"/>
          <w:sz w:val="24"/>
          <w:szCs w:val="24"/>
        </w:rPr>
      </w:pPr>
      <w:r w:rsidRPr="00B6673A">
        <w:rPr>
          <w:rFonts w:ascii="Times New Roman" w:hAnsi="Times New Roman" w:cs="Times New Roman"/>
          <w:b/>
          <w:bCs/>
          <w:sz w:val="24"/>
          <w:szCs w:val="24"/>
        </w:rPr>
        <w:t>For Banks:</w:t>
      </w:r>
      <w:r w:rsidRPr="00B6673A">
        <w:rPr>
          <w:rFonts w:ascii="Times New Roman" w:hAnsi="Times New Roman" w:cs="Times New Roman"/>
          <w:sz w:val="24"/>
          <w:szCs w:val="24"/>
        </w:rPr>
        <w:t xml:space="preserve"> Must raise additional capital, retain more earnings, or reduce risk-weighted assets.</w:t>
      </w:r>
    </w:p>
    <w:p w14:paraId="54CDEA16" w14:textId="77777777" w:rsidR="00553FB9" w:rsidRPr="00B6673A" w:rsidRDefault="00553FB9" w:rsidP="0022671B">
      <w:pPr>
        <w:pStyle w:val="ListParagraph"/>
        <w:numPr>
          <w:ilvl w:val="0"/>
          <w:numId w:val="4"/>
        </w:numPr>
        <w:spacing w:before="100" w:beforeAutospacing="1" w:after="100" w:afterAutospacing="1" w:line="276" w:lineRule="auto"/>
        <w:rPr>
          <w:rFonts w:ascii="Times New Roman" w:hAnsi="Times New Roman" w:cs="Times New Roman"/>
          <w:sz w:val="24"/>
          <w:szCs w:val="24"/>
        </w:rPr>
      </w:pPr>
      <w:r w:rsidRPr="00B6673A">
        <w:rPr>
          <w:rFonts w:ascii="Times New Roman" w:hAnsi="Times New Roman" w:cs="Times New Roman"/>
          <w:b/>
          <w:bCs/>
          <w:sz w:val="24"/>
          <w:szCs w:val="24"/>
        </w:rPr>
        <w:t>For the Financial System:</w:t>
      </w:r>
      <w:r w:rsidRPr="00B6673A">
        <w:rPr>
          <w:rFonts w:ascii="Times New Roman" w:hAnsi="Times New Roman" w:cs="Times New Roman"/>
          <w:sz w:val="24"/>
          <w:szCs w:val="24"/>
        </w:rPr>
        <w:t xml:space="preserve"> Enhanced stability and resilience, reducing insolvency risk and protecting depositors.</w:t>
      </w:r>
    </w:p>
    <w:p w14:paraId="7A9A2056" w14:textId="77777777" w:rsidR="00553FB9" w:rsidRPr="00B6673A" w:rsidRDefault="00553FB9" w:rsidP="0022671B">
      <w:pPr>
        <w:pStyle w:val="ListParagraph"/>
        <w:numPr>
          <w:ilvl w:val="0"/>
          <w:numId w:val="4"/>
        </w:numPr>
        <w:spacing w:before="100" w:beforeAutospacing="1" w:after="100" w:afterAutospacing="1" w:line="276" w:lineRule="auto"/>
        <w:rPr>
          <w:rFonts w:ascii="Times New Roman" w:hAnsi="Times New Roman" w:cs="Times New Roman"/>
          <w:sz w:val="24"/>
          <w:szCs w:val="24"/>
        </w:rPr>
      </w:pPr>
      <w:r w:rsidRPr="00B6673A">
        <w:rPr>
          <w:rFonts w:ascii="Times New Roman" w:hAnsi="Times New Roman" w:cs="Times New Roman"/>
          <w:b/>
          <w:bCs/>
          <w:sz w:val="24"/>
          <w:szCs w:val="24"/>
        </w:rPr>
        <w:t xml:space="preserve">For Stakeholders: </w:t>
      </w:r>
      <w:r w:rsidRPr="00B6673A">
        <w:rPr>
          <w:rFonts w:ascii="Times New Roman" w:hAnsi="Times New Roman" w:cs="Times New Roman"/>
          <w:sz w:val="24"/>
          <w:szCs w:val="24"/>
        </w:rPr>
        <w:t>Increased confidence in banks, but potentially lower returns on equity.</w:t>
      </w:r>
    </w:p>
    <w:p w14:paraId="05D774FD" w14:textId="77777777" w:rsidR="00553FB9" w:rsidRPr="00B6673A" w:rsidRDefault="00553FB9" w:rsidP="0022671B">
      <w:pPr>
        <w:spacing w:before="100" w:beforeAutospacing="1" w:after="100" w:afterAutospacing="1" w:line="276" w:lineRule="auto"/>
        <w:rPr>
          <w:rFonts w:ascii="Times New Roman" w:hAnsi="Times New Roman" w:cs="Times New Roman"/>
          <w:sz w:val="24"/>
          <w:szCs w:val="24"/>
        </w:rPr>
      </w:pPr>
      <w:r w:rsidRPr="00553FB9">
        <w:rPr>
          <w:rFonts w:ascii="Times New Roman" w:hAnsi="Times New Roman" w:cs="Times New Roman"/>
          <w:sz w:val="24"/>
          <w:szCs w:val="24"/>
        </w:rPr>
        <w:t>The rise in capital requirements and introduction of a buffer aims to create a more stable banking sector, better equipped to handle financial stresses, thereby enhancing overall economic stability and confidence.</w:t>
      </w:r>
    </w:p>
    <w:p w14:paraId="35AFB732" w14:textId="77777777" w:rsidR="001E40DC" w:rsidRPr="00B6673A" w:rsidRDefault="00904CFC" w:rsidP="0022671B">
      <w:pPr>
        <w:spacing w:before="100" w:beforeAutospacing="1" w:after="100" w:afterAutospacing="1" w:line="276" w:lineRule="auto"/>
        <w:rPr>
          <w:rFonts w:ascii="Times New Roman" w:hAnsi="Times New Roman" w:cs="Times New Roman"/>
          <w:sz w:val="24"/>
          <w:szCs w:val="24"/>
        </w:rPr>
      </w:pPr>
      <w:r w:rsidRPr="00B6673A">
        <w:rPr>
          <w:rFonts w:ascii="Times New Roman" w:hAnsi="Times New Roman" w:cs="Times New Roman"/>
          <w:noProof/>
          <w:sz w:val="24"/>
          <w:szCs w:val="24"/>
        </w:rPr>
        <w:drawing>
          <wp:inline distT="0" distB="0" distL="0" distR="0" wp14:anchorId="47E0E8A3" wp14:editId="1A499E1E">
            <wp:extent cx="5486400" cy="2735580"/>
            <wp:effectExtent l="0" t="0" r="0" b="7620"/>
            <wp:docPr id="176992137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13D63A" w14:textId="77777777" w:rsidR="00904CFC" w:rsidRPr="00B75F01" w:rsidRDefault="00904CFC" w:rsidP="00B75F01">
      <w:pPr>
        <w:pStyle w:val="ListParagraph"/>
        <w:numPr>
          <w:ilvl w:val="0"/>
          <w:numId w:val="15"/>
        </w:numPr>
        <w:spacing w:before="100" w:beforeAutospacing="1" w:after="100" w:afterAutospacing="1" w:line="276" w:lineRule="auto"/>
        <w:rPr>
          <w:rFonts w:ascii="Times New Roman" w:eastAsia="Times New Roman" w:hAnsi="Times New Roman" w:cs="Times New Roman"/>
          <w:b/>
          <w:bCs/>
          <w:kern w:val="0"/>
          <w:sz w:val="28"/>
          <w:szCs w:val="28"/>
          <w:u w:val="single"/>
          <w:lang w:eastAsia="en-IN"/>
          <w14:ligatures w14:val="none"/>
        </w:rPr>
      </w:pPr>
      <w:r w:rsidRPr="00B75F01">
        <w:rPr>
          <w:rFonts w:ascii="Times New Roman" w:eastAsia="Times New Roman" w:hAnsi="Times New Roman" w:cs="Times New Roman"/>
          <w:b/>
          <w:bCs/>
          <w:kern w:val="0"/>
          <w:sz w:val="28"/>
          <w:szCs w:val="28"/>
          <w:u w:val="single"/>
          <w:lang w:eastAsia="en-IN"/>
          <w14:ligatures w14:val="none"/>
        </w:rPr>
        <w:t>Analysis</w:t>
      </w:r>
    </w:p>
    <w:p w14:paraId="610E3979"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b/>
          <w:bCs/>
          <w:kern w:val="0"/>
          <w:sz w:val="24"/>
          <w:szCs w:val="24"/>
          <w:lang w:eastAsia="en-IN"/>
          <w14:ligatures w14:val="none"/>
        </w:rPr>
        <w:t>Previous Requirement</w:t>
      </w:r>
    </w:p>
    <w:p w14:paraId="79BFBEF4"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Base Requirement: 4%</w:t>
      </w:r>
    </w:p>
    <w:p w14:paraId="4C0D9B57"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Total Requirement: 4%</w:t>
      </w:r>
    </w:p>
    <w:p w14:paraId="410D2675" w14:textId="77777777" w:rsidR="00904CFC" w:rsidRPr="00B6673A"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No additional breakdown for common equity or additional Tier 1 capital.</w:t>
      </w:r>
    </w:p>
    <w:p w14:paraId="308925C8"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b/>
          <w:bCs/>
          <w:kern w:val="0"/>
          <w:sz w:val="24"/>
          <w:szCs w:val="24"/>
          <w:lang w:eastAsia="en-IN"/>
          <w14:ligatures w14:val="none"/>
        </w:rPr>
        <w:t>New Requirement</w:t>
      </w:r>
      <w:r w:rsidRPr="00904CFC">
        <w:rPr>
          <w:rFonts w:ascii="Times New Roman" w:eastAsia="Times New Roman" w:hAnsi="Times New Roman" w:cs="Times New Roman"/>
          <w:kern w:val="0"/>
          <w:sz w:val="24"/>
          <w:szCs w:val="24"/>
          <w:lang w:eastAsia="en-IN"/>
          <w14:ligatures w14:val="none"/>
        </w:rPr>
        <w:t>:</w:t>
      </w:r>
    </w:p>
    <w:p w14:paraId="187B23E1"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Common Equity Tier 1: 4.5%</w:t>
      </w:r>
    </w:p>
    <w:p w14:paraId="471C2762"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Additional Tier 1 Capital: 1.5%</w:t>
      </w:r>
    </w:p>
    <w:p w14:paraId="1E1FC0BB" w14:textId="77777777" w:rsidR="00904CFC" w:rsidRPr="00B6673A"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Total Requirement: 6%</w:t>
      </w:r>
    </w:p>
    <w:p w14:paraId="43318F83"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b/>
          <w:bCs/>
          <w:kern w:val="0"/>
          <w:sz w:val="28"/>
          <w:szCs w:val="28"/>
          <w:u w:val="single"/>
          <w:lang w:eastAsia="en-IN"/>
          <w14:ligatures w14:val="none"/>
        </w:rPr>
      </w:pPr>
      <w:r w:rsidRPr="00904CFC">
        <w:rPr>
          <w:rFonts w:ascii="Times New Roman" w:eastAsia="Times New Roman" w:hAnsi="Times New Roman" w:cs="Times New Roman"/>
          <w:b/>
          <w:bCs/>
          <w:kern w:val="0"/>
          <w:sz w:val="28"/>
          <w:szCs w:val="28"/>
          <w:u w:val="single"/>
          <w:lang w:eastAsia="en-IN"/>
          <w14:ligatures w14:val="none"/>
        </w:rPr>
        <w:lastRenderedPageBreak/>
        <w:t>Inference</w:t>
      </w:r>
    </w:p>
    <w:p w14:paraId="5F5B7CAA" w14:textId="77777777" w:rsidR="00904CFC" w:rsidRPr="00B6673A" w:rsidRDefault="00904CFC" w:rsidP="0022671B">
      <w:pPr>
        <w:spacing w:before="100" w:beforeAutospacing="1" w:after="100" w:afterAutospacing="1" w:line="276" w:lineRule="auto"/>
        <w:rPr>
          <w:rFonts w:ascii="Times New Roman" w:eastAsia="Times New Roman" w:hAnsi="Times New Roman" w:cs="Times New Roman"/>
          <w:b/>
          <w:bCs/>
          <w:kern w:val="0"/>
          <w:sz w:val="24"/>
          <w:szCs w:val="24"/>
          <w:lang w:eastAsia="en-IN"/>
          <w14:ligatures w14:val="none"/>
        </w:rPr>
      </w:pPr>
      <w:r w:rsidRPr="00904CFC">
        <w:rPr>
          <w:rFonts w:ascii="Times New Roman" w:eastAsia="Times New Roman" w:hAnsi="Times New Roman" w:cs="Times New Roman"/>
          <w:b/>
          <w:bCs/>
          <w:kern w:val="0"/>
          <w:sz w:val="24"/>
          <w:szCs w:val="24"/>
          <w:lang w:eastAsia="en-IN"/>
          <w14:ligatures w14:val="none"/>
        </w:rPr>
        <w:t xml:space="preserve">Increase in Requirement: </w:t>
      </w:r>
    </w:p>
    <w:p w14:paraId="53CA6B0F"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The total Tier 1 capital requirement has been raised from 4% to 6%.</w:t>
      </w:r>
    </w:p>
    <w:p w14:paraId="177A0E78"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b/>
          <w:bCs/>
          <w:kern w:val="0"/>
          <w:sz w:val="24"/>
          <w:szCs w:val="24"/>
          <w:lang w:eastAsia="en-IN"/>
          <w14:ligatures w14:val="none"/>
        </w:rPr>
      </w:pPr>
      <w:r w:rsidRPr="00904CFC">
        <w:rPr>
          <w:rFonts w:ascii="Times New Roman" w:eastAsia="Times New Roman" w:hAnsi="Times New Roman" w:cs="Times New Roman"/>
          <w:b/>
          <w:bCs/>
          <w:kern w:val="0"/>
          <w:sz w:val="24"/>
          <w:szCs w:val="24"/>
          <w:lang w:eastAsia="en-IN"/>
          <w14:ligatures w14:val="none"/>
        </w:rPr>
        <w:t xml:space="preserve">Breakdown of New </w:t>
      </w:r>
      <w:r w:rsidRPr="00B6673A">
        <w:rPr>
          <w:rFonts w:ascii="Times New Roman" w:eastAsia="Times New Roman" w:hAnsi="Times New Roman" w:cs="Times New Roman"/>
          <w:b/>
          <w:bCs/>
          <w:kern w:val="0"/>
          <w:sz w:val="24"/>
          <w:szCs w:val="24"/>
          <w:lang w:eastAsia="en-IN"/>
          <w14:ligatures w14:val="none"/>
        </w:rPr>
        <w:t>Requirements</w:t>
      </w:r>
      <w:r w:rsidRPr="00904CFC">
        <w:rPr>
          <w:rFonts w:ascii="Times New Roman" w:eastAsia="Times New Roman" w:hAnsi="Times New Roman" w:cs="Times New Roman"/>
          <w:b/>
          <w:bCs/>
          <w:kern w:val="0"/>
          <w:sz w:val="24"/>
          <w:szCs w:val="24"/>
          <w:lang w:eastAsia="en-IN"/>
          <w14:ligatures w14:val="none"/>
        </w:rPr>
        <w:t>:</w:t>
      </w:r>
    </w:p>
    <w:p w14:paraId="4089DA46"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Common Equity Tier 1: 4.5%</w:t>
      </w:r>
    </w:p>
    <w:p w14:paraId="0387909E" w14:textId="77777777" w:rsidR="0022671B" w:rsidRPr="00B6673A"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Additional Tier 1 Capital: 1.5%</w:t>
      </w:r>
    </w:p>
    <w:p w14:paraId="02C3A112" w14:textId="77777777" w:rsidR="00904CFC" w:rsidRPr="00904CFC" w:rsidRDefault="00904CFC" w:rsidP="0022671B">
      <w:pPr>
        <w:spacing w:before="100" w:beforeAutospacing="1" w:after="100" w:afterAutospacing="1" w:line="276" w:lineRule="auto"/>
        <w:rPr>
          <w:rFonts w:ascii="Times New Roman" w:eastAsia="Times New Roman" w:hAnsi="Times New Roman" w:cs="Times New Roman"/>
          <w:b/>
          <w:bCs/>
          <w:kern w:val="0"/>
          <w:sz w:val="28"/>
          <w:szCs w:val="28"/>
          <w:u w:val="single"/>
          <w:lang w:eastAsia="en-IN"/>
          <w14:ligatures w14:val="none"/>
        </w:rPr>
      </w:pPr>
      <w:r w:rsidRPr="00904CFC">
        <w:rPr>
          <w:rFonts w:ascii="Times New Roman" w:eastAsia="Times New Roman" w:hAnsi="Times New Roman" w:cs="Times New Roman"/>
          <w:b/>
          <w:bCs/>
          <w:kern w:val="0"/>
          <w:sz w:val="28"/>
          <w:szCs w:val="28"/>
          <w:u w:val="single"/>
          <w:lang w:eastAsia="en-IN"/>
          <w14:ligatures w14:val="none"/>
        </w:rPr>
        <w:t>Implications:</w:t>
      </w:r>
    </w:p>
    <w:p w14:paraId="2606CE56" w14:textId="77777777" w:rsidR="00904CFC" w:rsidRPr="00904CFC" w:rsidRDefault="00904CFC" w:rsidP="0022671B">
      <w:pPr>
        <w:numPr>
          <w:ilvl w:val="0"/>
          <w:numId w:val="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b/>
          <w:bCs/>
          <w:kern w:val="0"/>
          <w:sz w:val="24"/>
          <w:szCs w:val="24"/>
          <w:lang w:eastAsia="en-IN"/>
          <w14:ligatures w14:val="none"/>
        </w:rPr>
        <w:t>For Banks:</w:t>
      </w:r>
      <w:r w:rsidRPr="00904CFC">
        <w:rPr>
          <w:rFonts w:ascii="Times New Roman" w:eastAsia="Times New Roman" w:hAnsi="Times New Roman" w:cs="Times New Roman"/>
          <w:kern w:val="0"/>
          <w:sz w:val="24"/>
          <w:szCs w:val="24"/>
          <w:lang w:eastAsia="en-IN"/>
          <w14:ligatures w14:val="none"/>
        </w:rPr>
        <w:t xml:space="preserve"> They need to adjust their capital structures to meet these new requirements. This may involve raising additional common equity and other Tier 1 capital.</w:t>
      </w:r>
    </w:p>
    <w:p w14:paraId="6E2685D2" w14:textId="77777777" w:rsidR="00904CFC" w:rsidRPr="00904CFC" w:rsidRDefault="00904CFC" w:rsidP="0022671B">
      <w:pPr>
        <w:numPr>
          <w:ilvl w:val="0"/>
          <w:numId w:val="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b/>
          <w:bCs/>
          <w:kern w:val="0"/>
          <w:sz w:val="24"/>
          <w:szCs w:val="24"/>
          <w:lang w:eastAsia="en-IN"/>
          <w14:ligatures w14:val="none"/>
        </w:rPr>
        <w:t>For the Financial System:</w:t>
      </w:r>
      <w:r w:rsidRPr="00904CFC">
        <w:rPr>
          <w:rFonts w:ascii="Times New Roman" w:eastAsia="Times New Roman" w:hAnsi="Times New Roman" w:cs="Times New Roman"/>
          <w:kern w:val="0"/>
          <w:sz w:val="24"/>
          <w:szCs w:val="24"/>
          <w:lang w:eastAsia="en-IN"/>
          <w14:ligatures w14:val="none"/>
        </w:rPr>
        <w:t xml:space="preserve"> The increase in Tier 1 capital is aimed at enhancing the stability and resilience of the banking sector, reducing the risk of insolvency during financial downturns.</w:t>
      </w:r>
    </w:p>
    <w:p w14:paraId="56E8AC31" w14:textId="77777777" w:rsidR="00904CFC" w:rsidRPr="00904CFC" w:rsidRDefault="00904CFC" w:rsidP="0022671B">
      <w:pPr>
        <w:numPr>
          <w:ilvl w:val="0"/>
          <w:numId w:val="7"/>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b/>
          <w:bCs/>
          <w:kern w:val="0"/>
          <w:sz w:val="24"/>
          <w:szCs w:val="24"/>
          <w:lang w:eastAsia="en-IN"/>
          <w14:ligatures w14:val="none"/>
        </w:rPr>
        <w:t>For Stakeholders:</w:t>
      </w:r>
      <w:r w:rsidRPr="00904CFC">
        <w:rPr>
          <w:rFonts w:ascii="Times New Roman" w:eastAsia="Times New Roman" w:hAnsi="Times New Roman" w:cs="Times New Roman"/>
          <w:kern w:val="0"/>
          <w:sz w:val="24"/>
          <w:szCs w:val="24"/>
          <w:lang w:eastAsia="en-IN"/>
          <w14:ligatures w14:val="none"/>
        </w:rPr>
        <w:t xml:space="preserve"> Investors and depositors might feel more secure due to the higher capital buffers, but this could lead to lower returns on equity due to the increased capital base.</w:t>
      </w:r>
    </w:p>
    <w:p w14:paraId="3722CB03" w14:textId="77777777" w:rsidR="00904CFC" w:rsidRDefault="00904CFC" w:rsidP="0022671B">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904CFC">
        <w:rPr>
          <w:rFonts w:ascii="Times New Roman" w:eastAsia="Times New Roman" w:hAnsi="Times New Roman" w:cs="Times New Roman"/>
          <w:kern w:val="0"/>
          <w:sz w:val="24"/>
          <w:szCs w:val="24"/>
          <w:lang w:eastAsia="en-IN"/>
          <w14:ligatures w14:val="none"/>
        </w:rPr>
        <w:t>The new Tier 1 capital requirements, with a specific focus on increasing common equity and introducing additional Tier 1 capital, aim to create a more secure and stable banking sector. This regulatory change is designed to ensure banks are better equipped to withstand financial stresses, promoting overall economic stability and confidence in the financial system. ​</w:t>
      </w:r>
    </w:p>
    <w:p w14:paraId="4CD30B8E" w14:textId="77777777" w:rsidR="00B75F01" w:rsidRDefault="00B6673A" w:rsidP="00B75F01">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B6673A">
        <w:rPr>
          <w:rFonts w:ascii="Times New Roman" w:eastAsia="Times New Roman" w:hAnsi="Times New Roman" w:cs="Times New Roman"/>
          <w:noProof/>
          <w:kern w:val="0"/>
          <w:sz w:val="24"/>
          <w:szCs w:val="24"/>
          <w:lang w:eastAsia="en-IN"/>
        </w:rPr>
        <w:drawing>
          <wp:inline distT="0" distB="0" distL="0" distR="0" wp14:anchorId="63D89149" wp14:editId="064A98EE">
            <wp:extent cx="5379720" cy="2788920"/>
            <wp:effectExtent l="0" t="0" r="11430" b="11430"/>
            <wp:docPr id="20934828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76F1BC7" w14:textId="77777777" w:rsidR="00164E88" w:rsidRPr="00B75F01" w:rsidRDefault="00164E88" w:rsidP="00B75F01">
      <w:pPr>
        <w:pStyle w:val="ListParagraph"/>
        <w:numPr>
          <w:ilvl w:val="0"/>
          <w:numId w:val="15"/>
        </w:numPr>
        <w:spacing w:before="100" w:beforeAutospacing="1" w:after="100" w:afterAutospacing="1" w:line="276" w:lineRule="auto"/>
        <w:rPr>
          <w:rFonts w:ascii="Times New Roman" w:eastAsia="Times New Roman" w:hAnsi="Times New Roman" w:cs="Times New Roman"/>
          <w:kern w:val="0"/>
          <w:sz w:val="28"/>
          <w:szCs w:val="28"/>
          <w:u w:val="single"/>
          <w:lang w:eastAsia="en-IN"/>
          <w14:ligatures w14:val="none"/>
        </w:rPr>
      </w:pPr>
      <w:r w:rsidRPr="00B75F01">
        <w:rPr>
          <w:rFonts w:ascii="Times New Roman" w:eastAsia="Times New Roman" w:hAnsi="Times New Roman" w:cs="Times New Roman"/>
          <w:b/>
          <w:bCs/>
          <w:kern w:val="0"/>
          <w:sz w:val="28"/>
          <w:szCs w:val="28"/>
          <w:u w:val="single"/>
          <w:lang w:eastAsia="en-IN"/>
          <w14:ligatures w14:val="none"/>
        </w:rPr>
        <w:lastRenderedPageBreak/>
        <w:t>Analysis</w:t>
      </w:r>
    </w:p>
    <w:p w14:paraId="5C898F49" w14:textId="77777777" w:rsidR="00164E88" w:rsidRPr="00164E88" w:rsidRDefault="00164E88" w:rsidP="00B75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4E88">
        <w:rPr>
          <w:rFonts w:ascii="Times New Roman" w:eastAsia="Times New Roman" w:hAnsi="Times New Roman" w:cs="Times New Roman"/>
          <w:kern w:val="0"/>
          <w:sz w:val="24"/>
          <w:szCs w:val="24"/>
          <w:lang w:eastAsia="en-IN"/>
          <w14:ligatures w14:val="none"/>
        </w:rPr>
        <w:t xml:space="preserve">The graph compares the </w:t>
      </w:r>
      <w:r w:rsidRPr="00164E88">
        <w:rPr>
          <w:rFonts w:ascii="Times New Roman" w:eastAsia="Times New Roman" w:hAnsi="Times New Roman" w:cs="Times New Roman"/>
          <w:b/>
          <w:bCs/>
          <w:kern w:val="0"/>
          <w:sz w:val="24"/>
          <w:szCs w:val="24"/>
          <w:lang w:eastAsia="en-IN"/>
          <w14:ligatures w14:val="none"/>
        </w:rPr>
        <w:t>leverage ratio requirements</w:t>
      </w:r>
      <w:r w:rsidRPr="00164E88">
        <w:rPr>
          <w:rFonts w:ascii="Times New Roman" w:eastAsia="Times New Roman" w:hAnsi="Times New Roman" w:cs="Times New Roman"/>
          <w:kern w:val="0"/>
          <w:sz w:val="24"/>
          <w:szCs w:val="24"/>
          <w:lang w:eastAsia="en-IN"/>
          <w14:ligatures w14:val="none"/>
        </w:rPr>
        <w:t xml:space="preserve"> for two types of financial institutions:</w:t>
      </w:r>
    </w:p>
    <w:p w14:paraId="244AD63D" w14:textId="77777777" w:rsidR="00B75F01" w:rsidRDefault="00164E88" w:rsidP="00B75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4E88">
        <w:rPr>
          <w:rFonts w:ascii="Times New Roman" w:eastAsia="Times New Roman" w:hAnsi="Times New Roman" w:cs="Times New Roman"/>
          <w:b/>
          <w:bCs/>
          <w:kern w:val="0"/>
          <w:sz w:val="24"/>
          <w:szCs w:val="24"/>
          <w:lang w:eastAsia="en-IN"/>
          <w14:ligatures w14:val="none"/>
        </w:rPr>
        <w:t>Systemically Important Financial Institutions (SIFI)</w:t>
      </w:r>
      <w:r w:rsidRPr="00164E88">
        <w:rPr>
          <w:rFonts w:ascii="Times New Roman" w:eastAsia="Times New Roman" w:hAnsi="Times New Roman" w:cs="Times New Roman"/>
          <w:kern w:val="0"/>
          <w:sz w:val="24"/>
          <w:szCs w:val="24"/>
          <w:lang w:eastAsia="en-IN"/>
          <w14:ligatures w14:val="none"/>
        </w:rPr>
        <w:t>:</w:t>
      </w:r>
    </w:p>
    <w:p w14:paraId="66099928" w14:textId="77777777" w:rsidR="00164E88" w:rsidRPr="00B75F01" w:rsidRDefault="00164E88" w:rsidP="00B75F01">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These institutions are required to maintain a leverage ratio of approximately 5% (indicated by the orange bar).</w:t>
      </w:r>
    </w:p>
    <w:p w14:paraId="194579D0" w14:textId="77777777" w:rsidR="00B75F01" w:rsidRDefault="00164E88" w:rsidP="00B75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4E88">
        <w:rPr>
          <w:rFonts w:ascii="Times New Roman" w:eastAsia="Times New Roman" w:hAnsi="Times New Roman" w:cs="Times New Roman"/>
          <w:b/>
          <w:bCs/>
          <w:kern w:val="0"/>
          <w:sz w:val="24"/>
          <w:szCs w:val="24"/>
          <w:lang w:eastAsia="en-IN"/>
          <w14:ligatures w14:val="none"/>
        </w:rPr>
        <w:t>Insured Bank Holding Companies</w:t>
      </w:r>
      <w:r w:rsidRPr="00164E88">
        <w:rPr>
          <w:rFonts w:ascii="Times New Roman" w:eastAsia="Times New Roman" w:hAnsi="Times New Roman" w:cs="Times New Roman"/>
          <w:kern w:val="0"/>
          <w:sz w:val="24"/>
          <w:szCs w:val="24"/>
          <w:lang w:eastAsia="en-IN"/>
          <w14:ligatures w14:val="none"/>
        </w:rPr>
        <w:t>:</w:t>
      </w:r>
    </w:p>
    <w:p w14:paraId="195ED1B8" w14:textId="77777777" w:rsidR="00164E88" w:rsidRPr="00B75F01" w:rsidRDefault="00164E88" w:rsidP="00B75F01">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They have a lower leverage ratio requirement of about 4% (shown by the blue bar).</w:t>
      </w:r>
    </w:p>
    <w:p w14:paraId="65A03950" w14:textId="77777777" w:rsidR="00164E88" w:rsidRPr="00B75F01" w:rsidRDefault="00B75F01" w:rsidP="00B75F01">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The leverage</w:t>
      </w:r>
      <w:r w:rsidR="00164E88" w:rsidRPr="00B75F01">
        <w:rPr>
          <w:rFonts w:ascii="Times New Roman" w:eastAsia="Times New Roman" w:hAnsi="Times New Roman" w:cs="Times New Roman"/>
          <w:kern w:val="0"/>
          <w:sz w:val="24"/>
          <w:szCs w:val="24"/>
          <w:lang w:eastAsia="en-IN"/>
          <w14:ligatures w14:val="none"/>
        </w:rPr>
        <w:t xml:space="preserve"> ratio measures the capital held by an institution relative to its total assets. A higher ratio indicates greater capital adequacy.</w:t>
      </w:r>
    </w:p>
    <w:p w14:paraId="4EC3981D" w14:textId="77777777" w:rsidR="00164E88" w:rsidRPr="00164E88" w:rsidRDefault="00164E88" w:rsidP="00B75F01">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164E88">
        <w:rPr>
          <w:rFonts w:ascii="Times New Roman" w:eastAsia="Times New Roman" w:hAnsi="Times New Roman" w:cs="Times New Roman"/>
          <w:b/>
          <w:bCs/>
          <w:kern w:val="0"/>
          <w:sz w:val="28"/>
          <w:szCs w:val="28"/>
          <w:u w:val="single"/>
          <w:lang w:eastAsia="en-IN"/>
          <w14:ligatures w14:val="none"/>
        </w:rPr>
        <w:t>Inference</w:t>
      </w:r>
    </w:p>
    <w:p w14:paraId="40AF7983" w14:textId="77777777" w:rsidR="00164E88" w:rsidRPr="00B75F01" w:rsidRDefault="00164E88" w:rsidP="00B75F01">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Regulators impose higher leverage ratio requirements on SIFIs due to their systemic importance.</w:t>
      </w:r>
    </w:p>
    <w:p w14:paraId="26D55C6D" w14:textId="77777777" w:rsidR="00164E88" w:rsidRPr="00B75F01" w:rsidRDefault="00164E88" w:rsidP="00B75F01">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SIFIs are perceived as having a greater impact on the overall financial system. Thus, they need stronger capital buffers to mitigate risks.</w:t>
      </w:r>
    </w:p>
    <w:p w14:paraId="62478029" w14:textId="77777777" w:rsidR="00164E88" w:rsidRPr="00164E88" w:rsidRDefault="00164E88" w:rsidP="00B75F01">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164E88">
        <w:rPr>
          <w:rFonts w:ascii="Times New Roman" w:eastAsia="Times New Roman" w:hAnsi="Times New Roman" w:cs="Times New Roman"/>
          <w:b/>
          <w:bCs/>
          <w:kern w:val="0"/>
          <w:sz w:val="28"/>
          <w:szCs w:val="28"/>
          <w:u w:val="single"/>
          <w:lang w:eastAsia="en-IN"/>
          <w14:ligatures w14:val="none"/>
        </w:rPr>
        <w:t>Implications</w:t>
      </w:r>
    </w:p>
    <w:p w14:paraId="6C0C986E" w14:textId="77777777" w:rsidR="00164E88" w:rsidRPr="00164E88" w:rsidRDefault="00164E88" w:rsidP="00B75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4E88">
        <w:rPr>
          <w:rFonts w:ascii="Times New Roman" w:eastAsia="Times New Roman" w:hAnsi="Times New Roman" w:cs="Times New Roman"/>
          <w:b/>
          <w:bCs/>
          <w:kern w:val="0"/>
          <w:sz w:val="24"/>
          <w:szCs w:val="24"/>
          <w:lang w:eastAsia="en-IN"/>
          <w14:ligatures w14:val="none"/>
        </w:rPr>
        <w:t>Banks and Financial Institutions</w:t>
      </w:r>
      <w:r w:rsidRPr="00164E88">
        <w:rPr>
          <w:rFonts w:ascii="Times New Roman" w:eastAsia="Times New Roman" w:hAnsi="Times New Roman" w:cs="Times New Roman"/>
          <w:kern w:val="0"/>
          <w:sz w:val="24"/>
          <w:szCs w:val="24"/>
          <w:lang w:eastAsia="en-IN"/>
          <w14:ligatures w14:val="none"/>
        </w:rPr>
        <w:t xml:space="preserve">: </w:t>
      </w:r>
    </w:p>
    <w:p w14:paraId="3A40B79C" w14:textId="77777777" w:rsidR="00164E88" w:rsidRPr="00B75F01" w:rsidRDefault="00164E88" w:rsidP="00B75F0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SIFIs must allocate more capital, potentially affecting their ability to invest or lend.</w:t>
      </w:r>
    </w:p>
    <w:p w14:paraId="5FD0BB0E" w14:textId="77777777" w:rsidR="00164E88" w:rsidRPr="00B75F01" w:rsidRDefault="00164E88" w:rsidP="00B75F0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Insured Bank Holding Companies have more flexibility but must still meet regulatory standards.</w:t>
      </w:r>
    </w:p>
    <w:p w14:paraId="65A4EAB1" w14:textId="77777777" w:rsidR="00164E88" w:rsidRPr="00164E88" w:rsidRDefault="00164E88" w:rsidP="00B75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4E88">
        <w:rPr>
          <w:rFonts w:ascii="Times New Roman" w:eastAsia="Times New Roman" w:hAnsi="Times New Roman" w:cs="Times New Roman"/>
          <w:b/>
          <w:bCs/>
          <w:kern w:val="0"/>
          <w:sz w:val="24"/>
          <w:szCs w:val="24"/>
          <w:lang w:eastAsia="en-IN"/>
          <w14:ligatures w14:val="none"/>
        </w:rPr>
        <w:t>Stakeholders (Investors, Customers)</w:t>
      </w:r>
      <w:r w:rsidRPr="00164E88">
        <w:rPr>
          <w:rFonts w:ascii="Times New Roman" w:eastAsia="Times New Roman" w:hAnsi="Times New Roman" w:cs="Times New Roman"/>
          <w:kern w:val="0"/>
          <w:sz w:val="24"/>
          <w:szCs w:val="24"/>
          <w:lang w:eastAsia="en-IN"/>
          <w14:ligatures w14:val="none"/>
        </w:rPr>
        <w:t xml:space="preserve">: </w:t>
      </w:r>
    </w:p>
    <w:p w14:paraId="02CC63A4" w14:textId="77777777" w:rsidR="00164E88" w:rsidRPr="00B75F01" w:rsidRDefault="00164E88" w:rsidP="00B75F01">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 xml:space="preserve">Higher capital requirements for SIFIs </w:t>
      </w:r>
      <w:r w:rsidR="00B75F01" w:rsidRPr="00B75F01">
        <w:rPr>
          <w:rFonts w:ascii="Times New Roman" w:eastAsia="Times New Roman" w:hAnsi="Times New Roman" w:cs="Times New Roman"/>
          <w:kern w:val="0"/>
          <w:sz w:val="24"/>
          <w:szCs w:val="24"/>
          <w:lang w:eastAsia="en-IN"/>
          <w14:ligatures w14:val="none"/>
        </w:rPr>
        <w:t>implies</w:t>
      </w:r>
      <w:r w:rsidRPr="00B75F01">
        <w:rPr>
          <w:rFonts w:ascii="Times New Roman" w:eastAsia="Times New Roman" w:hAnsi="Times New Roman" w:cs="Times New Roman"/>
          <w:kern w:val="0"/>
          <w:sz w:val="24"/>
          <w:szCs w:val="24"/>
          <w:lang w:eastAsia="en-IN"/>
          <w14:ligatures w14:val="none"/>
        </w:rPr>
        <w:t xml:space="preserve"> increased stability.</w:t>
      </w:r>
    </w:p>
    <w:p w14:paraId="76174E29" w14:textId="77777777" w:rsidR="00164E88" w:rsidRPr="00B75F01" w:rsidRDefault="00164E88" w:rsidP="00B75F01">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Stakeholders may perceive SIFIs as safer investments due to their robust capital positions.</w:t>
      </w:r>
    </w:p>
    <w:p w14:paraId="771E74F4" w14:textId="77777777" w:rsidR="00B75F01" w:rsidRDefault="00164E88" w:rsidP="00B75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4E88">
        <w:rPr>
          <w:rFonts w:ascii="Times New Roman" w:eastAsia="Times New Roman" w:hAnsi="Times New Roman" w:cs="Times New Roman"/>
          <w:kern w:val="0"/>
          <w:sz w:val="24"/>
          <w:szCs w:val="24"/>
          <w:lang w:eastAsia="en-IN"/>
          <w14:ligatures w14:val="none"/>
        </w:rPr>
        <w:t>Regulatory efforts focus on maintaining financial stability by ensuring larger institutions hold adequate capital.</w:t>
      </w:r>
      <w:r w:rsidR="00B75F01">
        <w:rPr>
          <w:rFonts w:ascii="Times New Roman" w:eastAsia="Times New Roman" w:hAnsi="Times New Roman" w:cs="Times New Roman"/>
          <w:kern w:val="0"/>
          <w:sz w:val="24"/>
          <w:szCs w:val="24"/>
          <w:lang w:eastAsia="en-IN"/>
          <w14:ligatures w14:val="none"/>
        </w:rPr>
        <w:t xml:space="preserve"> </w:t>
      </w:r>
      <w:r w:rsidRPr="00164E88">
        <w:rPr>
          <w:rFonts w:ascii="Times New Roman" w:eastAsia="Times New Roman" w:hAnsi="Times New Roman" w:cs="Times New Roman"/>
          <w:kern w:val="0"/>
          <w:sz w:val="24"/>
          <w:szCs w:val="24"/>
          <w:lang w:eastAsia="en-IN"/>
          <w14:ligatures w14:val="none"/>
        </w:rPr>
        <w:t xml:space="preserve">Stricter requirements for SIFIs aim to reduce systemic risks and enhance overall </w:t>
      </w:r>
      <w:proofErr w:type="spellStart"/>
      <w:r w:rsidRPr="00164E88">
        <w:rPr>
          <w:rFonts w:ascii="Times New Roman" w:eastAsia="Times New Roman" w:hAnsi="Times New Roman" w:cs="Times New Roman"/>
          <w:kern w:val="0"/>
          <w:sz w:val="24"/>
          <w:szCs w:val="24"/>
          <w:lang w:eastAsia="en-IN"/>
          <w14:ligatures w14:val="none"/>
        </w:rPr>
        <w:t>resilience.</w:t>
      </w:r>
      <w:proofErr w:type="spellEnd"/>
    </w:p>
    <w:p w14:paraId="6679A15C" w14:textId="77777777" w:rsidR="00B75F01" w:rsidRPr="00B75F01" w:rsidRDefault="00B75F01" w:rsidP="00B75F01">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Mandating the Liquidity Coverage Ratio, which requires banks to hold sufficient highly liquid assets to withstand a 30-day stressed funding scenario</w:t>
      </w:r>
      <w:r w:rsidRPr="00B75F01">
        <w:rPr>
          <w:rFonts w:ascii="Times New Roman" w:eastAsia="Times New Roman" w:hAnsi="Times New Roman" w:cs="Times New Roman"/>
          <w:kern w:val="0"/>
          <w:sz w:val="24"/>
          <w:szCs w:val="24"/>
          <w:lang w:eastAsia="en-IN"/>
          <w14:ligatures w14:val="none"/>
        </w:rPr>
        <w:t>.</w:t>
      </w:r>
    </w:p>
    <w:p w14:paraId="633035D7" w14:textId="77777777" w:rsidR="00B75F01" w:rsidRDefault="00B75F01" w:rsidP="00B75F01">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t>Implementing the Net Stable Funding Ratio requires banks to maintain stable funding above the required amount of stable funding for a period of one year of extended stress.</w:t>
      </w:r>
    </w:p>
    <w:p w14:paraId="4B8E56C4" w14:textId="77777777" w:rsidR="00B75F01" w:rsidRDefault="00B75F01" w:rsidP="00B75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A378FE" w14:textId="77777777" w:rsidR="00B75F01" w:rsidRPr="00B75F01" w:rsidRDefault="00B75F01" w:rsidP="00B75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656F4E" w14:textId="77777777" w:rsidR="009F2C17" w:rsidRPr="00B75F01" w:rsidRDefault="00B75F01" w:rsidP="0022671B">
      <w:pPr>
        <w:spacing w:line="276" w:lineRule="auto"/>
        <w:rPr>
          <w:rFonts w:ascii="Times New Roman" w:eastAsia="Times New Roman" w:hAnsi="Times New Roman" w:cs="Times New Roman"/>
          <w:kern w:val="0"/>
          <w:sz w:val="24"/>
          <w:szCs w:val="24"/>
          <w:lang w:eastAsia="en-IN"/>
          <w14:ligatures w14:val="none"/>
        </w:rPr>
      </w:pPr>
      <w:r w:rsidRPr="00B75F01">
        <w:rPr>
          <w:rFonts w:ascii="Times New Roman" w:eastAsia="Times New Roman" w:hAnsi="Times New Roman" w:cs="Times New Roman"/>
          <w:kern w:val="0"/>
          <w:sz w:val="24"/>
          <w:szCs w:val="24"/>
          <w:lang w:eastAsia="en-IN"/>
          <w14:ligatures w14:val="none"/>
        </w:rPr>
        <w:lastRenderedPageBreak/>
        <w:t>Basel III strengthens banks by requiring them to hold more capital (like money reserves). This makes them less likely to fail during crises, protecting depositors and the financial system as a whole. Banks may have to cut back on lending or investments to meet these requirements, but the trade-off is a more stable financial system.</w:t>
      </w:r>
    </w:p>
    <w:sectPr w:rsidR="009F2C17" w:rsidRPr="00B75F01" w:rsidSect="008E78F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45EC"/>
    <w:multiLevelType w:val="multilevel"/>
    <w:tmpl w:val="80BA0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79B2"/>
    <w:multiLevelType w:val="multilevel"/>
    <w:tmpl w:val="CDA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860E6"/>
    <w:multiLevelType w:val="hybridMultilevel"/>
    <w:tmpl w:val="ACAE248E"/>
    <w:lvl w:ilvl="0" w:tplc="C32CE9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857B7"/>
    <w:multiLevelType w:val="hybridMultilevel"/>
    <w:tmpl w:val="BC464E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220B4"/>
    <w:multiLevelType w:val="multilevel"/>
    <w:tmpl w:val="BCB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DE52A2"/>
    <w:multiLevelType w:val="multilevel"/>
    <w:tmpl w:val="B1B4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D7F22"/>
    <w:multiLevelType w:val="hybridMultilevel"/>
    <w:tmpl w:val="F9B07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884E44"/>
    <w:multiLevelType w:val="multilevel"/>
    <w:tmpl w:val="BDEED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51F6B"/>
    <w:multiLevelType w:val="hybridMultilevel"/>
    <w:tmpl w:val="26FCE5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921127"/>
    <w:multiLevelType w:val="multilevel"/>
    <w:tmpl w:val="881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A077A"/>
    <w:multiLevelType w:val="hybridMultilevel"/>
    <w:tmpl w:val="0C2C3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473D63"/>
    <w:multiLevelType w:val="multilevel"/>
    <w:tmpl w:val="93B88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453C7E"/>
    <w:multiLevelType w:val="hybridMultilevel"/>
    <w:tmpl w:val="FA5AE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057BE2"/>
    <w:multiLevelType w:val="multilevel"/>
    <w:tmpl w:val="C1AC8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607BC2"/>
    <w:multiLevelType w:val="hybridMultilevel"/>
    <w:tmpl w:val="729C32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918927">
    <w:abstractNumId w:val="7"/>
  </w:num>
  <w:num w:numId="2" w16cid:durableId="947736534">
    <w:abstractNumId w:val="9"/>
  </w:num>
  <w:num w:numId="3" w16cid:durableId="141168107">
    <w:abstractNumId w:val="1"/>
  </w:num>
  <w:num w:numId="4" w16cid:durableId="625820082">
    <w:abstractNumId w:val="14"/>
  </w:num>
  <w:num w:numId="5" w16cid:durableId="559828136">
    <w:abstractNumId w:val="13"/>
  </w:num>
  <w:num w:numId="6" w16cid:durableId="431124028">
    <w:abstractNumId w:val="0"/>
  </w:num>
  <w:num w:numId="7" w16cid:durableId="464472692">
    <w:abstractNumId w:val="5"/>
  </w:num>
  <w:num w:numId="8" w16cid:durableId="266932179">
    <w:abstractNumId w:val="11"/>
  </w:num>
  <w:num w:numId="9" w16cid:durableId="1972859389">
    <w:abstractNumId w:val="6"/>
  </w:num>
  <w:num w:numId="10" w16cid:durableId="1457141403">
    <w:abstractNumId w:val="3"/>
  </w:num>
  <w:num w:numId="11" w16cid:durableId="1406031105">
    <w:abstractNumId w:val="8"/>
  </w:num>
  <w:num w:numId="12" w16cid:durableId="210460711">
    <w:abstractNumId w:val="12"/>
  </w:num>
  <w:num w:numId="13" w16cid:durableId="1439065093">
    <w:abstractNumId w:val="10"/>
  </w:num>
  <w:num w:numId="14" w16cid:durableId="616453228">
    <w:abstractNumId w:val="4"/>
  </w:num>
  <w:num w:numId="15" w16cid:durableId="348530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17"/>
    <w:rsid w:val="00153A5A"/>
    <w:rsid w:val="00164E88"/>
    <w:rsid w:val="001E40DC"/>
    <w:rsid w:val="0022671B"/>
    <w:rsid w:val="00553FB9"/>
    <w:rsid w:val="008E78F6"/>
    <w:rsid w:val="00904CFC"/>
    <w:rsid w:val="009925DD"/>
    <w:rsid w:val="009F2C17"/>
    <w:rsid w:val="00B6673A"/>
    <w:rsid w:val="00B75F01"/>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E72A5"/>
  <w15:chartTrackingRefBased/>
  <w15:docId w15:val="{DBC8C806-383F-4FB0-A8F9-AECB5FF6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F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FB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3FB9"/>
    <w:rPr>
      <w:b/>
      <w:bCs/>
    </w:rPr>
  </w:style>
  <w:style w:type="paragraph" w:styleId="NormalWeb">
    <w:name w:val="Normal (Web)"/>
    <w:basedOn w:val="Normal"/>
    <w:uiPriority w:val="99"/>
    <w:semiHidden/>
    <w:unhideWhenUsed/>
    <w:rsid w:val="00553F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E40DC"/>
    <w:pPr>
      <w:ind w:left="720"/>
      <w:contextualSpacing/>
    </w:pPr>
  </w:style>
  <w:style w:type="character" w:customStyle="1" w:styleId="whitespace-nowrap">
    <w:name w:val="whitespace-nowrap"/>
    <w:basedOn w:val="DefaultParagraphFont"/>
    <w:rsid w:val="00B75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9336">
      <w:bodyDiv w:val="1"/>
      <w:marLeft w:val="0"/>
      <w:marRight w:val="0"/>
      <w:marTop w:val="0"/>
      <w:marBottom w:val="0"/>
      <w:divBdr>
        <w:top w:val="none" w:sz="0" w:space="0" w:color="auto"/>
        <w:left w:val="none" w:sz="0" w:space="0" w:color="auto"/>
        <w:bottom w:val="none" w:sz="0" w:space="0" w:color="auto"/>
        <w:right w:val="none" w:sz="0" w:space="0" w:color="auto"/>
      </w:divBdr>
      <w:divsChild>
        <w:div w:id="1907060624">
          <w:marLeft w:val="0"/>
          <w:marRight w:val="0"/>
          <w:marTop w:val="0"/>
          <w:marBottom w:val="0"/>
          <w:divBdr>
            <w:top w:val="none" w:sz="0" w:space="0" w:color="auto"/>
            <w:left w:val="none" w:sz="0" w:space="0" w:color="auto"/>
            <w:bottom w:val="none" w:sz="0" w:space="0" w:color="auto"/>
            <w:right w:val="none" w:sz="0" w:space="0" w:color="auto"/>
          </w:divBdr>
          <w:divsChild>
            <w:div w:id="2034726196">
              <w:marLeft w:val="0"/>
              <w:marRight w:val="0"/>
              <w:marTop w:val="0"/>
              <w:marBottom w:val="0"/>
              <w:divBdr>
                <w:top w:val="none" w:sz="0" w:space="0" w:color="auto"/>
                <w:left w:val="none" w:sz="0" w:space="0" w:color="auto"/>
                <w:bottom w:val="none" w:sz="0" w:space="0" w:color="auto"/>
                <w:right w:val="none" w:sz="0" w:space="0" w:color="auto"/>
              </w:divBdr>
              <w:divsChild>
                <w:div w:id="11012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608">
      <w:bodyDiv w:val="1"/>
      <w:marLeft w:val="0"/>
      <w:marRight w:val="0"/>
      <w:marTop w:val="0"/>
      <w:marBottom w:val="0"/>
      <w:divBdr>
        <w:top w:val="none" w:sz="0" w:space="0" w:color="auto"/>
        <w:left w:val="none" w:sz="0" w:space="0" w:color="auto"/>
        <w:bottom w:val="none" w:sz="0" w:space="0" w:color="auto"/>
        <w:right w:val="none" w:sz="0" w:space="0" w:color="auto"/>
      </w:divBdr>
    </w:div>
    <w:div w:id="1984119779">
      <w:bodyDiv w:val="1"/>
      <w:marLeft w:val="0"/>
      <w:marRight w:val="0"/>
      <w:marTop w:val="0"/>
      <w:marBottom w:val="0"/>
      <w:divBdr>
        <w:top w:val="none" w:sz="0" w:space="0" w:color="auto"/>
        <w:left w:val="none" w:sz="0" w:space="0" w:color="auto"/>
        <w:bottom w:val="none" w:sz="0" w:space="0" w:color="auto"/>
        <w:right w:val="none" w:sz="0" w:space="0" w:color="auto"/>
      </w:divBdr>
    </w:div>
    <w:div w:id="205835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a:t>Minimum Captial Requirements for the banks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 requirement</c:v>
                </c:pt>
              </c:strCache>
            </c:strRef>
          </c:tx>
          <c:spPr>
            <a:solidFill>
              <a:schemeClr val="accent1"/>
            </a:solidFill>
            <a:ln>
              <a:noFill/>
            </a:ln>
            <a:effectLst/>
          </c:spPr>
          <c:invertIfNegative val="0"/>
          <c:cat>
            <c:strRef>
              <c:f>Sheet1!$A$2:$A$3</c:f>
              <c:strCache>
                <c:ptCount val="2"/>
                <c:pt idx="0">
                  <c:v>Previous requirement</c:v>
                </c:pt>
                <c:pt idx="1">
                  <c:v>New requirement</c:v>
                </c:pt>
              </c:strCache>
            </c:strRef>
          </c:cat>
          <c:val>
            <c:numRef>
              <c:f>Sheet1!$B$2:$B$3</c:f>
              <c:numCache>
                <c:formatCode>General</c:formatCode>
                <c:ptCount val="2"/>
                <c:pt idx="0">
                  <c:v>2</c:v>
                </c:pt>
                <c:pt idx="1">
                  <c:v>4.5</c:v>
                </c:pt>
              </c:numCache>
            </c:numRef>
          </c:val>
          <c:extLst>
            <c:ext xmlns:c16="http://schemas.microsoft.com/office/drawing/2014/chart" uri="{C3380CC4-5D6E-409C-BE32-E72D297353CC}">
              <c16:uniqueId val="{00000000-A547-46F9-B565-C8F37FBE48EC}"/>
            </c:ext>
          </c:extLst>
        </c:ser>
        <c:ser>
          <c:idx val="1"/>
          <c:order val="1"/>
          <c:tx>
            <c:strRef>
              <c:f>Sheet1!$C$1</c:f>
              <c:strCache>
                <c:ptCount val="1"/>
                <c:pt idx="0">
                  <c:v>Total requirement</c:v>
                </c:pt>
              </c:strCache>
            </c:strRef>
          </c:tx>
          <c:spPr>
            <a:solidFill>
              <a:schemeClr val="accent2"/>
            </a:solidFill>
            <a:ln>
              <a:noFill/>
            </a:ln>
            <a:effectLst/>
          </c:spPr>
          <c:invertIfNegative val="0"/>
          <c:cat>
            <c:strRef>
              <c:f>Sheet1!$A$2:$A$3</c:f>
              <c:strCache>
                <c:ptCount val="2"/>
                <c:pt idx="0">
                  <c:v>Previous requirement</c:v>
                </c:pt>
                <c:pt idx="1">
                  <c:v>New requirement</c:v>
                </c:pt>
              </c:strCache>
            </c:strRef>
          </c:cat>
          <c:val>
            <c:numRef>
              <c:f>Sheet1!$C$2:$C$3</c:f>
              <c:numCache>
                <c:formatCode>General</c:formatCode>
                <c:ptCount val="2"/>
                <c:pt idx="0">
                  <c:v>2</c:v>
                </c:pt>
                <c:pt idx="1">
                  <c:v>7</c:v>
                </c:pt>
              </c:numCache>
            </c:numRef>
          </c:val>
          <c:extLst>
            <c:ext xmlns:c16="http://schemas.microsoft.com/office/drawing/2014/chart" uri="{C3380CC4-5D6E-409C-BE32-E72D297353CC}">
              <c16:uniqueId val="{00000001-A547-46F9-B565-C8F37FBE48EC}"/>
            </c:ext>
          </c:extLst>
        </c:ser>
        <c:dLbls>
          <c:showLegendKey val="0"/>
          <c:showVal val="0"/>
          <c:showCatName val="0"/>
          <c:showSerName val="0"/>
          <c:showPercent val="0"/>
          <c:showBubbleSize val="0"/>
        </c:dLbls>
        <c:gapWidth val="219"/>
        <c:overlap val="-27"/>
        <c:axId val="1600867024"/>
        <c:axId val="1600852624"/>
      </c:barChart>
      <c:catAx>
        <c:axId val="160086702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t>Requirements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00852624"/>
        <c:crosses val="autoZero"/>
        <c:auto val="1"/>
        <c:lblAlgn val="ctr"/>
        <c:lblOffset val="100"/>
        <c:noMultiLvlLbl val="0"/>
      </c:catAx>
      <c:valAx>
        <c:axId val="160085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00867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r>
              <a:rPr lang="en-IN"/>
              <a:t>Tier 1 Capital requirement for banks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Base requirement</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Previous requirment</c:v>
                </c:pt>
                <c:pt idx="1">
                  <c:v>New requirment</c:v>
                </c:pt>
              </c:strCache>
            </c:strRef>
          </c:cat>
          <c:val>
            <c:numRef>
              <c:f>Sheet1!$B$2:$B$3</c:f>
              <c:numCache>
                <c:formatCode>General</c:formatCode>
                <c:ptCount val="2"/>
                <c:pt idx="0">
                  <c:v>4</c:v>
                </c:pt>
                <c:pt idx="1">
                  <c:v>4.5</c:v>
                </c:pt>
              </c:numCache>
            </c:numRef>
          </c:val>
          <c:extLst>
            <c:ext xmlns:c16="http://schemas.microsoft.com/office/drawing/2014/chart" uri="{C3380CC4-5D6E-409C-BE32-E72D297353CC}">
              <c16:uniqueId val="{00000000-7090-4763-AD42-B39D7489EE84}"/>
            </c:ext>
          </c:extLst>
        </c:ser>
        <c:ser>
          <c:idx val="1"/>
          <c:order val="1"/>
          <c:tx>
            <c:strRef>
              <c:f>Sheet1!$C$1</c:f>
              <c:strCache>
                <c:ptCount val="1"/>
                <c:pt idx="0">
                  <c:v>Additional tier 1 Capital</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Previous requirment</c:v>
                </c:pt>
                <c:pt idx="1">
                  <c:v>New requirment</c:v>
                </c:pt>
              </c:strCache>
            </c:strRef>
          </c:cat>
          <c:val>
            <c:numRef>
              <c:f>Sheet1!$C$2:$C$3</c:f>
              <c:numCache>
                <c:formatCode>General</c:formatCode>
                <c:ptCount val="2"/>
                <c:pt idx="1">
                  <c:v>1.5</c:v>
                </c:pt>
              </c:numCache>
            </c:numRef>
          </c:val>
          <c:extLst>
            <c:ext xmlns:c16="http://schemas.microsoft.com/office/drawing/2014/chart" uri="{C3380CC4-5D6E-409C-BE32-E72D297353CC}">
              <c16:uniqueId val="{00000001-7090-4763-AD42-B39D7489EE84}"/>
            </c:ext>
          </c:extLst>
        </c:ser>
        <c:dLbls>
          <c:dLblPos val="ctr"/>
          <c:showLegendKey val="0"/>
          <c:showVal val="1"/>
          <c:showCatName val="0"/>
          <c:showSerName val="0"/>
          <c:showPercent val="0"/>
          <c:showBubbleSize val="0"/>
        </c:dLbls>
        <c:gapWidth val="79"/>
        <c:overlap val="100"/>
        <c:axId val="1660352816"/>
        <c:axId val="1660351856"/>
      </c:barChart>
      <c:catAx>
        <c:axId val="166035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en-IN"/>
                  <a:t>Requirement</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mn-lt"/>
                <a:ea typeface="+mn-ea"/>
                <a:cs typeface="+mn-cs"/>
              </a:defRPr>
            </a:pPr>
            <a:endParaRPr lang="en-US"/>
          </a:p>
        </c:txPr>
        <c:crossAx val="1660351856"/>
        <c:crosses val="autoZero"/>
        <c:auto val="1"/>
        <c:lblAlgn val="ctr"/>
        <c:lblOffset val="100"/>
        <c:noMultiLvlLbl val="0"/>
      </c:catAx>
      <c:valAx>
        <c:axId val="166035185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en-IN"/>
                  <a:t>Percentage(%)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crossAx val="1660352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r>
              <a:rPr lang="en-IN"/>
              <a:t>Non-Risk Based Leverage Ratio Requirments</a:t>
            </a: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Insured Bank holding Companies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Sheet1!$A$2:$A$3</c:f>
              <c:strCache>
                <c:ptCount val="2"/>
                <c:pt idx="0">
                  <c:v>Insured Bank holding Companies</c:v>
                </c:pt>
                <c:pt idx="1">
                  <c:v>Systematic Important Financial Instittions (SIFI)</c:v>
                </c:pt>
              </c:strCache>
            </c:strRef>
          </c:cat>
          <c:val>
            <c:numRef>
              <c:f>Sheet1!$B$2:$B$3</c:f>
              <c:numCache>
                <c:formatCode>General</c:formatCode>
                <c:ptCount val="2"/>
                <c:pt idx="0">
                  <c:v>5</c:v>
                </c:pt>
                <c:pt idx="1">
                  <c:v>0</c:v>
                </c:pt>
              </c:numCache>
            </c:numRef>
          </c:val>
          <c:extLst>
            <c:ext xmlns:c16="http://schemas.microsoft.com/office/drawing/2014/chart" uri="{C3380CC4-5D6E-409C-BE32-E72D297353CC}">
              <c16:uniqueId val="{00000000-57E1-46FB-BCFD-800E315AC4AA}"/>
            </c:ext>
          </c:extLst>
        </c:ser>
        <c:ser>
          <c:idx val="1"/>
          <c:order val="1"/>
          <c:tx>
            <c:strRef>
              <c:f>Sheet1!$C$1</c:f>
              <c:strCache>
                <c:ptCount val="1"/>
                <c:pt idx="0">
                  <c:v>Systematic Important Financial Instittions (SIFI)</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Sheet1!$A$2:$A$3</c:f>
              <c:strCache>
                <c:ptCount val="2"/>
                <c:pt idx="0">
                  <c:v>Insured Bank holding Companies</c:v>
                </c:pt>
                <c:pt idx="1">
                  <c:v>Systematic Important Financial Instittions (SIFI)</c:v>
                </c:pt>
              </c:strCache>
            </c:strRef>
          </c:cat>
          <c:val>
            <c:numRef>
              <c:f>Sheet1!$C$2:$C$3</c:f>
              <c:numCache>
                <c:formatCode>General</c:formatCode>
                <c:ptCount val="2"/>
                <c:pt idx="0">
                  <c:v>0</c:v>
                </c:pt>
                <c:pt idx="1">
                  <c:v>6</c:v>
                </c:pt>
              </c:numCache>
            </c:numRef>
          </c:val>
          <c:extLst>
            <c:ext xmlns:c16="http://schemas.microsoft.com/office/drawing/2014/chart" uri="{C3380CC4-5D6E-409C-BE32-E72D297353CC}">
              <c16:uniqueId val="{00000001-57E1-46FB-BCFD-800E315AC4AA}"/>
            </c:ext>
          </c:extLst>
        </c:ser>
        <c:dLbls>
          <c:showLegendKey val="0"/>
          <c:showVal val="0"/>
          <c:showCatName val="0"/>
          <c:showSerName val="0"/>
          <c:showPercent val="0"/>
          <c:showBubbleSize val="0"/>
        </c:dLbls>
        <c:gapWidth val="100"/>
        <c:axId val="1319050736"/>
        <c:axId val="1319052656"/>
      </c:barChart>
      <c:catAx>
        <c:axId val="1319050736"/>
        <c:scaling>
          <c:orientation val="minMax"/>
        </c:scaling>
        <c:delete val="0"/>
        <c:axPos val="l"/>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a:t>Institution Type</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319052656"/>
        <c:crosses val="autoZero"/>
        <c:auto val="1"/>
        <c:lblAlgn val="ctr"/>
        <c:lblOffset val="100"/>
        <c:noMultiLvlLbl val="0"/>
      </c:catAx>
      <c:valAx>
        <c:axId val="131905265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N"/>
                  <a:t>leverage Ratio (%)</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31905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705</Words>
  <Characters>4028</Characters>
  <Application>Microsoft Office Word</Application>
  <DocSecurity>0</DocSecurity>
  <Lines>106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2024-06-12T05:17:00Z</dcterms:created>
  <dcterms:modified xsi:type="dcterms:W3CDTF">2024-06-13T06:43:00Z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f80f604f-cca1-4b74-8d06-ce180e89f640</vt:lpwstr>
  </property>
</Properties>
</file>