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D7EE4" w14:textId="77777777" w:rsidR="00C53C62" w:rsidRPr="001D68F6" w:rsidRDefault="00C53C62" w:rsidP="0039508C">
      <w:pPr>
        <w:spacing w:line="276" w:lineRule="auto"/>
        <w:jc w:val="center"/>
        <w:rPr>
          <w:rFonts w:ascii="Times New Roman" w:hAnsi="Times New Roman" w:cs="Times New Roman"/>
          <w:b/>
          <w:bCs/>
          <w:sz w:val="28"/>
          <w:szCs w:val="28"/>
          <w:u w:val="single"/>
        </w:rPr>
      </w:pPr>
      <w:r w:rsidRPr="001D68F6">
        <w:rPr>
          <w:rFonts w:ascii="Times New Roman" w:hAnsi="Times New Roman" w:cs="Times New Roman"/>
          <w:b/>
          <w:bCs/>
          <w:sz w:val="28"/>
          <w:szCs w:val="28"/>
          <w:u w:val="single"/>
        </w:rPr>
        <w:t>Home equity lines of credit (HELOCs) in the US banking system</w:t>
      </w:r>
    </w:p>
    <w:p w14:paraId="0F79EBF0" w14:textId="77777777" w:rsidR="00C53C62" w:rsidRPr="001D68F6" w:rsidRDefault="00C53C62" w:rsidP="0039508C">
      <w:pPr>
        <w:pStyle w:val="ListParagraph"/>
        <w:numPr>
          <w:ilvl w:val="0"/>
          <w:numId w:val="7"/>
        </w:numPr>
        <w:spacing w:line="276" w:lineRule="auto"/>
        <w:rPr>
          <w:rFonts w:ascii="Times New Roman" w:hAnsi="Times New Roman" w:cs="Times New Roman"/>
          <w:sz w:val="24"/>
          <w:szCs w:val="24"/>
        </w:rPr>
      </w:pPr>
      <w:r w:rsidRPr="001D68F6">
        <w:rPr>
          <w:rFonts w:ascii="Times New Roman" w:hAnsi="Times New Roman" w:cs="Times New Roman"/>
          <w:sz w:val="24"/>
          <w:szCs w:val="24"/>
        </w:rPr>
        <w:t>A HELOC is a revolving line of credit secured by the equity in a homeowner's property. It allows the homeowner to borrow against the value of their home, up to a certain credit limit.</w:t>
      </w:r>
    </w:p>
    <w:p w14:paraId="535D1A5F" w14:textId="77777777" w:rsidR="00C53C62" w:rsidRPr="001D68F6" w:rsidRDefault="00C53C62" w:rsidP="0039508C">
      <w:pPr>
        <w:pStyle w:val="ListParagraph"/>
        <w:numPr>
          <w:ilvl w:val="0"/>
          <w:numId w:val="7"/>
        </w:numPr>
        <w:spacing w:line="276" w:lineRule="auto"/>
        <w:rPr>
          <w:rFonts w:ascii="Times New Roman" w:hAnsi="Times New Roman" w:cs="Times New Roman"/>
          <w:sz w:val="24"/>
          <w:szCs w:val="24"/>
        </w:rPr>
      </w:pPr>
      <w:r w:rsidRPr="001D68F6">
        <w:rPr>
          <w:rFonts w:ascii="Times New Roman" w:hAnsi="Times New Roman" w:cs="Times New Roman"/>
          <w:sz w:val="24"/>
          <w:szCs w:val="24"/>
        </w:rPr>
        <w:t>HELOCs typically have variable interest rates, which can fluctuate over time. As of 2023, the average HELOC interest rate was around 8.95% to 13.10% APR at U.S. Bank.</w:t>
      </w:r>
    </w:p>
    <w:p w14:paraId="35C99397" w14:textId="77777777" w:rsidR="00C53C62" w:rsidRPr="001D68F6" w:rsidRDefault="00C53C62" w:rsidP="0039508C">
      <w:pPr>
        <w:pStyle w:val="ListParagraph"/>
        <w:numPr>
          <w:ilvl w:val="0"/>
          <w:numId w:val="7"/>
        </w:numPr>
        <w:spacing w:line="276" w:lineRule="auto"/>
        <w:rPr>
          <w:rFonts w:ascii="Times New Roman" w:hAnsi="Times New Roman" w:cs="Times New Roman"/>
          <w:sz w:val="24"/>
          <w:szCs w:val="24"/>
        </w:rPr>
      </w:pPr>
      <w:r w:rsidRPr="001D68F6">
        <w:rPr>
          <w:rFonts w:ascii="Times New Roman" w:hAnsi="Times New Roman" w:cs="Times New Roman"/>
          <w:sz w:val="24"/>
          <w:szCs w:val="24"/>
        </w:rPr>
        <w:t>To qualify for a HELOC, borrowers typically need a credit score of 660 or higher, as well as sufficient home equity (often at least 15-20% of the home's value). Lenders also consider factors like income, debt-to-income ratio, and the home's appraised value.</w:t>
      </w:r>
    </w:p>
    <w:p w14:paraId="112FE2F9" w14:textId="77777777" w:rsidR="00C53C62" w:rsidRPr="001D68F6" w:rsidRDefault="00C53C62" w:rsidP="0039508C">
      <w:pPr>
        <w:pStyle w:val="ListParagraph"/>
        <w:numPr>
          <w:ilvl w:val="0"/>
          <w:numId w:val="7"/>
        </w:numPr>
        <w:spacing w:line="276" w:lineRule="auto"/>
        <w:rPr>
          <w:rFonts w:ascii="Times New Roman" w:hAnsi="Times New Roman" w:cs="Times New Roman"/>
          <w:sz w:val="24"/>
          <w:szCs w:val="24"/>
        </w:rPr>
      </w:pPr>
      <w:r w:rsidRPr="001D68F6">
        <w:rPr>
          <w:rFonts w:ascii="Times New Roman" w:hAnsi="Times New Roman" w:cs="Times New Roman"/>
          <w:sz w:val="24"/>
          <w:szCs w:val="24"/>
        </w:rPr>
        <w:t>HELOCs provide homeowners with a revolving line of credit secured by the equity in their homes. As of Q1 2024, the total authorized amount for HELOCs outside of combined loan plans was $129.9 billion, with $36.8 billion drawn.</w:t>
      </w:r>
    </w:p>
    <w:p w14:paraId="75231922" w14:textId="77777777" w:rsidR="00C53C62" w:rsidRPr="001D68F6" w:rsidRDefault="00C53C62" w:rsidP="0039508C">
      <w:pPr>
        <w:pStyle w:val="ListParagraph"/>
        <w:numPr>
          <w:ilvl w:val="0"/>
          <w:numId w:val="7"/>
        </w:numPr>
        <w:spacing w:line="276" w:lineRule="auto"/>
        <w:rPr>
          <w:rFonts w:ascii="Times New Roman" w:hAnsi="Times New Roman" w:cs="Times New Roman"/>
          <w:sz w:val="24"/>
          <w:szCs w:val="24"/>
        </w:rPr>
      </w:pPr>
      <w:r w:rsidRPr="001D68F6">
        <w:rPr>
          <w:rFonts w:ascii="Times New Roman" w:hAnsi="Times New Roman" w:cs="Times New Roman"/>
          <w:sz w:val="24"/>
          <w:szCs w:val="24"/>
        </w:rPr>
        <w:t>HELOCs typically have variable interest rates. As of 2023, the average HELOC interest rate was around 8.95% to 13.10% APR at U.S. Bank, depending on factors like credit limit, loan-to-value ratio, and credit score.</w:t>
      </w:r>
      <w:r w:rsidRPr="001D68F6">
        <w:rPr>
          <w:rFonts w:ascii="Times New Roman" w:hAnsi="Times New Roman" w:cs="Times New Roman"/>
          <w:sz w:val="24"/>
          <w:szCs w:val="24"/>
        </w:rPr>
        <w:tab/>
      </w:r>
    </w:p>
    <w:p w14:paraId="5E8833C5" w14:textId="77777777" w:rsidR="00C53C62" w:rsidRPr="001D68F6" w:rsidRDefault="00C53C62" w:rsidP="0039508C">
      <w:pPr>
        <w:pStyle w:val="ListParagraph"/>
        <w:numPr>
          <w:ilvl w:val="0"/>
          <w:numId w:val="7"/>
        </w:numPr>
        <w:spacing w:line="276" w:lineRule="auto"/>
        <w:rPr>
          <w:rFonts w:ascii="Times New Roman" w:hAnsi="Times New Roman" w:cs="Times New Roman"/>
          <w:sz w:val="24"/>
          <w:szCs w:val="24"/>
        </w:rPr>
      </w:pPr>
      <w:r w:rsidRPr="001D68F6">
        <w:rPr>
          <w:rFonts w:ascii="Times New Roman" w:hAnsi="Times New Roman" w:cs="Times New Roman"/>
          <w:sz w:val="24"/>
          <w:szCs w:val="24"/>
        </w:rPr>
        <w:t>To qualify for a HELOC, borrowers typically need a credit score of 660 or higher. U.S. Bank also considers factors like home value, existing mortgage balance, income, and debt-to-income ratio.</w:t>
      </w:r>
    </w:p>
    <w:p w14:paraId="2A3707AD" w14:textId="77777777" w:rsidR="00C53C62" w:rsidRPr="001D68F6" w:rsidRDefault="00C53C62" w:rsidP="0039508C">
      <w:pPr>
        <w:pStyle w:val="ListParagraph"/>
        <w:numPr>
          <w:ilvl w:val="0"/>
          <w:numId w:val="7"/>
        </w:numPr>
        <w:spacing w:line="276" w:lineRule="auto"/>
        <w:rPr>
          <w:rFonts w:ascii="Times New Roman" w:hAnsi="Times New Roman" w:cs="Times New Roman"/>
          <w:sz w:val="24"/>
          <w:szCs w:val="24"/>
        </w:rPr>
      </w:pPr>
      <w:r w:rsidRPr="001D68F6">
        <w:rPr>
          <w:rFonts w:ascii="Times New Roman" w:hAnsi="Times New Roman" w:cs="Times New Roman"/>
          <w:sz w:val="24"/>
          <w:szCs w:val="24"/>
        </w:rPr>
        <w:t>HELOCs provide flexibility, allowing homeowners to borrow as needed up to their approved credit limit. As of 2023, the average credit limit for HELOCs was $50,000 or more at U.S. Bank.</w:t>
      </w:r>
    </w:p>
    <w:p w14:paraId="1C2E3C09" w14:textId="77777777" w:rsidR="00C53C62" w:rsidRPr="001D68F6" w:rsidRDefault="00C53C62" w:rsidP="0039508C">
      <w:pPr>
        <w:pStyle w:val="ListParagraph"/>
        <w:numPr>
          <w:ilvl w:val="0"/>
          <w:numId w:val="7"/>
        </w:numPr>
        <w:spacing w:line="276" w:lineRule="auto"/>
        <w:rPr>
          <w:rFonts w:ascii="Times New Roman" w:hAnsi="Times New Roman" w:cs="Times New Roman"/>
          <w:sz w:val="24"/>
          <w:szCs w:val="24"/>
        </w:rPr>
      </w:pPr>
      <w:r w:rsidRPr="001D68F6">
        <w:rPr>
          <w:rFonts w:ascii="Times New Roman" w:hAnsi="Times New Roman" w:cs="Times New Roman"/>
          <w:sz w:val="24"/>
          <w:szCs w:val="24"/>
        </w:rPr>
        <w:t>HELOCs have a "draw period" (often 10 years) where funds can be accessed, followed by a "repayment period" (often 20 years) where the borrowed amount plus interest must be paid back.</w:t>
      </w:r>
    </w:p>
    <w:p w14:paraId="34C1E3FC" w14:textId="77777777" w:rsidR="00C53C62" w:rsidRPr="001D68F6" w:rsidRDefault="00C53C62" w:rsidP="0039508C">
      <w:pPr>
        <w:spacing w:line="276" w:lineRule="auto"/>
        <w:rPr>
          <w:rFonts w:ascii="Times New Roman" w:hAnsi="Times New Roman" w:cs="Times New Roman"/>
          <w:b/>
          <w:bCs/>
          <w:sz w:val="28"/>
          <w:szCs w:val="28"/>
        </w:rPr>
      </w:pPr>
      <w:r w:rsidRPr="001D68F6">
        <w:rPr>
          <w:rFonts w:ascii="Times New Roman" w:hAnsi="Times New Roman" w:cs="Times New Roman"/>
          <w:b/>
          <w:bCs/>
          <w:sz w:val="28"/>
          <w:szCs w:val="28"/>
        </w:rPr>
        <w:t>Eligibility</w:t>
      </w:r>
    </w:p>
    <w:p w14:paraId="0D5415AA" w14:textId="77777777" w:rsidR="00C53C62" w:rsidRPr="00C53C62" w:rsidRDefault="00C53C62" w:rsidP="0039508C">
      <w:pPr>
        <w:spacing w:line="276" w:lineRule="auto"/>
        <w:ind w:firstLine="720"/>
        <w:rPr>
          <w:rFonts w:ascii="Times New Roman" w:hAnsi="Times New Roman" w:cs="Times New Roman"/>
          <w:sz w:val="24"/>
          <w:szCs w:val="24"/>
        </w:rPr>
      </w:pPr>
      <w:r w:rsidRPr="00C53C62">
        <w:rPr>
          <w:rFonts w:ascii="Times New Roman" w:hAnsi="Times New Roman" w:cs="Times New Roman"/>
          <w:b/>
          <w:bCs/>
          <w:sz w:val="24"/>
          <w:szCs w:val="24"/>
        </w:rPr>
        <w:t>Equity Requirement:</w:t>
      </w:r>
      <w:r w:rsidRPr="00C53C62">
        <w:rPr>
          <w:rFonts w:ascii="Times New Roman" w:hAnsi="Times New Roman" w:cs="Times New Roman"/>
          <w:sz w:val="24"/>
          <w:szCs w:val="24"/>
        </w:rPr>
        <w:t xml:space="preserve"> Homeowners typically need at least 15-20% equity in their home to qualify for a HELOC. This is based on the loan-to-value (LTV) and combined loan-to-value (CLTV) ratios.</w:t>
      </w:r>
    </w:p>
    <w:p w14:paraId="6DCFC970" w14:textId="77777777" w:rsidR="00C53C62" w:rsidRPr="00C53C62" w:rsidRDefault="00C53C62" w:rsidP="0039508C">
      <w:pPr>
        <w:spacing w:line="276" w:lineRule="auto"/>
        <w:ind w:firstLine="720"/>
        <w:rPr>
          <w:rFonts w:ascii="Times New Roman" w:hAnsi="Times New Roman" w:cs="Times New Roman"/>
          <w:sz w:val="24"/>
          <w:szCs w:val="24"/>
        </w:rPr>
      </w:pPr>
      <w:r w:rsidRPr="00C53C62">
        <w:rPr>
          <w:rFonts w:ascii="Times New Roman" w:hAnsi="Times New Roman" w:cs="Times New Roman"/>
          <w:b/>
          <w:bCs/>
          <w:sz w:val="24"/>
          <w:szCs w:val="24"/>
        </w:rPr>
        <w:t xml:space="preserve"> Score:</w:t>
      </w:r>
      <w:r w:rsidRPr="00C53C62">
        <w:rPr>
          <w:rFonts w:ascii="Times New Roman" w:hAnsi="Times New Roman" w:cs="Times New Roman"/>
          <w:sz w:val="24"/>
          <w:szCs w:val="24"/>
        </w:rPr>
        <w:t xml:space="preserve"> A credit score in the mid-to-high 600s is usually required, with a score of 700 or higher being preferred for the best interest rates.</w:t>
      </w:r>
    </w:p>
    <w:p w14:paraId="576FADBF" w14:textId="77777777" w:rsidR="00C53C62" w:rsidRPr="00C53C62" w:rsidRDefault="00C53C62" w:rsidP="0039508C">
      <w:pPr>
        <w:spacing w:line="276" w:lineRule="auto"/>
        <w:ind w:firstLine="720"/>
        <w:rPr>
          <w:rFonts w:ascii="Times New Roman" w:hAnsi="Times New Roman" w:cs="Times New Roman"/>
          <w:sz w:val="24"/>
          <w:szCs w:val="24"/>
        </w:rPr>
      </w:pPr>
      <w:r w:rsidRPr="00C53C62">
        <w:rPr>
          <w:rFonts w:ascii="Times New Roman" w:hAnsi="Times New Roman" w:cs="Times New Roman"/>
          <w:b/>
          <w:bCs/>
          <w:sz w:val="24"/>
          <w:szCs w:val="24"/>
        </w:rPr>
        <w:t>Income and Employment:</w:t>
      </w:r>
      <w:r w:rsidRPr="00C53C62">
        <w:rPr>
          <w:rFonts w:ascii="Times New Roman" w:hAnsi="Times New Roman" w:cs="Times New Roman"/>
          <w:sz w:val="24"/>
          <w:szCs w:val="24"/>
        </w:rPr>
        <w:t xml:space="preserve"> Lenders will require proof of income and employment, such as W-2s, pay stubs, tax returns, and benefit statements.</w:t>
      </w:r>
    </w:p>
    <w:p w14:paraId="72694D21" w14:textId="77777777" w:rsidR="00C53C62" w:rsidRPr="00C53C62" w:rsidRDefault="00C53C62" w:rsidP="0039508C">
      <w:pPr>
        <w:spacing w:line="276" w:lineRule="auto"/>
        <w:ind w:firstLine="720"/>
        <w:rPr>
          <w:rFonts w:ascii="Times New Roman" w:hAnsi="Times New Roman" w:cs="Times New Roman"/>
          <w:sz w:val="24"/>
          <w:szCs w:val="24"/>
        </w:rPr>
      </w:pPr>
      <w:r w:rsidRPr="00C53C62">
        <w:rPr>
          <w:rFonts w:ascii="Times New Roman" w:hAnsi="Times New Roman" w:cs="Times New Roman"/>
          <w:b/>
          <w:bCs/>
          <w:sz w:val="24"/>
          <w:szCs w:val="24"/>
        </w:rPr>
        <w:t>Debt-to-Income (DTI) Ratio:</w:t>
      </w:r>
      <w:r w:rsidRPr="00C53C62">
        <w:rPr>
          <w:rFonts w:ascii="Times New Roman" w:hAnsi="Times New Roman" w:cs="Times New Roman"/>
          <w:sz w:val="24"/>
          <w:szCs w:val="24"/>
        </w:rPr>
        <w:t xml:space="preserve"> The DTI ratio should generally be no higher than 43-50% to meet lender requirements.</w:t>
      </w:r>
    </w:p>
    <w:p w14:paraId="4CC0D589" w14:textId="77777777" w:rsidR="00C53C62" w:rsidRPr="00C53C62" w:rsidRDefault="00C53C62" w:rsidP="0039508C">
      <w:pPr>
        <w:spacing w:line="276" w:lineRule="auto"/>
        <w:ind w:firstLine="720"/>
        <w:rPr>
          <w:rFonts w:ascii="Times New Roman" w:hAnsi="Times New Roman" w:cs="Times New Roman"/>
          <w:sz w:val="24"/>
          <w:szCs w:val="24"/>
        </w:rPr>
      </w:pPr>
      <w:r w:rsidRPr="00C53C62">
        <w:rPr>
          <w:rFonts w:ascii="Times New Roman" w:hAnsi="Times New Roman" w:cs="Times New Roman"/>
          <w:b/>
          <w:bCs/>
          <w:sz w:val="24"/>
          <w:szCs w:val="24"/>
        </w:rPr>
        <w:t>Payment History:</w:t>
      </w:r>
      <w:r w:rsidRPr="00C53C62">
        <w:rPr>
          <w:rFonts w:ascii="Times New Roman" w:hAnsi="Times New Roman" w:cs="Times New Roman"/>
          <w:sz w:val="24"/>
          <w:szCs w:val="24"/>
        </w:rPr>
        <w:t xml:space="preserve"> A solid payment history, with no recent late payments or delinquencies, is crucial for HELOC approval.</w:t>
      </w:r>
    </w:p>
    <w:p w14:paraId="1CCCCE00" w14:textId="77777777" w:rsidR="00C53C62" w:rsidRPr="00C53C62" w:rsidRDefault="00C53C62" w:rsidP="0039508C">
      <w:pPr>
        <w:spacing w:line="276" w:lineRule="auto"/>
        <w:ind w:firstLine="720"/>
        <w:rPr>
          <w:rFonts w:ascii="Times New Roman" w:hAnsi="Times New Roman" w:cs="Times New Roman"/>
          <w:sz w:val="24"/>
          <w:szCs w:val="24"/>
        </w:rPr>
      </w:pPr>
      <w:r w:rsidRPr="00C53C62">
        <w:rPr>
          <w:rFonts w:ascii="Times New Roman" w:hAnsi="Times New Roman" w:cs="Times New Roman"/>
          <w:b/>
          <w:bCs/>
          <w:sz w:val="24"/>
          <w:szCs w:val="24"/>
        </w:rPr>
        <w:lastRenderedPageBreak/>
        <w:t>Home Appraisal:</w:t>
      </w:r>
      <w:r w:rsidRPr="00C53C62">
        <w:rPr>
          <w:rFonts w:ascii="Times New Roman" w:hAnsi="Times New Roman" w:cs="Times New Roman"/>
          <w:sz w:val="24"/>
          <w:szCs w:val="24"/>
        </w:rPr>
        <w:t xml:space="preserve"> Lenders will order a home appraisal to determine the current market value of the property and calculate the maximum HELOC amount.</w:t>
      </w:r>
    </w:p>
    <w:p w14:paraId="780798AF" w14:textId="77777777" w:rsidR="00C53C62" w:rsidRPr="00C53C62" w:rsidRDefault="00C53C62" w:rsidP="0039508C">
      <w:pPr>
        <w:spacing w:line="276" w:lineRule="auto"/>
        <w:ind w:firstLine="720"/>
        <w:rPr>
          <w:rFonts w:ascii="Times New Roman" w:hAnsi="Times New Roman" w:cs="Times New Roman"/>
          <w:sz w:val="24"/>
          <w:szCs w:val="24"/>
        </w:rPr>
      </w:pPr>
      <w:r w:rsidRPr="00C53C62">
        <w:rPr>
          <w:rFonts w:ascii="Times New Roman" w:hAnsi="Times New Roman" w:cs="Times New Roman"/>
          <w:b/>
          <w:bCs/>
          <w:sz w:val="24"/>
          <w:szCs w:val="24"/>
        </w:rPr>
        <w:t>Closing Costs:</w:t>
      </w:r>
      <w:r w:rsidRPr="00C53C62">
        <w:rPr>
          <w:rFonts w:ascii="Times New Roman" w:hAnsi="Times New Roman" w:cs="Times New Roman"/>
          <w:sz w:val="24"/>
          <w:szCs w:val="24"/>
        </w:rPr>
        <w:t xml:space="preserve"> While there are typically no upfront closing costs for a HELOC, there may be an early closure fee if the line is paid off and closed within the first 30 months.</w:t>
      </w:r>
    </w:p>
    <w:p w14:paraId="567964BD" w14:textId="77777777" w:rsidR="00C53C62" w:rsidRPr="001D68F6" w:rsidRDefault="00C53C62" w:rsidP="0039508C">
      <w:pPr>
        <w:spacing w:line="276" w:lineRule="auto"/>
        <w:rPr>
          <w:rFonts w:ascii="Times New Roman" w:hAnsi="Times New Roman" w:cs="Times New Roman"/>
          <w:b/>
          <w:bCs/>
          <w:sz w:val="24"/>
          <w:szCs w:val="24"/>
        </w:rPr>
      </w:pPr>
      <w:r w:rsidRPr="001D68F6">
        <w:rPr>
          <w:rFonts w:ascii="Times New Roman" w:hAnsi="Times New Roman" w:cs="Times New Roman"/>
          <w:b/>
          <w:bCs/>
          <w:sz w:val="24"/>
          <w:szCs w:val="24"/>
        </w:rPr>
        <w:t>P</w:t>
      </w:r>
      <w:r w:rsidRPr="001D68F6">
        <w:rPr>
          <w:rFonts w:ascii="Times New Roman" w:hAnsi="Times New Roman" w:cs="Times New Roman"/>
          <w:b/>
          <w:bCs/>
          <w:sz w:val="24"/>
          <w:szCs w:val="24"/>
        </w:rPr>
        <w:t>roperty types that qualify for a HELOC</w:t>
      </w:r>
    </w:p>
    <w:p w14:paraId="0A1A878C" w14:textId="77777777" w:rsidR="00C53C62" w:rsidRDefault="00C53C62" w:rsidP="0039508C">
      <w:pPr>
        <w:spacing w:line="276" w:lineRule="auto"/>
        <w:ind w:firstLine="720"/>
        <w:rPr>
          <w:rFonts w:ascii="Times New Roman" w:hAnsi="Times New Roman" w:cs="Times New Roman"/>
          <w:sz w:val="24"/>
          <w:szCs w:val="24"/>
        </w:rPr>
      </w:pPr>
      <w:r w:rsidRPr="00C53C62">
        <w:rPr>
          <w:rFonts w:ascii="Times New Roman" w:hAnsi="Times New Roman" w:cs="Times New Roman"/>
          <w:b/>
          <w:bCs/>
          <w:sz w:val="24"/>
          <w:szCs w:val="24"/>
        </w:rPr>
        <w:t>Primary Residence:</w:t>
      </w:r>
      <w:r w:rsidRPr="00C53C62">
        <w:rPr>
          <w:rFonts w:ascii="Times New Roman" w:hAnsi="Times New Roman" w:cs="Times New Roman"/>
          <w:sz w:val="24"/>
          <w:szCs w:val="24"/>
        </w:rPr>
        <w:t xml:space="preserve"> Homeowners can typically qualify for a HELOC on their primary residence. Lenders generally have less stringent requirements for HELOCs on primary homes compared to investment properties.</w:t>
      </w:r>
    </w:p>
    <w:p w14:paraId="36CEB404" w14:textId="77777777" w:rsidR="00C53C62" w:rsidRDefault="00C53C62" w:rsidP="0039508C">
      <w:pPr>
        <w:spacing w:line="276" w:lineRule="auto"/>
        <w:ind w:firstLine="720"/>
        <w:rPr>
          <w:rFonts w:ascii="Times New Roman" w:hAnsi="Times New Roman" w:cs="Times New Roman"/>
          <w:sz w:val="24"/>
          <w:szCs w:val="24"/>
        </w:rPr>
      </w:pPr>
      <w:r w:rsidRPr="00C53C62">
        <w:rPr>
          <w:rFonts w:ascii="Times New Roman" w:hAnsi="Times New Roman" w:cs="Times New Roman"/>
          <w:b/>
          <w:bCs/>
          <w:sz w:val="24"/>
          <w:szCs w:val="24"/>
        </w:rPr>
        <w:t>Investment Properties:</w:t>
      </w:r>
      <w:r w:rsidRPr="00C53C62">
        <w:rPr>
          <w:rFonts w:ascii="Times New Roman" w:hAnsi="Times New Roman" w:cs="Times New Roman"/>
          <w:sz w:val="24"/>
          <w:szCs w:val="24"/>
        </w:rPr>
        <w:t xml:space="preserve"> It is possible to get a HELOC on an investment property, such as a rental home or </w:t>
      </w:r>
      <w:r>
        <w:rPr>
          <w:rFonts w:ascii="Times New Roman" w:hAnsi="Times New Roman" w:cs="Times New Roman"/>
          <w:sz w:val="24"/>
          <w:szCs w:val="24"/>
        </w:rPr>
        <w:t xml:space="preserve">a </w:t>
      </w:r>
      <w:r w:rsidRPr="00C53C62">
        <w:rPr>
          <w:rFonts w:ascii="Times New Roman" w:hAnsi="Times New Roman" w:cs="Times New Roman"/>
          <w:sz w:val="24"/>
          <w:szCs w:val="24"/>
        </w:rPr>
        <w:t xml:space="preserve">second home. However, the requirements are usually </w:t>
      </w:r>
      <w:proofErr w:type="gramStart"/>
      <w:r w:rsidRPr="00C53C62">
        <w:rPr>
          <w:rFonts w:ascii="Times New Roman" w:hAnsi="Times New Roman" w:cs="Times New Roman"/>
          <w:sz w:val="24"/>
          <w:szCs w:val="24"/>
        </w:rPr>
        <w:t>more strict</w:t>
      </w:r>
      <w:proofErr w:type="gramEnd"/>
      <w:r w:rsidRPr="00C53C62">
        <w:rPr>
          <w:rFonts w:ascii="Times New Roman" w:hAnsi="Times New Roman" w:cs="Times New Roman"/>
          <w:sz w:val="24"/>
          <w:szCs w:val="24"/>
        </w:rPr>
        <w:t xml:space="preserve"> for investment properties:</w:t>
      </w:r>
    </w:p>
    <w:p w14:paraId="32DCD319" w14:textId="77777777" w:rsidR="00C53C62" w:rsidRPr="001D68F6" w:rsidRDefault="00C53C62" w:rsidP="0039508C">
      <w:pPr>
        <w:pStyle w:val="ListParagraph"/>
        <w:numPr>
          <w:ilvl w:val="0"/>
          <w:numId w:val="6"/>
        </w:numPr>
        <w:spacing w:line="276" w:lineRule="auto"/>
        <w:rPr>
          <w:rFonts w:ascii="Times New Roman" w:hAnsi="Times New Roman" w:cs="Times New Roman"/>
          <w:sz w:val="24"/>
          <w:szCs w:val="24"/>
        </w:rPr>
      </w:pPr>
      <w:r w:rsidRPr="001D68F6">
        <w:rPr>
          <w:rFonts w:ascii="Times New Roman" w:hAnsi="Times New Roman" w:cs="Times New Roman"/>
          <w:sz w:val="24"/>
          <w:szCs w:val="24"/>
        </w:rPr>
        <w:t>Higher credit score requirement, often 720 or above</w:t>
      </w:r>
    </w:p>
    <w:p w14:paraId="5C9B3129" w14:textId="77777777" w:rsidR="00C53C62" w:rsidRPr="001D68F6" w:rsidRDefault="00C53C62" w:rsidP="0039508C">
      <w:pPr>
        <w:pStyle w:val="ListParagraph"/>
        <w:numPr>
          <w:ilvl w:val="0"/>
          <w:numId w:val="6"/>
        </w:numPr>
        <w:spacing w:line="276" w:lineRule="auto"/>
        <w:rPr>
          <w:rFonts w:ascii="Times New Roman" w:hAnsi="Times New Roman" w:cs="Times New Roman"/>
          <w:sz w:val="24"/>
          <w:szCs w:val="24"/>
        </w:rPr>
      </w:pPr>
      <w:r w:rsidRPr="001D68F6">
        <w:rPr>
          <w:rFonts w:ascii="Times New Roman" w:hAnsi="Times New Roman" w:cs="Times New Roman"/>
          <w:sz w:val="24"/>
          <w:szCs w:val="24"/>
        </w:rPr>
        <w:t>Lower maximum loan-to-value (LTV) ratio, typically 80% vs. 85% for primary homes</w:t>
      </w:r>
    </w:p>
    <w:p w14:paraId="48B9CBE2" w14:textId="77777777" w:rsidR="00C53C62" w:rsidRPr="001D68F6" w:rsidRDefault="00C53C62" w:rsidP="0039508C">
      <w:pPr>
        <w:pStyle w:val="ListParagraph"/>
        <w:numPr>
          <w:ilvl w:val="0"/>
          <w:numId w:val="6"/>
        </w:numPr>
        <w:spacing w:line="276" w:lineRule="auto"/>
        <w:rPr>
          <w:rFonts w:ascii="Times New Roman" w:hAnsi="Times New Roman" w:cs="Times New Roman"/>
          <w:sz w:val="24"/>
          <w:szCs w:val="24"/>
        </w:rPr>
      </w:pPr>
      <w:r w:rsidRPr="001D68F6">
        <w:rPr>
          <w:rFonts w:ascii="Times New Roman" w:hAnsi="Times New Roman" w:cs="Times New Roman"/>
          <w:sz w:val="24"/>
          <w:szCs w:val="24"/>
        </w:rPr>
        <w:t>The requirement</w:t>
      </w:r>
      <w:r w:rsidRPr="001D68F6">
        <w:rPr>
          <w:rFonts w:ascii="Times New Roman" w:hAnsi="Times New Roman" w:cs="Times New Roman"/>
          <w:sz w:val="24"/>
          <w:szCs w:val="24"/>
        </w:rPr>
        <w:t xml:space="preserve"> to have a tenant in place and </w:t>
      </w:r>
      <w:r w:rsidRPr="001D68F6">
        <w:rPr>
          <w:rFonts w:ascii="Times New Roman" w:hAnsi="Times New Roman" w:cs="Times New Roman"/>
          <w:sz w:val="24"/>
          <w:szCs w:val="24"/>
        </w:rPr>
        <w:t xml:space="preserve">a </w:t>
      </w:r>
      <w:r w:rsidRPr="001D68F6">
        <w:rPr>
          <w:rFonts w:ascii="Times New Roman" w:hAnsi="Times New Roman" w:cs="Times New Roman"/>
          <w:sz w:val="24"/>
          <w:szCs w:val="24"/>
        </w:rPr>
        <w:t>documented rental income history</w:t>
      </w:r>
    </w:p>
    <w:p w14:paraId="1ACF7CB6" w14:textId="77777777" w:rsidR="00C53C62" w:rsidRPr="001D68F6" w:rsidRDefault="00C53C62" w:rsidP="0039508C">
      <w:pPr>
        <w:pStyle w:val="ListParagraph"/>
        <w:numPr>
          <w:ilvl w:val="0"/>
          <w:numId w:val="6"/>
        </w:numPr>
        <w:spacing w:line="276" w:lineRule="auto"/>
        <w:rPr>
          <w:rFonts w:ascii="Times New Roman" w:hAnsi="Times New Roman" w:cs="Times New Roman"/>
          <w:sz w:val="24"/>
          <w:szCs w:val="24"/>
        </w:rPr>
      </w:pPr>
      <w:r w:rsidRPr="001D68F6">
        <w:rPr>
          <w:rFonts w:ascii="Times New Roman" w:hAnsi="Times New Roman" w:cs="Times New Roman"/>
          <w:sz w:val="24"/>
          <w:szCs w:val="24"/>
        </w:rPr>
        <w:t>Need for significant cash reserves, often at least 18 months' worth of expenses</w:t>
      </w:r>
    </w:p>
    <w:p w14:paraId="24F02344" w14:textId="77777777" w:rsidR="008B738E" w:rsidRDefault="00C53C62" w:rsidP="0039508C">
      <w:pPr>
        <w:spacing w:line="276" w:lineRule="auto"/>
        <w:ind w:firstLine="720"/>
        <w:rPr>
          <w:rFonts w:ascii="Times New Roman" w:hAnsi="Times New Roman" w:cs="Times New Roman"/>
          <w:sz w:val="24"/>
          <w:szCs w:val="24"/>
        </w:rPr>
      </w:pPr>
      <w:r w:rsidRPr="00C53C62">
        <w:rPr>
          <w:rFonts w:ascii="Times New Roman" w:hAnsi="Times New Roman" w:cs="Times New Roman"/>
          <w:b/>
          <w:bCs/>
          <w:sz w:val="24"/>
          <w:szCs w:val="24"/>
        </w:rPr>
        <w:t>Second Homes:</w:t>
      </w:r>
      <w:r w:rsidRPr="00C53C62">
        <w:rPr>
          <w:rFonts w:ascii="Times New Roman" w:hAnsi="Times New Roman" w:cs="Times New Roman"/>
          <w:sz w:val="24"/>
          <w:szCs w:val="24"/>
        </w:rPr>
        <w:t xml:space="preserve"> Homeowners may also be able to qualify for a HELOC on a second home that is not an investment property, though the requirements may be more stringent than for a primary residence.</w:t>
      </w:r>
    </w:p>
    <w:p w14:paraId="2B85B6AE" w14:textId="77777777" w:rsidR="00C53C62" w:rsidRPr="001D68F6" w:rsidRDefault="00C53C62" w:rsidP="0039508C">
      <w:pPr>
        <w:spacing w:line="276" w:lineRule="auto"/>
        <w:rPr>
          <w:rFonts w:ascii="Times New Roman" w:hAnsi="Times New Roman" w:cs="Times New Roman"/>
          <w:b/>
          <w:bCs/>
          <w:sz w:val="24"/>
          <w:szCs w:val="24"/>
        </w:rPr>
      </w:pPr>
      <w:r w:rsidRPr="001D68F6">
        <w:rPr>
          <w:rFonts w:ascii="Times New Roman" w:hAnsi="Times New Roman" w:cs="Times New Roman"/>
          <w:b/>
          <w:bCs/>
          <w:sz w:val="24"/>
          <w:szCs w:val="24"/>
        </w:rPr>
        <w:t xml:space="preserve">Total HELOC Balances Increased </w:t>
      </w:r>
      <w:r w:rsidRPr="001D68F6">
        <w:rPr>
          <w:rFonts w:ascii="Times New Roman" w:hAnsi="Times New Roman" w:cs="Times New Roman"/>
          <w:b/>
          <w:bCs/>
          <w:sz w:val="24"/>
          <w:szCs w:val="24"/>
        </w:rPr>
        <w:t xml:space="preserve">by </w:t>
      </w:r>
      <w:r w:rsidRPr="001D68F6">
        <w:rPr>
          <w:rFonts w:ascii="Times New Roman" w:hAnsi="Times New Roman" w:cs="Times New Roman"/>
          <w:b/>
          <w:bCs/>
          <w:sz w:val="24"/>
          <w:szCs w:val="24"/>
        </w:rPr>
        <w:t>6.6% in 2023</w:t>
      </w:r>
    </w:p>
    <w:p w14:paraId="43BDF5EC" w14:textId="77777777" w:rsidR="008B738E" w:rsidRPr="001D68F6" w:rsidRDefault="008B738E" w:rsidP="0039508C">
      <w:pPr>
        <w:spacing w:line="276" w:lineRule="auto"/>
        <w:rPr>
          <w:rFonts w:ascii="Times New Roman" w:hAnsi="Times New Roman" w:cs="Times New Roman"/>
          <w:b/>
          <w:bCs/>
          <w:sz w:val="24"/>
          <w:szCs w:val="24"/>
        </w:rPr>
      </w:pPr>
      <w:r w:rsidRPr="001D68F6">
        <w:rPr>
          <w:rFonts w:ascii="Times New Roman" w:hAnsi="Times New Roman" w:cs="Times New Roman"/>
          <w:b/>
          <w:bCs/>
          <w:sz w:val="24"/>
          <w:szCs w:val="24"/>
        </w:rPr>
        <w:t>Total HELOC Debt</w:t>
      </w:r>
    </w:p>
    <w:tbl>
      <w:tblPr>
        <w:tblStyle w:val="ListTable4"/>
        <w:tblW w:w="5310" w:type="dxa"/>
        <w:tblLook w:val="04A0" w:firstRow="1" w:lastRow="0" w:firstColumn="1" w:lastColumn="0" w:noHBand="0" w:noVBand="1"/>
      </w:tblPr>
      <w:tblGrid>
        <w:gridCol w:w="2655"/>
        <w:gridCol w:w="2655"/>
      </w:tblGrid>
      <w:tr w:rsidR="008B738E" w14:paraId="372C41AD" w14:textId="77777777" w:rsidTr="0019033C">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655" w:type="dxa"/>
          </w:tcPr>
          <w:p w14:paraId="699027DD" w14:textId="77777777" w:rsidR="008B738E" w:rsidRDefault="008B738E" w:rsidP="0039508C">
            <w:pPr>
              <w:spacing w:line="276" w:lineRule="auto"/>
              <w:rPr>
                <w:rFonts w:ascii="Times New Roman" w:hAnsi="Times New Roman" w:cs="Times New Roman"/>
                <w:sz w:val="24"/>
                <w:szCs w:val="24"/>
              </w:rPr>
            </w:pPr>
            <w:r>
              <w:rPr>
                <w:rFonts w:ascii="Times New Roman" w:hAnsi="Times New Roman" w:cs="Times New Roman"/>
                <w:sz w:val="24"/>
                <w:szCs w:val="24"/>
              </w:rPr>
              <w:t>Year</w:t>
            </w:r>
          </w:p>
        </w:tc>
        <w:tc>
          <w:tcPr>
            <w:tcW w:w="2655" w:type="dxa"/>
          </w:tcPr>
          <w:p w14:paraId="5A562DEA" w14:textId="77777777" w:rsidR="008B738E" w:rsidRDefault="008B738E" w:rsidP="003950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Debt</w:t>
            </w:r>
          </w:p>
        </w:tc>
      </w:tr>
      <w:tr w:rsidR="008B738E" w14:paraId="374200F6" w14:textId="77777777" w:rsidTr="0019033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655" w:type="dxa"/>
          </w:tcPr>
          <w:p w14:paraId="37E05141" w14:textId="77777777" w:rsidR="008B738E" w:rsidRDefault="008B738E" w:rsidP="0039508C">
            <w:pPr>
              <w:spacing w:line="276" w:lineRule="auto"/>
              <w:rPr>
                <w:rFonts w:ascii="Times New Roman" w:hAnsi="Times New Roman" w:cs="Times New Roman"/>
                <w:sz w:val="24"/>
                <w:szCs w:val="24"/>
              </w:rPr>
            </w:pPr>
            <w:r>
              <w:rPr>
                <w:rFonts w:ascii="Times New Roman" w:hAnsi="Times New Roman" w:cs="Times New Roman"/>
                <w:sz w:val="24"/>
                <w:szCs w:val="24"/>
              </w:rPr>
              <w:t>2021</w:t>
            </w:r>
          </w:p>
        </w:tc>
        <w:tc>
          <w:tcPr>
            <w:tcW w:w="2655" w:type="dxa"/>
          </w:tcPr>
          <w:p w14:paraId="339A086D" w14:textId="77777777" w:rsidR="008B738E" w:rsidRDefault="008B738E" w:rsidP="0039508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$295.5</w:t>
            </w:r>
          </w:p>
        </w:tc>
      </w:tr>
      <w:tr w:rsidR="008B738E" w14:paraId="40A93408" w14:textId="77777777" w:rsidTr="0019033C">
        <w:trPr>
          <w:trHeight w:val="417"/>
        </w:trPr>
        <w:tc>
          <w:tcPr>
            <w:cnfStyle w:val="001000000000" w:firstRow="0" w:lastRow="0" w:firstColumn="1" w:lastColumn="0" w:oddVBand="0" w:evenVBand="0" w:oddHBand="0" w:evenHBand="0" w:firstRowFirstColumn="0" w:firstRowLastColumn="0" w:lastRowFirstColumn="0" w:lastRowLastColumn="0"/>
            <w:tcW w:w="2655" w:type="dxa"/>
          </w:tcPr>
          <w:p w14:paraId="7A2B9C27" w14:textId="77777777" w:rsidR="008B738E" w:rsidRDefault="008B738E" w:rsidP="0039508C">
            <w:pPr>
              <w:spacing w:line="276" w:lineRule="auto"/>
              <w:rPr>
                <w:rFonts w:ascii="Times New Roman" w:hAnsi="Times New Roman" w:cs="Times New Roman"/>
                <w:sz w:val="24"/>
                <w:szCs w:val="24"/>
              </w:rPr>
            </w:pPr>
            <w:r>
              <w:rPr>
                <w:rFonts w:ascii="Times New Roman" w:hAnsi="Times New Roman" w:cs="Times New Roman"/>
                <w:sz w:val="24"/>
                <w:szCs w:val="24"/>
              </w:rPr>
              <w:t>2022</w:t>
            </w:r>
          </w:p>
        </w:tc>
        <w:tc>
          <w:tcPr>
            <w:tcW w:w="2655" w:type="dxa"/>
          </w:tcPr>
          <w:p w14:paraId="76128C9C" w14:textId="77777777" w:rsidR="008B738E" w:rsidRDefault="008B738E" w:rsidP="003950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$305.9</w:t>
            </w:r>
          </w:p>
        </w:tc>
      </w:tr>
      <w:tr w:rsidR="008B738E" w14:paraId="66C3DDF0" w14:textId="77777777" w:rsidTr="0019033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655" w:type="dxa"/>
          </w:tcPr>
          <w:p w14:paraId="363DFE62" w14:textId="77777777" w:rsidR="008B738E" w:rsidRDefault="008B738E" w:rsidP="0039508C">
            <w:pPr>
              <w:spacing w:line="276" w:lineRule="auto"/>
              <w:rPr>
                <w:rFonts w:ascii="Times New Roman" w:hAnsi="Times New Roman" w:cs="Times New Roman"/>
                <w:sz w:val="24"/>
                <w:szCs w:val="24"/>
              </w:rPr>
            </w:pPr>
            <w:r>
              <w:rPr>
                <w:rFonts w:ascii="Times New Roman" w:hAnsi="Times New Roman" w:cs="Times New Roman"/>
                <w:sz w:val="24"/>
                <w:szCs w:val="24"/>
              </w:rPr>
              <w:t>2023</w:t>
            </w:r>
          </w:p>
        </w:tc>
        <w:tc>
          <w:tcPr>
            <w:tcW w:w="2655" w:type="dxa"/>
          </w:tcPr>
          <w:p w14:paraId="0354C986" w14:textId="77777777" w:rsidR="008B738E" w:rsidRDefault="008B738E" w:rsidP="0039508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$326.1</w:t>
            </w:r>
          </w:p>
        </w:tc>
      </w:tr>
    </w:tbl>
    <w:p w14:paraId="03262C3E" w14:textId="77777777" w:rsidR="008B738E" w:rsidRPr="008B738E" w:rsidRDefault="008B738E" w:rsidP="0039508C">
      <w:pPr>
        <w:spacing w:line="276" w:lineRule="auto"/>
        <w:rPr>
          <w:rFonts w:ascii="Times New Roman" w:hAnsi="Times New Roman" w:cs="Times New Roman"/>
          <w:sz w:val="24"/>
          <w:szCs w:val="24"/>
        </w:rPr>
      </w:pPr>
    </w:p>
    <w:p w14:paraId="6A7BE7CA" w14:textId="77777777" w:rsidR="00C53C62" w:rsidRPr="001D68F6" w:rsidRDefault="0019033C" w:rsidP="0039508C">
      <w:pPr>
        <w:spacing w:line="276" w:lineRule="auto"/>
        <w:rPr>
          <w:rFonts w:ascii="Times New Roman" w:hAnsi="Times New Roman" w:cs="Times New Roman"/>
          <w:b/>
          <w:bCs/>
          <w:sz w:val="24"/>
          <w:szCs w:val="24"/>
        </w:rPr>
      </w:pPr>
      <w:r w:rsidRPr="001D68F6">
        <w:rPr>
          <w:rFonts w:ascii="Times New Roman" w:hAnsi="Times New Roman" w:cs="Times New Roman"/>
          <w:b/>
          <w:bCs/>
          <w:sz w:val="24"/>
          <w:szCs w:val="24"/>
        </w:rPr>
        <w:t>Average HELOC Balance</w:t>
      </w:r>
    </w:p>
    <w:tbl>
      <w:tblPr>
        <w:tblStyle w:val="GridTable4"/>
        <w:tblW w:w="6413" w:type="dxa"/>
        <w:tblLook w:val="04A0" w:firstRow="1" w:lastRow="0" w:firstColumn="1" w:lastColumn="0" w:noHBand="0" w:noVBand="1"/>
      </w:tblPr>
      <w:tblGrid>
        <w:gridCol w:w="1249"/>
        <w:gridCol w:w="1002"/>
        <w:gridCol w:w="1376"/>
        <w:gridCol w:w="2786"/>
      </w:tblGrid>
      <w:tr w:rsidR="0019033C" w14:paraId="252D12FE" w14:textId="77777777" w:rsidTr="001D68F6">
        <w:trPr>
          <w:cnfStyle w:val="100000000000" w:firstRow="1" w:lastRow="0" w:firstColumn="0" w:lastColumn="0" w:oddVBand="0" w:evenVBand="0" w:oddHBand="0"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0" w:type="auto"/>
            <w:hideMark/>
          </w:tcPr>
          <w:p w14:paraId="2E78231A" w14:textId="77777777" w:rsidR="0019033C" w:rsidRPr="001D68F6" w:rsidRDefault="0019033C" w:rsidP="0039508C">
            <w:pPr>
              <w:spacing w:before="450" w:line="276" w:lineRule="auto"/>
              <w:rPr>
                <w:rFonts w:ascii="Roboto" w:hAnsi="Roboto"/>
                <w:color w:val="FFFFFF"/>
                <w:sz w:val="24"/>
                <w:szCs w:val="24"/>
              </w:rPr>
            </w:pPr>
            <w:r w:rsidRPr="001D68F6">
              <w:rPr>
                <w:rFonts w:ascii="Roboto" w:hAnsi="Roboto"/>
                <w:color w:val="FFFFFF"/>
                <w:sz w:val="24"/>
                <w:szCs w:val="24"/>
              </w:rPr>
              <w:t>2021</w:t>
            </w:r>
          </w:p>
        </w:tc>
        <w:tc>
          <w:tcPr>
            <w:tcW w:w="964" w:type="dxa"/>
            <w:hideMark/>
          </w:tcPr>
          <w:p w14:paraId="51E76A72" w14:textId="77777777" w:rsidR="0019033C" w:rsidRPr="001D68F6" w:rsidRDefault="0019033C" w:rsidP="0039508C">
            <w:pPr>
              <w:spacing w:before="450" w:line="276" w:lineRule="auto"/>
              <w:cnfStyle w:val="100000000000" w:firstRow="1" w:lastRow="0" w:firstColumn="0" w:lastColumn="0" w:oddVBand="0" w:evenVBand="0" w:oddHBand="0" w:evenHBand="0" w:firstRowFirstColumn="0" w:firstRowLastColumn="0" w:lastRowFirstColumn="0" w:lastRowLastColumn="0"/>
              <w:rPr>
                <w:rFonts w:ascii="Roboto" w:hAnsi="Roboto"/>
                <w:color w:val="FFFFFF"/>
                <w:sz w:val="24"/>
                <w:szCs w:val="24"/>
              </w:rPr>
            </w:pPr>
            <w:r w:rsidRPr="001D68F6">
              <w:rPr>
                <w:rFonts w:ascii="Roboto" w:hAnsi="Roboto"/>
                <w:color w:val="FFFFFF"/>
                <w:sz w:val="24"/>
                <w:szCs w:val="24"/>
              </w:rPr>
              <w:t>2022</w:t>
            </w:r>
          </w:p>
        </w:tc>
        <w:tc>
          <w:tcPr>
            <w:tcW w:w="1376" w:type="dxa"/>
            <w:hideMark/>
          </w:tcPr>
          <w:p w14:paraId="35EB74A0" w14:textId="77777777" w:rsidR="0019033C" w:rsidRPr="001D68F6" w:rsidRDefault="0019033C" w:rsidP="0039508C">
            <w:pPr>
              <w:spacing w:before="450" w:line="276" w:lineRule="auto"/>
              <w:cnfStyle w:val="100000000000" w:firstRow="1" w:lastRow="0" w:firstColumn="0" w:lastColumn="0" w:oddVBand="0" w:evenVBand="0" w:oddHBand="0" w:evenHBand="0" w:firstRowFirstColumn="0" w:firstRowLastColumn="0" w:lastRowFirstColumn="0" w:lastRowLastColumn="0"/>
              <w:rPr>
                <w:rFonts w:ascii="Roboto" w:hAnsi="Roboto"/>
                <w:color w:val="FFFFFF"/>
                <w:sz w:val="24"/>
                <w:szCs w:val="24"/>
              </w:rPr>
            </w:pPr>
            <w:r w:rsidRPr="001D68F6">
              <w:rPr>
                <w:rFonts w:ascii="Roboto" w:hAnsi="Roboto"/>
                <w:color w:val="FFFFFF"/>
                <w:sz w:val="24"/>
                <w:szCs w:val="24"/>
              </w:rPr>
              <w:t>2023</w:t>
            </w:r>
          </w:p>
        </w:tc>
        <w:tc>
          <w:tcPr>
            <w:tcW w:w="0" w:type="auto"/>
            <w:hideMark/>
          </w:tcPr>
          <w:p w14:paraId="24E5F678" w14:textId="77777777" w:rsidR="0019033C" w:rsidRPr="001D68F6" w:rsidRDefault="0019033C" w:rsidP="0039508C">
            <w:pPr>
              <w:spacing w:before="450" w:line="276" w:lineRule="auto"/>
              <w:cnfStyle w:val="100000000000" w:firstRow="1" w:lastRow="0" w:firstColumn="0" w:lastColumn="0" w:oddVBand="0" w:evenVBand="0" w:oddHBand="0" w:evenHBand="0" w:firstRowFirstColumn="0" w:firstRowLastColumn="0" w:lastRowFirstColumn="0" w:lastRowLastColumn="0"/>
              <w:rPr>
                <w:rFonts w:ascii="Roboto" w:hAnsi="Roboto"/>
                <w:color w:val="FFFFFF"/>
                <w:sz w:val="24"/>
                <w:szCs w:val="24"/>
              </w:rPr>
            </w:pPr>
            <w:r w:rsidRPr="001D68F6">
              <w:rPr>
                <w:rFonts w:ascii="Roboto" w:hAnsi="Roboto"/>
                <w:color w:val="FFFFFF"/>
                <w:sz w:val="24"/>
                <w:szCs w:val="24"/>
              </w:rPr>
              <w:t>2022-2023 Change</w:t>
            </w:r>
          </w:p>
        </w:tc>
      </w:tr>
      <w:tr w:rsidR="0019033C" w14:paraId="2977CC26" w14:textId="77777777" w:rsidTr="001D68F6">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0" w:type="auto"/>
            <w:hideMark/>
          </w:tcPr>
          <w:p w14:paraId="4D3E52FE" w14:textId="77777777" w:rsidR="0019033C" w:rsidRDefault="0019033C" w:rsidP="0039508C">
            <w:pPr>
              <w:spacing w:before="450" w:line="276" w:lineRule="auto"/>
              <w:rPr>
                <w:rFonts w:ascii="Roboto" w:hAnsi="Roboto"/>
                <w:color w:val="333333"/>
                <w:sz w:val="24"/>
                <w:szCs w:val="24"/>
              </w:rPr>
            </w:pPr>
            <w:r>
              <w:rPr>
                <w:rFonts w:ascii="Roboto" w:hAnsi="Roboto"/>
                <w:color w:val="333333"/>
              </w:rPr>
              <w:t>$39,556</w:t>
            </w:r>
          </w:p>
        </w:tc>
        <w:tc>
          <w:tcPr>
            <w:tcW w:w="964" w:type="dxa"/>
            <w:hideMark/>
          </w:tcPr>
          <w:p w14:paraId="6B02C75E" w14:textId="77777777" w:rsid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hAnsi="Roboto"/>
                <w:color w:val="333333"/>
              </w:rPr>
            </w:pPr>
            <w:r>
              <w:rPr>
                <w:rFonts w:ascii="Roboto" w:hAnsi="Roboto"/>
                <w:color w:val="333333"/>
              </w:rPr>
              <w:t>$41,045</w:t>
            </w:r>
          </w:p>
        </w:tc>
        <w:tc>
          <w:tcPr>
            <w:tcW w:w="1376" w:type="dxa"/>
            <w:hideMark/>
          </w:tcPr>
          <w:p w14:paraId="64A74CF8" w14:textId="77777777" w:rsid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hAnsi="Roboto"/>
                <w:color w:val="333333"/>
              </w:rPr>
            </w:pPr>
            <w:r>
              <w:rPr>
                <w:rFonts w:ascii="Roboto" w:hAnsi="Roboto"/>
                <w:color w:val="333333"/>
              </w:rPr>
              <w:t>$42,139</w:t>
            </w:r>
          </w:p>
        </w:tc>
        <w:tc>
          <w:tcPr>
            <w:tcW w:w="0" w:type="auto"/>
            <w:hideMark/>
          </w:tcPr>
          <w:p w14:paraId="0140AE9F" w14:textId="77777777" w:rsid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hAnsi="Roboto"/>
                <w:color w:val="333333"/>
              </w:rPr>
            </w:pPr>
            <w:r>
              <w:rPr>
                <w:rFonts w:ascii="Roboto" w:hAnsi="Roboto"/>
                <w:color w:val="333333"/>
              </w:rPr>
              <w:t>+2.7%</w:t>
            </w:r>
          </w:p>
        </w:tc>
      </w:tr>
    </w:tbl>
    <w:p w14:paraId="73DFA518" w14:textId="77777777" w:rsidR="001D68F6" w:rsidRDefault="001D68F6" w:rsidP="0039508C">
      <w:pPr>
        <w:spacing w:line="276" w:lineRule="auto"/>
        <w:rPr>
          <w:rFonts w:ascii="Times New Roman" w:hAnsi="Times New Roman" w:cs="Times New Roman"/>
          <w:sz w:val="24"/>
          <w:szCs w:val="24"/>
        </w:rPr>
      </w:pPr>
    </w:p>
    <w:p w14:paraId="65CD8683" w14:textId="77777777" w:rsidR="001D68F6" w:rsidRDefault="001D68F6" w:rsidP="0039508C">
      <w:pPr>
        <w:spacing w:line="276" w:lineRule="auto"/>
        <w:rPr>
          <w:rFonts w:ascii="Times New Roman" w:hAnsi="Times New Roman" w:cs="Times New Roman"/>
          <w:sz w:val="24"/>
          <w:szCs w:val="24"/>
        </w:rPr>
      </w:pPr>
    </w:p>
    <w:p w14:paraId="18AE2A55" w14:textId="77777777" w:rsidR="0019033C" w:rsidRPr="001D68F6" w:rsidRDefault="0019033C" w:rsidP="0039508C">
      <w:pPr>
        <w:spacing w:line="276" w:lineRule="auto"/>
        <w:rPr>
          <w:rFonts w:ascii="Times New Roman" w:hAnsi="Times New Roman" w:cs="Times New Roman"/>
          <w:b/>
          <w:bCs/>
          <w:sz w:val="24"/>
          <w:szCs w:val="24"/>
        </w:rPr>
      </w:pPr>
      <w:r w:rsidRPr="001D68F6">
        <w:rPr>
          <w:rFonts w:ascii="Times New Roman" w:hAnsi="Times New Roman" w:cs="Times New Roman"/>
          <w:b/>
          <w:bCs/>
          <w:sz w:val="24"/>
          <w:szCs w:val="24"/>
        </w:rPr>
        <w:lastRenderedPageBreak/>
        <w:t>States Where the Average HELOC Balance Grew the Most</w:t>
      </w:r>
    </w:p>
    <w:tbl>
      <w:tblPr>
        <w:tblStyle w:val="ListTable3"/>
        <w:tblW w:w="9073" w:type="dxa"/>
        <w:tblLook w:val="04A0" w:firstRow="1" w:lastRow="0" w:firstColumn="1" w:lastColumn="0" w:noHBand="0" w:noVBand="1"/>
      </w:tblPr>
      <w:tblGrid>
        <w:gridCol w:w="3220"/>
        <w:gridCol w:w="1764"/>
        <w:gridCol w:w="2058"/>
        <w:gridCol w:w="2031"/>
      </w:tblGrid>
      <w:tr w:rsidR="0019033C" w:rsidRPr="0019033C" w14:paraId="06DAA49D" w14:textId="77777777" w:rsidTr="001D68F6">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0" w:type="auto"/>
            <w:hideMark/>
          </w:tcPr>
          <w:p w14:paraId="6C9AB114" w14:textId="77777777" w:rsidR="0019033C" w:rsidRPr="0019033C" w:rsidRDefault="0019033C" w:rsidP="0039508C">
            <w:pPr>
              <w:spacing w:before="450" w:line="276" w:lineRule="auto"/>
              <w:rPr>
                <w:rFonts w:ascii="Roboto" w:eastAsia="Times New Roman" w:hAnsi="Roboto" w:cs="Times New Roman"/>
                <w:color w:val="FFFFFF"/>
                <w:kern w:val="0"/>
                <w:sz w:val="27"/>
                <w:szCs w:val="27"/>
                <w:lang w:eastAsia="en-IN"/>
                <w14:ligatures w14:val="none"/>
              </w:rPr>
            </w:pPr>
            <w:r w:rsidRPr="0019033C">
              <w:rPr>
                <w:rFonts w:ascii="Roboto" w:eastAsia="Times New Roman" w:hAnsi="Roboto" w:cs="Times New Roman"/>
                <w:color w:val="FFFFFF"/>
                <w:kern w:val="0"/>
                <w:sz w:val="27"/>
                <w:szCs w:val="27"/>
                <w:lang w:eastAsia="en-IN"/>
                <w14:ligatures w14:val="none"/>
              </w:rPr>
              <w:t>State</w:t>
            </w:r>
          </w:p>
        </w:tc>
        <w:tc>
          <w:tcPr>
            <w:tcW w:w="1764" w:type="dxa"/>
            <w:hideMark/>
          </w:tcPr>
          <w:p w14:paraId="058840EF" w14:textId="77777777" w:rsidR="0019033C" w:rsidRPr="0019033C" w:rsidRDefault="0019033C" w:rsidP="0039508C">
            <w:pPr>
              <w:spacing w:before="450" w:line="276"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FFFFFF"/>
                <w:kern w:val="0"/>
                <w:sz w:val="27"/>
                <w:szCs w:val="27"/>
                <w:lang w:eastAsia="en-IN"/>
                <w14:ligatures w14:val="none"/>
              </w:rPr>
            </w:pPr>
            <w:r w:rsidRPr="0019033C">
              <w:rPr>
                <w:rFonts w:ascii="Roboto" w:eastAsia="Times New Roman" w:hAnsi="Roboto" w:cs="Times New Roman"/>
                <w:color w:val="FFFFFF"/>
                <w:kern w:val="0"/>
                <w:sz w:val="27"/>
                <w:szCs w:val="27"/>
                <w:lang w:eastAsia="en-IN"/>
                <w14:ligatures w14:val="none"/>
              </w:rPr>
              <w:t>2022</w:t>
            </w:r>
          </w:p>
        </w:tc>
        <w:tc>
          <w:tcPr>
            <w:tcW w:w="2058" w:type="dxa"/>
            <w:hideMark/>
          </w:tcPr>
          <w:p w14:paraId="572FBD41" w14:textId="77777777" w:rsidR="0019033C" w:rsidRPr="0019033C" w:rsidRDefault="0019033C" w:rsidP="0039508C">
            <w:pPr>
              <w:spacing w:before="450" w:line="276"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FFFFFF"/>
                <w:kern w:val="0"/>
                <w:sz w:val="27"/>
                <w:szCs w:val="27"/>
                <w:lang w:eastAsia="en-IN"/>
                <w14:ligatures w14:val="none"/>
              </w:rPr>
            </w:pPr>
            <w:r w:rsidRPr="0019033C">
              <w:rPr>
                <w:rFonts w:ascii="Roboto" w:eastAsia="Times New Roman" w:hAnsi="Roboto" w:cs="Times New Roman"/>
                <w:color w:val="FFFFFF"/>
                <w:kern w:val="0"/>
                <w:sz w:val="27"/>
                <w:szCs w:val="27"/>
                <w:lang w:eastAsia="en-IN"/>
                <w14:ligatures w14:val="none"/>
              </w:rPr>
              <w:t>2023</w:t>
            </w:r>
          </w:p>
        </w:tc>
        <w:tc>
          <w:tcPr>
            <w:tcW w:w="0" w:type="auto"/>
            <w:hideMark/>
          </w:tcPr>
          <w:p w14:paraId="5D7C5BCD" w14:textId="77777777" w:rsidR="0019033C" w:rsidRPr="0019033C" w:rsidRDefault="0019033C" w:rsidP="0039508C">
            <w:pPr>
              <w:spacing w:before="450" w:line="276"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FFFFFF"/>
                <w:kern w:val="0"/>
                <w:sz w:val="27"/>
                <w:szCs w:val="27"/>
                <w:lang w:eastAsia="en-IN"/>
                <w14:ligatures w14:val="none"/>
              </w:rPr>
            </w:pPr>
            <w:r w:rsidRPr="0019033C">
              <w:rPr>
                <w:rFonts w:ascii="Roboto" w:eastAsia="Times New Roman" w:hAnsi="Roboto" w:cs="Times New Roman"/>
                <w:color w:val="FFFFFF"/>
                <w:kern w:val="0"/>
                <w:sz w:val="27"/>
                <w:szCs w:val="27"/>
                <w:lang w:eastAsia="en-IN"/>
                <w14:ligatures w14:val="none"/>
              </w:rPr>
              <w:t>Change</w:t>
            </w:r>
          </w:p>
        </w:tc>
      </w:tr>
      <w:tr w:rsidR="0019033C" w:rsidRPr="0019033C" w14:paraId="2A2D8BF4" w14:textId="77777777" w:rsidTr="001D68F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hideMark/>
          </w:tcPr>
          <w:p w14:paraId="0CE9C60C" w14:textId="77777777" w:rsidR="0019033C" w:rsidRPr="0019033C" w:rsidRDefault="0019033C" w:rsidP="0039508C">
            <w:pPr>
              <w:spacing w:before="450" w:line="276" w:lineRule="auto"/>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Hawaii</w:t>
            </w:r>
          </w:p>
        </w:tc>
        <w:tc>
          <w:tcPr>
            <w:tcW w:w="1764" w:type="dxa"/>
            <w:hideMark/>
          </w:tcPr>
          <w:p w14:paraId="7F5F77DF" w14:textId="77777777" w:rsidR="0019033C" w:rsidRP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$73,915</w:t>
            </w:r>
          </w:p>
        </w:tc>
        <w:tc>
          <w:tcPr>
            <w:tcW w:w="2058" w:type="dxa"/>
            <w:hideMark/>
          </w:tcPr>
          <w:p w14:paraId="0C86AB16" w14:textId="77777777" w:rsidR="0019033C" w:rsidRP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$84,070</w:t>
            </w:r>
          </w:p>
        </w:tc>
        <w:tc>
          <w:tcPr>
            <w:tcW w:w="0" w:type="auto"/>
            <w:hideMark/>
          </w:tcPr>
          <w:p w14:paraId="255E3540" w14:textId="77777777" w:rsidR="0019033C" w:rsidRP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+13.7%</w:t>
            </w:r>
          </w:p>
        </w:tc>
      </w:tr>
      <w:tr w:rsidR="0019033C" w:rsidRPr="0019033C" w14:paraId="67C1B0EB" w14:textId="77777777" w:rsidTr="001D68F6">
        <w:trPr>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305ECFDB" w14:textId="77777777" w:rsidR="0019033C" w:rsidRPr="0019033C" w:rsidRDefault="0019033C" w:rsidP="0039508C">
            <w:pPr>
              <w:spacing w:before="450" w:line="276" w:lineRule="auto"/>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Colorado</w:t>
            </w:r>
          </w:p>
        </w:tc>
        <w:tc>
          <w:tcPr>
            <w:tcW w:w="1764" w:type="dxa"/>
            <w:hideMark/>
          </w:tcPr>
          <w:p w14:paraId="4058D196" w14:textId="77777777" w:rsidR="0019033C" w:rsidRPr="0019033C" w:rsidRDefault="0019033C"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$47,255</w:t>
            </w:r>
          </w:p>
        </w:tc>
        <w:tc>
          <w:tcPr>
            <w:tcW w:w="2058" w:type="dxa"/>
            <w:hideMark/>
          </w:tcPr>
          <w:p w14:paraId="2A6D36D8" w14:textId="77777777" w:rsidR="0019033C" w:rsidRPr="0019033C" w:rsidRDefault="0019033C"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$52,232</w:t>
            </w:r>
          </w:p>
        </w:tc>
        <w:tc>
          <w:tcPr>
            <w:tcW w:w="0" w:type="auto"/>
            <w:hideMark/>
          </w:tcPr>
          <w:p w14:paraId="3ADDBDA8" w14:textId="77777777" w:rsidR="0019033C" w:rsidRPr="0019033C" w:rsidRDefault="0019033C"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+10.5%</w:t>
            </w:r>
          </w:p>
        </w:tc>
      </w:tr>
      <w:tr w:rsidR="0019033C" w:rsidRPr="0019033C" w14:paraId="46FD3325" w14:textId="77777777" w:rsidTr="001D68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0CAD0DE0" w14:textId="77777777" w:rsidR="0019033C" w:rsidRPr="0019033C" w:rsidRDefault="0019033C" w:rsidP="0039508C">
            <w:pPr>
              <w:spacing w:before="450" w:line="276" w:lineRule="auto"/>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South Dakota</w:t>
            </w:r>
          </w:p>
        </w:tc>
        <w:tc>
          <w:tcPr>
            <w:tcW w:w="1764" w:type="dxa"/>
            <w:hideMark/>
          </w:tcPr>
          <w:p w14:paraId="65FA106E" w14:textId="77777777" w:rsidR="0019033C" w:rsidRP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$30,494</w:t>
            </w:r>
          </w:p>
        </w:tc>
        <w:tc>
          <w:tcPr>
            <w:tcW w:w="2058" w:type="dxa"/>
            <w:hideMark/>
          </w:tcPr>
          <w:p w14:paraId="455545CB" w14:textId="77777777" w:rsidR="0019033C" w:rsidRP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$33,214</w:t>
            </w:r>
          </w:p>
        </w:tc>
        <w:tc>
          <w:tcPr>
            <w:tcW w:w="0" w:type="auto"/>
            <w:hideMark/>
          </w:tcPr>
          <w:p w14:paraId="736363EB" w14:textId="77777777" w:rsidR="0019033C" w:rsidRP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+8.9%</w:t>
            </w:r>
          </w:p>
        </w:tc>
      </w:tr>
      <w:tr w:rsidR="0019033C" w:rsidRPr="0019033C" w14:paraId="1BC8CC2C" w14:textId="77777777" w:rsidTr="001D68F6">
        <w:trPr>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9FE72F" w14:textId="77777777" w:rsidR="0019033C" w:rsidRPr="0019033C" w:rsidRDefault="0019033C" w:rsidP="0039508C">
            <w:pPr>
              <w:spacing w:before="450" w:line="276" w:lineRule="auto"/>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South Carolina</w:t>
            </w:r>
          </w:p>
        </w:tc>
        <w:tc>
          <w:tcPr>
            <w:tcW w:w="1764" w:type="dxa"/>
            <w:hideMark/>
          </w:tcPr>
          <w:p w14:paraId="6374E09F" w14:textId="77777777" w:rsidR="0019033C" w:rsidRPr="0019033C" w:rsidRDefault="0019033C"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$31,739</w:t>
            </w:r>
          </w:p>
        </w:tc>
        <w:tc>
          <w:tcPr>
            <w:tcW w:w="2058" w:type="dxa"/>
            <w:hideMark/>
          </w:tcPr>
          <w:p w14:paraId="15DA18FE" w14:textId="77777777" w:rsidR="0019033C" w:rsidRPr="0019033C" w:rsidRDefault="0019033C"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$34,334</w:t>
            </w:r>
          </w:p>
        </w:tc>
        <w:tc>
          <w:tcPr>
            <w:tcW w:w="0" w:type="auto"/>
            <w:hideMark/>
          </w:tcPr>
          <w:p w14:paraId="6AFD8AF5" w14:textId="77777777" w:rsidR="0019033C" w:rsidRPr="0019033C" w:rsidRDefault="0019033C"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+8.2%</w:t>
            </w:r>
          </w:p>
        </w:tc>
      </w:tr>
      <w:tr w:rsidR="0019033C" w:rsidRPr="0019033C" w14:paraId="7FAE90E7" w14:textId="77777777" w:rsidTr="001D68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014D6E82" w14:textId="77777777" w:rsidR="0019033C" w:rsidRPr="0019033C" w:rsidRDefault="0019033C" w:rsidP="0039508C">
            <w:pPr>
              <w:spacing w:before="450" w:line="276" w:lineRule="auto"/>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Tennessee</w:t>
            </w:r>
          </w:p>
        </w:tc>
        <w:tc>
          <w:tcPr>
            <w:tcW w:w="1764" w:type="dxa"/>
            <w:hideMark/>
          </w:tcPr>
          <w:p w14:paraId="12951F63" w14:textId="77777777" w:rsidR="0019033C" w:rsidRP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$43,672</w:t>
            </w:r>
          </w:p>
        </w:tc>
        <w:tc>
          <w:tcPr>
            <w:tcW w:w="2058" w:type="dxa"/>
            <w:hideMark/>
          </w:tcPr>
          <w:p w14:paraId="7DE1C83E" w14:textId="77777777" w:rsidR="0019033C" w:rsidRP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$47,210</w:t>
            </w:r>
          </w:p>
        </w:tc>
        <w:tc>
          <w:tcPr>
            <w:tcW w:w="0" w:type="auto"/>
            <w:hideMark/>
          </w:tcPr>
          <w:p w14:paraId="59CBEF77" w14:textId="77777777" w:rsidR="0019033C" w:rsidRPr="0019033C" w:rsidRDefault="0019033C"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+8.1%</w:t>
            </w:r>
          </w:p>
        </w:tc>
      </w:tr>
    </w:tbl>
    <w:p w14:paraId="66F9E49A" w14:textId="77777777" w:rsidR="001D68F6" w:rsidRDefault="001D68F6" w:rsidP="0039508C">
      <w:pPr>
        <w:spacing w:line="276" w:lineRule="auto"/>
        <w:rPr>
          <w:rFonts w:ascii="Times New Roman" w:hAnsi="Times New Roman" w:cs="Times New Roman"/>
          <w:sz w:val="24"/>
          <w:szCs w:val="24"/>
        </w:rPr>
      </w:pPr>
    </w:p>
    <w:p w14:paraId="1BC3DD5C" w14:textId="77777777" w:rsidR="0019033C" w:rsidRPr="001D68F6" w:rsidRDefault="0019033C" w:rsidP="0039508C">
      <w:pPr>
        <w:spacing w:line="276" w:lineRule="auto"/>
        <w:rPr>
          <w:rFonts w:ascii="Times New Roman" w:hAnsi="Times New Roman" w:cs="Times New Roman"/>
          <w:b/>
          <w:bCs/>
          <w:sz w:val="24"/>
          <w:szCs w:val="24"/>
        </w:rPr>
      </w:pPr>
      <w:r w:rsidRPr="001D68F6">
        <w:rPr>
          <w:rFonts w:ascii="Times New Roman" w:hAnsi="Times New Roman" w:cs="Times New Roman"/>
          <w:b/>
          <w:bCs/>
          <w:sz w:val="24"/>
          <w:szCs w:val="24"/>
        </w:rPr>
        <w:t>Average HELOC Balance by Generation</w:t>
      </w:r>
    </w:p>
    <w:p w14:paraId="440FDE19" w14:textId="77777777" w:rsidR="0019033C" w:rsidRDefault="0019033C" w:rsidP="0039508C">
      <w:pPr>
        <w:spacing w:line="276" w:lineRule="auto"/>
        <w:rPr>
          <w:rFonts w:ascii="Times New Roman" w:hAnsi="Times New Roman" w:cs="Times New Roman"/>
          <w:sz w:val="24"/>
          <w:szCs w:val="24"/>
        </w:rPr>
      </w:pPr>
    </w:p>
    <w:tbl>
      <w:tblPr>
        <w:tblStyle w:val="ListTable3"/>
        <w:tblpPr w:leftFromText="180" w:rightFromText="180" w:vertAnchor="page" w:horzAnchor="margin" w:tblpY="8185"/>
        <w:tblW w:w="8823" w:type="dxa"/>
        <w:tblLook w:val="04A0" w:firstRow="1" w:lastRow="0" w:firstColumn="1" w:lastColumn="0" w:noHBand="0" w:noVBand="1"/>
      </w:tblPr>
      <w:tblGrid>
        <w:gridCol w:w="3994"/>
        <w:gridCol w:w="1577"/>
        <w:gridCol w:w="1577"/>
        <w:gridCol w:w="1675"/>
      </w:tblGrid>
      <w:tr w:rsidR="001D68F6" w:rsidRPr="0019033C" w14:paraId="36A57DB7" w14:textId="77777777" w:rsidTr="001D68F6">
        <w:trPr>
          <w:cnfStyle w:val="100000000000" w:firstRow="1" w:lastRow="0" w:firstColumn="0" w:lastColumn="0" w:oddVBand="0" w:evenVBand="0" w:oddHBand="0" w:evenHBand="0" w:firstRowFirstColumn="0" w:firstRowLastColumn="0" w:lastRowFirstColumn="0" w:lastRowLastColumn="0"/>
          <w:trHeight w:val="550"/>
        </w:trPr>
        <w:tc>
          <w:tcPr>
            <w:cnfStyle w:val="001000000100" w:firstRow="0" w:lastRow="0" w:firstColumn="1" w:lastColumn="0" w:oddVBand="0" w:evenVBand="0" w:oddHBand="0" w:evenHBand="0" w:firstRowFirstColumn="1" w:firstRowLastColumn="0" w:lastRowFirstColumn="0" w:lastRowLastColumn="0"/>
            <w:tcW w:w="0" w:type="auto"/>
            <w:hideMark/>
          </w:tcPr>
          <w:p w14:paraId="2FC85075" w14:textId="77777777" w:rsidR="001D68F6" w:rsidRPr="0019033C" w:rsidRDefault="001D68F6" w:rsidP="0039508C">
            <w:pPr>
              <w:spacing w:before="450" w:line="276" w:lineRule="auto"/>
              <w:rPr>
                <w:rFonts w:ascii="Roboto" w:eastAsia="Times New Roman" w:hAnsi="Roboto" w:cs="Times New Roman"/>
                <w:color w:val="FFFFFF"/>
                <w:kern w:val="0"/>
                <w:sz w:val="27"/>
                <w:szCs w:val="27"/>
                <w:lang w:eastAsia="en-IN"/>
                <w14:ligatures w14:val="none"/>
              </w:rPr>
            </w:pPr>
            <w:r w:rsidRPr="0019033C">
              <w:rPr>
                <w:rFonts w:ascii="Roboto" w:eastAsia="Times New Roman" w:hAnsi="Roboto" w:cs="Times New Roman"/>
                <w:color w:val="FFFFFF"/>
                <w:kern w:val="0"/>
                <w:sz w:val="27"/>
                <w:szCs w:val="27"/>
                <w:lang w:eastAsia="en-IN"/>
                <w14:ligatures w14:val="none"/>
              </w:rPr>
              <w:t>Generation</w:t>
            </w:r>
          </w:p>
        </w:tc>
        <w:tc>
          <w:tcPr>
            <w:tcW w:w="0" w:type="auto"/>
            <w:hideMark/>
          </w:tcPr>
          <w:p w14:paraId="32C35725" w14:textId="77777777" w:rsidR="001D68F6" w:rsidRPr="0019033C" w:rsidRDefault="001D68F6" w:rsidP="0039508C">
            <w:pPr>
              <w:spacing w:before="450" w:line="276"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FFFFFF"/>
                <w:kern w:val="0"/>
                <w:sz w:val="27"/>
                <w:szCs w:val="27"/>
                <w:lang w:eastAsia="en-IN"/>
                <w14:ligatures w14:val="none"/>
              </w:rPr>
            </w:pPr>
            <w:r w:rsidRPr="0019033C">
              <w:rPr>
                <w:rFonts w:ascii="Roboto" w:eastAsia="Times New Roman" w:hAnsi="Roboto" w:cs="Times New Roman"/>
                <w:color w:val="FFFFFF"/>
                <w:kern w:val="0"/>
                <w:sz w:val="27"/>
                <w:szCs w:val="27"/>
                <w:lang w:eastAsia="en-IN"/>
                <w14:ligatures w14:val="none"/>
              </w:rPr>
              <w:t>2022</w:t>
            </w:r>
          </w:p>
        </w:tc>
        <w:tc>
          <w:tcPr>
            <w:tcW w:w="0" w:type="auto"/>
            <w:hideMark/>
          </w:tcPr>
          <w:p w14:paraId="0AF2FA97" w14:textId="77777777" w:rsidR="001D68F6" w:rsidRPr="0019033C" w:rsidRDefault="001D68F6" w:rsidP="0039508C">
            <w:pPr>
              <w:spacing w:before="450" w:line="276"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FFFFFF"/>
                <w:kern w:val="0"/>
                <w:sz w:val="27"/>
                <w:szCs w:val="27"/>
                <w:lang w:eastAsia="en-IN"/>
                <w14:ligatures w14:val="none"/>
              </w:rPr>
            </w:pPr>
            <w:r w:rsidRPr="0019033C">
              <w:rPr>
                <w:rFonts w:ascii="Roboto" w:eastAsia="Times New Roman" w:hAnsi="Roboto" w:cs="Times New Roman"/>
                <w:color w:val="FFFFFF"/>
                <w:kern w:val="0"/>
                <w:sz w:val="27"/>
                <w:szCs w:val="27"/>
                <w:lang w:eastAsia="en-IN"/>
                <w14:ligatures w14:val="none"/>
              </w:rPr>
              <w:t>2023</w:t>
            </w:r>
          </w:p>
        </w:tc>
        <w:tc>
          <w:tcPr>
            <w:tcW w:w="0" w:type="auto"/>
            <w:hideMark/>
          </w:tcPr>
          <w:p w14:paraId="268425A9" w14:textId="77777777" w:rsidR="001D68F6" w:rsidRPr="0019033C" w:rsidRDefault="001D68F6" w:rsidP="0039508C">
            <w:pPr>
              <w:spacing w:before="450" w:line="276"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FFFFFF"/>
                <w:kern w:val="0"/>
                <w:sz w:val="27"/>
                <w:szCs w:val="27"/>
                <w:lang w:eastAsia="en-IN"/>
                <w14:ligatures w14:val="none"/>
              </w:rPr>
            </w:pPr>
            <w:r w:rsidRPr="0019033C">
              <w:rPr>
                <w:rFonts w:ascii="Roboto" w:eastAsia="Times New Roman" w:hAnsi="Roboto" w:cs="Times New Roman"/>
                <w:color w:val="FFFFFF"/>
                <w:kern w:val="0"/>
                <w:sz w:val="27"/>
                <w:szCs w:val="27"/>
                <w:lang w:eastAsia="en-IN"/>
                <w14:ligatures w14:val="none"/>
              </w:rPr>
              <w:t>Change</w:t>
            </w:r>
          </w:p>
        </w:tc>
      </w:tr>
      <w:tr w:rsidR="001D68F6" w:rsidRPr="0019033C" w14:paraId="204E153C" w14:textId="77777777" w:rsidTr="001D68F6">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05D4AD9A" w14:textId="77777777" w:rsidR="001D68F6" w:rsidRPr="0019033C" w:rsidRDefault="001D68F6" w:rsidP="0039508C">
            <w:pPr>
              <w:spacing w:before="450" w:line="276" w:lineRule="auto"/>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Generation Z (18-26)</w:t>
            </w:r>
          </w:p>
        </w:tc>
        <w:tc>
          <w:tcPr>
            <w:tcW w:w="0" w:type="auto"/>
            <w:hideMark/>
          </w:tcPr>
          <w:p w14:paraId="4B14916F" w14:textId="77777777" w:rsidR="001D68F6" w:rsidRPr="0019033C" w:rsidRDefault="001D68F6"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$37,756</w:t>
            </w:r>
          </w:p>
        </w:tc>
        <w:tc>
          <w:tcPr>
            <w:tcW w:w="0" w:type="auto"/>
            <w:hideMark/>
          </w:tcPr>
          <w:p w14:paraId="6F1C3AC5" w14:textId="77777777" w:rsidR="001D68F6" w:rsidRPr="0019033C" w:rsidRDefault="001D68F6"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$40,608</w:t>
            </w:r>
          </w:p>
        </w:tc>
        <w:tc>
          <w:tcPr>
            <w:tcW w:w="0" w:type="auto"/>
            <w:hideMark/>
          </w:tcPr>
          <w:p w14:paraId="2907838A" w14:textId="77777777" w:rsidR="001D68F6" w:rsidRPr="0019033C" w:rsidRDefault="001D68F6"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+7.6%</w:t>
            </w:r>
          </w:p>
        </w:tc>
      </w:tr>
      <w:tr w:rsidR="001D68F6" w:rsidRPr="0019033C" w14:paraId="1503ED95" w14:textId="77777777" w:rsidTr="001D68F6">
        <w:trPr>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6E9158F0" w14:textId="77777777" w:rsidR="001D68F6" w:rsidRPr="0019033C" w:rsidRDefault="001D68F6" w:rsidP="0039508C">
            <w:pPr>
              <w:spacing w:before="450" w:line="276" w:lineRule="auto"/>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Millennials (27-42)</w:t>
            </w:r>
          </w:p>
        </w:tc>
        <w:tc>
          <w:tcPr>
            <w:tcW w:w="0" w:type="auto"/>
            <w:hideMark/>
          </w:tcPr>
          <w:p w14:paraId="590DED97" w14:textId="77777777" w:rsidR="001D68F6" w:rsidRPr="0019033C" w:rsidRDefault="001D68F6"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$46,232</w:t>
            </w:r>
          </w:p>
        </w:tc>
        <w:tc>
          <w:tcPr>
            <w:tcW w:w="0" w:type="auto"/>
            <w:hideMark/>
          </w:tcPr>
          <w:p w14:paraId="0660A42F" w14:textId="77777777" w:rsidR="001D68F6" w:rsidRPr="0019033C" w:rsidRDefault="001D68F6"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$48,773</w:t>
            </w:r>
          </w:p>
        </w:tc>
        <w:tc>
          <w:tcPr>
            <w:tcW w:w="0" w:type="auto"/>
            <w:hideMark/>
          </w:tcPr>
          <w:p w14:paraId="448748E2" w14:textId="77777777" w:rsidR="001D68F6" w:rsidRPr="0019033C" w:rsidRDefault="001D68F6"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+5.5%</w:t>
            </w:r>
          </w:p>
        </w:tc>
      </w:tr>
      <w:tr w:rsidR="001D68F6" w:rsidRPr="0019033C" w14:paraId="09E8D42B" w14:textId="77777777" w:rsidTr="001D68F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52BE1AAF" w14:textId="77777777" w:rsidR="001D68F6" w:rsidRPr="0019033C" w:rsidRDefault="001D68F6" w:rsidP="0039508C">
            <w:pPr>
              <w:spacing w:before="450" w:line="276" w:lineRule="auto"/>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Generation X (43-58)</w:t>
            </w:r>
          </w:p>
        </w:tc>
        <w:tc>
          <w:tcPr>
            <w:tcW w:w="0" w:type="auto"/>
            <w:hideMark/>
          </w:tcPr>
          <w:p w14:paraId="62129632" w14:textId="77777777" w:rsidR="001D68F6" w:rsidRPr="0019033C" w:rsidRDefault="001D68F6"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$48,509</w:t>
            </w:r>
          </w:p>
        </w:tc>
        <w:tc>
          <w:tcPr>
            <w:tcW w:w="0" w:type="auto"/>
            <w:hideMark/>
          </w:tcPr>
          <w:p w14:paraId="7E18E835" w14:textId="77777777" w:rsidR="001D68F6" w:rsidRPr="0019033C" w:rsidRDefault="001D68F6"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$51,070</w:t>
            </w:r>
          </w:p>
        </w:tc>
        <w:tc>
          <w:tcPr>
            <w:tcW w:w="0" w:type="auto"/>
            <w:hideMark/>
          </w:tcPr>
          <w:p w14:paraId="1C91369D" w14:textId="77777777" w:rsidR="001D68F6" w:rsidRPr="0019033C" w:rsidRDefault="001D68F6"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+5.3%</w:t>
            </w:r>
          </w:p>
        </w:tc>
      </w:tr>
      <w:tr w:rsidR="001D68F6" w:rsidRPr="0019033C" w14:paraId="0DCB71B6" w14:textId="77777777" w:rsidTr="001D68F6">
        <w:trPr>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442032C3" w14:textId="77777777" w:rsidR="001D68F6" w:rsidRPr="0019033C" w:rsidRDefault="001D68F6" w:rsidP="0039508C">
            <w:pPr>
              <w:spacing w:before="450" w:line="276" w:lineRule="auto"/>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Baby boomers (59-77)</w:t>
            </w:r>
          </w:p>
        </w:tc>
        <w:tc>
          <w:tcPr>
            <w:tcW w:w="0" w:type="auto"/>
            <w:hideMark/>
          </w:tcPr>
          <w:p w14:paraId="22484513" w14:textId="77777777" w:rsidR="001D68F6" w:rsidRPr="0019033C" w:rsidRDefault="001D68F6"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$38,162</w:t>
            </w:r>
          </w:p>
        </w:tc>
        <w:tc>
          <w:tcPr>
            <w:tcW w:w="0" w:type="auto"/>
            <w:hideMark/>
          </w:tcPr>
          <w:p w14:paraId="498EA266" w14:textId="77777777" w:rsidR="001D68F6" w:rsidRPr="0019033C" w:rsidRDefault="001D68F6"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$37,487</w:t>
            </w:r>
          </w:p>
        </w:tc>
        <w:tc>
          <w:tcPr>
            <w:tcW w:w="0" w:type="auto"/>
            <w:hideMark/>
          </w:tcPr>
          <w:p w14:paraId="7FF8FB3E" w14:textId="77777777" w:rsidR="001D68F6" w:rsidRPr="0019033C" w:rsidRDefault="001D68F6" w:rsidP="0039508C">
            <w:pPr>
              <w:spacing w:before="450" w:line="276" w:lineRule="auto"/>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-1.8%</w:t>
            </w:r>
          </w:p>
        </w:tc>
      </w:tr>
      <w:tr w:rsidR="001D68F6" w:rsidRPr="0019033C" w14:paraId="43CE4736" w14:textId="77777777" w:rsidTr="001D68F6">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50D61414" w14:textId="77777777" w:rsidR="001D68F6" w:rsidRPr="0019033C" w:rsidRDefault="001D68F6" w:rsidP="0039508C">
            <w:pPr>
              <w:spacing w:before="450" w:line="276" w:lineRule="auto"/>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Silent Generation (78+)</w:t>
            </w:r>
          </w:p>
        </w:tc>
        <w:tc>
          <w:tcPr>
            <w:tcW w:w="0" w:type="auto"/>
            <w:hideMark/>
          </w:tcPr>
          <w:p w14:paraId="3FCD2F9D" w14:textId="77777777" w:rsidR="001D68F6" w:rsidRPr="0019033C" w:rsidRDefault="001D68F6"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$32,719</w:t>
            </w:r>
          </w:p>
        </w:tc>
        <w:tc>
          <w:tcPr>
            <w:tcW w:w="0" w:type="auto"/>
            <w:hideMark/>
          </w:tcPr>
          <w:p w14:paraId="3DA8668A" w14:textId="77777777" w:rsidR="001D68F6" w:rsidRPr="0019033C" w:rsidRDefault="001D68F6"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$31,654</w:t>
            </w:r>
          </w:p>
        </w:tc>
        <w:tc>
          <w:tcPr>
            <w:tcW w:w="0" w:type="auto"/>
            <w:hideMark/>
          </w:tcPr>
          <w:p w14:paraId="00728112" w14:textId="77777777" w:rsidR="001D68F6" w:rsidRPr="0019033C" w:rsidRDefault="001D68F6" w:rsidP="0039508C">
            <w:pPr>
              <w:spacing w:before="450" w:line="276"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333333"/>
                <w:kern w:val="0"/>
                <w:sz w:val="24"/>
                <w:szCs w:val="24"/>
                <w:lang w:eastAsia="en-IN"/>
                <w14:ligatures w14:val="none"/>
              </w:rPr>
            </w:pPr>
            <w:r w:rsidRPr="0019033C">
              <w:rPr>
                <w:rFonts w:ascii="Roboto" w:eastAsia="Times New Roman" w:hAnsi="Roboto" w:cs="Times New Roman"/>
                <w:color w:val="333333"/>
                <w:kern w:val="0"/>
                <w:sz w:val="24"/>
                <w:szCs w:val="24"/>
                <w:lang w:eastAsia="en-IN"/>
                <w14:ligatures w14:val="none"/>
              </w:rPr>
              <w:t>-3.3%</w:t>
            </w:r>
          </w:p>
        </w:tc>
      </w:tr>
    </w:tbl>
    <w:p w14:paraId="5B8EBAE2" w14:textId="77777777" w:rsidR="0019033C" w:rsidRDefault="0019033C" w:rsidP="0039508C">
      <w:pPr>
        <w:spacing w:line="276" w:lineRule="auto"/>
        <w:rPr>
          <w:rFonts w:ascii="Times New Roman" w:hAnsi="Times New Roman" w:cs="Times New Roman"/>
          <w:sz w:val="24"/>
          <w:szCs w:val="24"/>
        </w:rPr>
      </w:pPr>
    </w:p>
    <w:p w14:paraId="7D02794C" w14:textId="77777777" w:rsidR="0039508C" w:rsidRDefault="0039508C" w:rsidP="0039508C">
      <w:pPr>
        <w:spacing w:line="276" w:lineRule="auto"/>
        <w:rPr>
          <w:rFonts w:ascii="Times New Roman" w:hAnsi="Times New Roman" w:cs="Times New Roman"/>
          <w:sz w:val="24"/>
          <w:szCs w:val="24"/>
        </w:rPr>
      </w:pPr>
    </w:p>
    <w:p w14:paraId="53421269" w14:textId="77777777" w:rsidR="0039508C" w:rsidRDefault="0039508C" w:rsidP="0039508C">
      <w:pPr>
        <w:spacing w:line="276" w:lineRule="auto"/>
        <w:rPr>
          <w:rFonts w:ascii="Times New Roman" w:hAnsi="Times New Roman" w:cs="Times New Roman"/>
          <w:sz w:val="24"/>
          <w:szCs w:val="24"/>
        </w:rPr>
      </w:pPr>
    </w:p>
    <w:p w14:paraId="462D801C" w14:textId="77777777" w:rsidR="0039508C" w:rsidRDefault="0039508C" w:rsidP="0039508C">
      <w:pPr>
        <w:spacing w:line="276" w:lineRule="auto"/>
        <w:rPr>
          <w:rFonts w:ascii="Times New Roman" w:hAnsi="Times New Roman" w:cs="Times New Roman"/>
          <w:sz w:val="24"/>
          <w:szCs w:val="24"/>
        </w:rPr>
      </w:pPr>
    </w:p>
    <w:p w14:paraId="269C9F28" w14:textId="77777777" w:rsidR="0039508C" w:rsidRDefault="0039508C" w:rsidP="0039508C">
      <w:pPr>
        <w:spacing w:line="276" w:lineRule="auto"/>
        <w:rPr>
          <w:rFonts w:ascii="Times New Roman" w:hAnsi="Times New Roman" w:cs="Times New Roman"/>
          <w:sz w:val="24"/>
          <w:szCs w:val="24"/>
        </w:rPr>
      </w:pPr>
    </w:p>
    <w:p w14:paraId="2DDCB33A" w14:textId="77777777" w:rsidR="0039508C" w:rsidRDefault="0039508C" w:rsidP="0039508C">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Inference</w:t>
      </w:r>
      <w:proofErr w:type="spellEnd"/>
    </w:p>
    <w:p w14:paraId="0CACA295" w14:textId="77777777" w:rsidR="0039508C" w:rsidRPr="0039508C" w:rsidRDefault="0039508C" w:rsidP="0039508C">
      <w:pPr>
        <w:pStyle w:val="ListParagraph"/>
        <w:numPr>
          <w:ilvl w:val="0"/>
          <w:numId w:val="9"/>
        </w:numPr>
        <w:spacing w:line="276" w:lineRule="auto"/>
        <w:rPr>
          <w:rFonts w:ascii="Times New Roman" w:hAnsi="Times New Roman" w:cs="Times New Roman"/>
          <w:sz w:val="24"/>
          <w:szCs w:val="24"/>
        </w:rPr>
      </w:pPr>
      <w:r w:rsidRPr="0039508C">
        <w:rPr>
          <w:rFonts w:ascii="Times New Roman" w:hAnsi="Times New Roman" w:cs="Times New Roman"/>
          <w:sz w:val="24"/>
          <w:szCs w:val="24"/>
        </w:rPr>
        <w:t>HELOCs remain a popular home equity financing option, with the total authorized amount reaching $129.9 billion as of Q1 2024, and $36.8 billion drawn.</w:t>
      </w:r>
    </w:p>
    <w:p w14:paraId="3C9627BB" w14:textId="074EC925" w:rsidR="0039508C" w:rsidRPr="0039508C" w:rsidRDefault="0039508C" w:rsidP="0039508C">
      <w:pPr>
        <w:pStyle w:val="ListParagraph"/>
        <w:numPr>
          <w:ilvl w:val="0"/>
          <w:numId w:val="9"/>
        </w:numPr>
        <w:spacing w:line="276" w:lineRule="auto"/>
        <w:rPr>
          <w:rFonts w:ascii="Times New Roman" w:hAnsi="Times New Roman" w:cs="Times New Roman"/>
          <w:sz w:val="24"/>
          <w:szCs w:val="24"/>
        </w:rPr>
      </w:pPr>
      <w:r w:rsidRPr="0039508C">
        <w:rPr>
          <w:rFonts w:ascii="Times New Roman" w:hAnsi="Times New Roman" w:cs="Times New Roman"/>
          <w:sz w:val="24"/>
          <w:szCs w:val="24"/>
        </w:rPr>
        <w:t>Variable interest rates on HELOCs have increased, with the average rate ranging from 8.95% to 13.10% APR at U.S. Bank as of 2023, reflecting the rise in interest rates.</w:t>
      </w:r>
    </w:p>
    <w:p w14:paraId="5CFA5203" w14:textId="77777777" w:rsidR="0039508C" w:rsidRPr="0039508C" w:rsidRDefault="0039508C" w:rsidP="0039508C">
      <w:pPr>
        <w:pStyle w:val="ListParagraph"/>
        <w:numPr>
          <w:ilvl w:val="0"/>
          <w:numId w:val="9"/>
        </w:numPr>
        <w:spacing w:line="276" w:lineRule="auto"/>
        <w:rPr>
          <w:rFonts w:ascii="Times New Roman" w:hAnsi="Times New Roman" w:cs="Times New Roman"/>
          <w:sz w:val="24"/>
          <w:szCs w:val="24"/>
        </w:rPr>
      </w:pPr>
      <w:r w:rsidRPr="0039508C">
        <w:rPr>
          <w:rFonts w:ascii="Times New Roman" w:hAnsi="Times New Roman" w:cs="Times New Roman"/>
          <w:sz w:val="24"/>
          <w:szCs w:val="24"/>
        </w:rPr>
        <w:t>Lenders have maintained relatively strict eligibility requirements for HELOCs, including a minimum credit score of 660, sufficient home equity (15-20%), low debt-to-income ratios, and a solid payment history.</w:t>
      </w:r>
    </w:p>
    <w:p w14:paraId="5E9999C9" w14:textId="77777777" w:rsidR="0039508C" w:rsidRPr="0039508C" w:rsidRDefault="0039508C" w:rsidP="0039508C">
      <w:pPr>
        <w:pStyle w:val="ListParagraph"/>
        <w:numPr>
          <w:ilvl w:val="0"/>
          <w:numId w:val="9"/>
        </w:numPr>
        <w:spacing w:line="276" w:lineRule="auto"/>
        <w:rPr>
          <w:rFonts w:ascii="Times New Roman" w:hAnsi="Times New Roman" w:cs="Times New Roman"/>
          <w:sz w:val="24"/>
          <w:szCs w:val="24"/>
        </w:rPr>
      </w:pPr>
      <w:r w:rsidRPr="0039508C">
        <w:rPr>
          <w:rFonts w:ascii="Times New Roman" w:hAnsi="Times New Roman" w:cs="Times New Roman"/>
          <w:sz w:val="24"/>
          <w:szCs w:val="24"/>
        </w:rPr>
        <w:t>While HELOCs are available for primary residences, investment properties, and second homes, the requirements are more stringent for investment and second properties, with higher credit score thresholds and lower maximum LTV ratios.</w:t>
      </w:r>
    </w:p>
    <w:p w14:paraId="74676F87" w14:textId="77777777" w:rsidR="0039508C" w:rsidRPr="0039508C" w:rsidRDefault="0039508C" w:rsidP="0039508C">
      <w:pPr>
        <w:pStyle w:val="ListParagraph"/>
        <w:numPr>
          <w:ilvl w:val="0"/>
          <w:numId w:val="9"/>
        </w:numPr>
        <w:spacing w:line="276" w:lineRule="auto"/>
        <w:rPr>
          <w:rFonts w:ascii="Times New Roman" w:hAnsi="Times New Roman" w:cs="Times New Roman"/>
          <w:sz w:val="24"/>
          <w:szCs w:val="24"/>
        </w:rPr>
      </w:pPr>
      <w:r w:rsidRPr="0039508C">
        <w:rPr>
          <w:rFonts w:ascii="Times New Roman" w:hAnsi="Times New Roman" w:cs="Times New Roman"/>
          <w:sz w:val="24"/>
          <w:szCs w:val="24"/>
        </w:rPr>
        <w:t>The average HELOC balance grew by 2.7% in 2023, with the largest increases seen in states like Hawaii, Colorado, and South Dakota. However, balances for older borrowers (Baby Boomers and Silent Generation) declined slightly.</w:t>
      </w:r>
    </w:p>
    <w:p w14:paraId="6BD98DB4" w14:textId="1C794C0E" w:rsidR="0039508C" w:rsidRPr="0039508C" w:rsidRDefault="0039508C" w:rsidP="0039508C">
      <w:pPr>
        <w:pStyle w:val="ListParagraph"/>
        <w:numPr>
          <w:ilvl w:val="0"/>
          <w:numId w:val="9"/>
        </w:numPr>
        <w:spacing w:line="276" w:lineRule="auto"/>
        <w:rPr>
          <w:rFonts w:ascii="Times New Roman" w:hAnsi="Times New Roman" w:cs="Times New Roman"/>
          <w:sz w:val="24"/>
          <w:szCs w:val="24"/>
        </w:rPr>
      </w:pPr>
      <w:r w:rsidRPr="0039508C">
        <w:rPr>
          <w:rFonts w:ascii="Times New Roman" w:hAnsi="Times New Roman" w:cs="Times New Roman"/>
          <w:sz w:val="24"/>
          <w:szCs w:val="24"/>
        </w:rPr>
        <w:t>The flexibility and relatively low interest rates of HELOCs continue to make them an attractive financing option for homeowners, particularly for funding home improvements, debt consolidation, and other major expenses.</w:t>
      </w:r>
    </w:p>
    <w:p w14:paraId="40233A9E" w14:textId="77777777" w:rsidR="0039508C" w:rsidRPr="00C53C62" w:rsidRDefault="0039508C" w:rsidP="0039508C">
      <w:pPr>
        <w:spacing w:line="276" w:lineRule="auto"/>
        <w:rPr>
          <w:rFonts w:ascii="Times New Roman" w:hAnsi="Times New Roman" w:cs="Times New Roman"/>
          <w:sz w:val="24"/>
          <w:szCs w:val="24"/>
        </w:rPr>
      </w:pPr>
    </w:p>
    <w:sectPr w:rsidR="0039508C" w:rsidRPr="00C53C62" w:rsidSect="002462A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F66D1"/>
    <w:multiLevelType w:val="multilevel"/>
    <w:tmpl w:val="68CE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A0178"/>
    <w:multiLevelType w:val="multilevel"/>
    <w:tmpl w:val="22E6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C7F75"/>
    <w:multiLevelType w:val="hybridMultilevel"/>
    <w:tmpl w:val="FDD8FA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8D672CF"/>
    <w:multiLevelType w:val="hybridMultilevel"/>
    <w:tmpl w:val="9EE2DFFC"/>
    <w:lvl w:ilvl="0" w:tplc="4009000D">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8DD03EA"/>
    <w:multiLevelType w:val="multilevel"/>
    <w:tmpl w:val="C9C8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24830"/>
    <w:multiLevelType w:val="hybridMultilevel"/>
    <w:tmpl w:val="4A866B8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41B268C"/>
    <w:multiLevelType w:val="multilevel"/>
    <w:tmpl w:val="F938A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4B1D79"/>
    <w:multiLevelType w:val="hybridMultilevel"/>
    <w:tmpl w:val="B86CA3F2"/>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734C7158"/>
    <w:multiLevelType w:val="multilevel"/>
    <w:tmpl w:val="F776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3088434">
    <w:abstractNumId w:val="8"/>
  </w:num>
  <w:num w:numId="2" w16cid:durableId="478809832">
    <w:abstractNumId w:val="0"/>
  </w:num>
  <w:num w:numId="3" w16cid:durableId="906917472">
    <w:abstractNumId w:val="1"/>
  </w:num>
  <w:num w:numId="4" w16cid:durableId="1086419012">
    <w:abstractNumId w:val="6"/>
  </w:num>
  <w:num w:numId="5" w16cid:durableId="1143079772">
    <w:abstractNumId w:val="2"/>
  </w:num>
  <w:num w:numId="6" w16cid:durableId="1709990670">
    <w:abstractNumId w:val="7"/>
  </w:num>
  <w:num w:numId="7" w16cid:durableId="174345342">
    <w:abstractNumId w:val="3"/>
  </w:num>
  <w:num w:numId="8" w16cid:durableId="12613185">
    <w:abstractNumId w:val="4"/>
  </w:num>
  <w:num w:numId="9" w16cid:durableId="866479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62"/>
    <w:rsid w:val="00153A5A"/>
    <w:rsid w:val="0019033C"/>
    <w:rsid w:val="001D68F6"/>
    <w:rsid w:val="002462A6"/>
    <w:rsid w:val="00306047"/>
    <w:rsid w:val="0039508C"/>
    <w:rsid w:val="008B738E"/>
    <w:rsid w:val="00C53C62"/>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CC820"/>
  <w15:chartTrackingRefBased/>
  <w15:docId w15:val="{5C552FC7-0275-4C27-8EC1-25981B7D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3C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C53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C53C62"/>
  </w:style>
  <w:style w:type="character" w:customStyle="1" w:styleId="Heading1Char">
    <w:name w:val="Heading 1 Char"/>
    <w:basedOn w:val="DefaultParagraphFont"/>
    <w:link w:val="Heading1"/>
    <w:uiPriority w:val="9"/>
    <w:rsid w:val="00C53C6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C53C6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9033C"/>
    <w:rPr>
      <w:b/>
      <w:bCs/>
    </w:rPr>
  </w:style>
  <w:style w:type="table" w:styleId="GridTable4-Accent5">
    <w:name w:val="Grid Table 4 Accent 5"/>
    <w:basedOn w:val="TableNormal"/>
    <w:uiPriority w:val="49"/>
    <w:rsid w:val="001903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903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1903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1903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
    <w:name w:val="List Table 3"/>
    <w:basedOn w:val="TableNormal"/>
    <w:uiPriority w:val="48"/>
    <w:rsid w:val="0019033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1903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D6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13173">
      <w:bodyDiv w:val="1"/>
      <w:marLeft w:val="0"/>
      <w:marRight w:val="0"/>
      <w:marTop w:val="0"/>
      <w:marBottom w:val="0"/>
      <w:divBdr>
        <w:top w:val="none" w:sz="0" w:space="0" w:color="auto"/>
        <w:left w:val="none" w:sz="0" w:space="0" w:color="auto"/>
        <w:bottom w:val="none" w:sz="0" w:space="0" w:color="auto"/>
        <w:right w:val="none" w:sz="0" w:space="0" w:color="auto"/>
      </w:divBdr>
    </w:div>
    <w:div w:id="114375713">
      <w:bodyDiv w:val="1"/>
      <w:marLeft w:val="0"/>
      <w:marRight w:val="0"/>
      <w:marTop w:val="0"/>
      <w:marBottom w:val="0"/>
      <w:divBdr>
        <w:top w:val="none" w:sz="0" w:space="0" w:color="auto"/>
        <w:left w:val="none" w:sz="0" w:space="0" w:color="auto"/>
        <w:bottom w:val="none" w:sz="0" w:space="0" w:color="auto"/>
        <w:right w:val="none" w:sz="0" w:space="0" w:color="auto"/>
      </w:divBdr>
    </w:div>
    <w:div w:id="131752755">
      <w:bodyDiv w:val="1"/>
      <w:marLeft w:val="0"/>
      <w:marRight w:val="0"/>
      <w:marTop w:val="0"/>
      <w:marBottom w:val="0"/>
      <w:divBdr>
        <w:top w:val="none" w:sz="0" w:space="0" w:color="auto"/>
        <w:left w:val="none" w:sz="0" w:space="0" w:color="auto"/>
        <w:bottom w:val="none" w:sz="0" w:space="0" w:color="auto"/>
        <w:right w:val="none" w:sz="0" w:space="0" w:color="auto"/>
      </w:divBdr>
    </w:div>
    <w:div w:id="176119292">
      <w:bodyDiv w:val="1"/>
      <w:marLeft w:val="0"/>
      <w:marRight w:val="0"/>
      <w:marTop w:val="0"/>
      <w:marBottom w:val="0"/>
      <w:divBdr>
        <w:top w:val="none" w:sz="0" w:space="0" w:color="auto"/>
        <w:left w:val="none" w:sz="0" w:space="0" w:color="auto"/>
        <w:bottom w:val="none" w:sz="0" w:space="0" w:color="auto"/>
        <w:right w:val="none" w:sz="0" w:space="0" w:color="auto"/>
      </w:divBdr>
    </w:div>
    <w:div w:id="335038780">
      <w:bodyDiv w:val="1"/>
      <w:marLeft w:val="0"/>
      <w:marRight w:val="0"/>
      <w:marTop w:val="0"/>
      <w:marBottom w:val="0"/>
      <w:divBdr>
        <w:top w:val="none" w:sz="0" w:space="0" w:color="auto"/>
        <w:left w:val="none" w:sz="0" w:space="0" w:color="auto"/>
        <w:bottom w:val="none" w:sz="0" w:space="0" w:color="auto"/>
        <w:right w:val="none" w:sz="0" w:space="0" w:color="auto"/>
      </w:divBdr>
    </w:div>
    <w:div w:id="380910335">
      <w:bodyDiv w:val="1"/>
      <w:marLeft w:val="0"/>
      <w:marRight w:val="0"/>
      <w:marTop w:val="0"/>
      <w:marBottom w:val="0"/>
      <w:divBdr>
        <w:top w:val="none" w:sz="0" w:space="0" w:color="auto"/>
        <w:left w:val="none" w:sz="0" w:space="0" w:color="auto"/>
        <w:bottom w:val="none" w:sz="0" w:space="0" w:color="auto"/>
        <w:right w:val="none" w:sz="0" w:space="0" w:color="auto"/>
      </w:divBdr>
    </w:div>
    <w:div w:id="392702882">
      <w:bodyDiv w:val="1"/>
      <w:marLeft w:val="0"/>
      <w:marRight w:val="0"/>
      <w:marTop w:val="0"/>
      <w:marBottom w:val="0"/>
      <w:divBdr>
        <w:top w:val="none" w:sz="0" w:space="0" w:color="auto"/>
        <w:left w:val="none" w:sz="0" w:space="0" w:color="auto"/>
        <w:bottom w:val="none" w:sz="0" w:space="0" w:color="auto"/>
        <w:right w:val="none" w:sz="0" w:space="0" w:color="auto"/>
      </w:divBdr>
    </w:div>
    <w:div w:id="523790229">
      <w:bodyDiv w:val="1"/>
      <w:marLeft w:val="0"/>
      <w:marRight w:val="0"/>
      <w:marTop w:val="0"/>
      <w:marBottom w:val="0"/>
      <w:divBdr>
        <w:top w:val="none" w:sz="0" w:space="0" w:color="auto"/>
        <w:left w:val="none" w:sz="0" w:space="0" w:color="auto"/>
        <w:bottom w:val="none" w:sz="0" w:space="0" w:color="auto"/>
        <w:right w:val="none" w:sz="0" w:space="0" w:color="auto"/>
      </w:divBdr>
    </w:div>
    <w:div w:id="702052153">
      <w:bodyDiv w:val="1"/>
      <w:marLeft w:val="0"/>
      <w:marRight w:val="0"/>
      <w:marTop w:val="0"/>
      <w:marBottom w:val="0"/>
      <w:divBdr>
        <w:top w:val="none" w:sz="0" w:space="0" w:color="auto"/>
        <w:left w:val="none" w:sz="0" w:space="0" w:color="auto"/>
        <w:bottom w:val="none" w:sz="0" w:space="0" w:color="auto"/>
        <w:right w:val="none" w:sz="0" w:space="0" w:color="auto"/>
      </w:divBdr>
    </w:div>
    <w:div w:id="1051811544">
      <w:bodyDiv w:val="1"/>
      <w:marLeft w:val="0"/>
      <w:marRight w:val="0"/>
      <w:marTop w:val="0"/>
      <w:marBottom w:val="0"/>
      <w:divBdr>
        <w:top w:val="none" w:sz="0" w:space="0" w:color="auto"/>
        <w:left w:val="none" w:sz="0" w:space="0" w:color="auto"/>
        <w:bottom w:val="none" w:sz="0" w:space="0" w:color="auto"/>
        <w:right w:val="none" w:sz="0" w:space="0" w:color="auto"/>
      </w:divBdr>
    </w:div>
    <w:div w:id="1928732705">
      <w:bodyDiv w:val="1"/>
      <w:marLeft w:val="0"/>
      <w:marRight w:val="0"/>
      <w:marTop w:val="0"/>
      <w:marBottom w:val="0"/>
      <w:divBdr>
        <w:top w:val="none" w:sz="0" w:space="0" w:color="auto"/>
        <w:left w:val="none" w:sz="0" w:space="0" w:color="auto"/>
        <w:bottom w:val="none" w:sz="0" w:space="0" w:color="auto"/>
        <w:right w:val="none" w:sz="0" w:space="0" w:color="auto"/>
      </w:divBdr>
    </w:div>
    <w:div w:id="199421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894</Words>
  <Characters>4716</Characters>
  <Application>Microsoft Office Word</Application>
  <DocSecurity>0</DocSecurity>
  <Lines>154</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3</cp:revision>
  <dcterms:created xsi:type="dcterms:W3CDTF">2024-06-28T07:42:00Z</dcterms:created>
  <dcterms:modified xsi:type="dcterms:W3CDTF">2024-06-28T10:05:00Z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5ed655f4-ff71-4977-8475-01b1fbf3dcf1</vt:lpwstr>
  </property>
</Properties>
</file>