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8FCCD" w14:textId="72CD1D61" w:rsidR="00153A5A" w:rsidRPr="004A38CB" w:rsidRDefault="004A38CB" w:rsidP="004A38CB">
      <w:pPr>
        <w:jc w:val="center"/>
        <w:rPr>
          <w:rFonts w:ascii="Times New Roman" w:hAnsi="Times New Roman" w:cs="Times New Roman"/>
          <w:b/>
          <w:bCs/>
          <w:sz w:val="28"/>
          <w:szCs w:val="28"/>
          <w:u w:val="single"/>
        </w:rPr>
      </w:pPr>
      <w:r w:rsidRPr="004A38CB">
        <w:rPr>
          <w:rFonts w:ascii="Times New Roman" w:hAnsi="Times New Roman" w:cs="Times New Roman"/>
          <w:b/>
          <w:bCs/>
          <w:sz w:val="28"/>
          <w:szCs w:val="28"/>
          <w:u w:val="single"/>
        </w:rPr>
        <w:t>Personal loan origination and servicing</w:t>
      </w:r>
      <w:r w:rsidR="00E81F96">
        <w:rPr>
          <w:rFonts w:ascii="Times New Roman" w:hAnsi="Times New Roman" w:cs="Times New Roman"/>
          <w:b/>
          <w:bCs/>
          <w:sz w:val="28"/>
          <w:szCs w:val="28"/>
          <w:u w:val="single"/>
        </w:rPr>
        <w:t xml:space="preserve"> in the US banking system</w:t>
      </w:r>
    </w:p>
    <w:p w14:paraId="44672774" w14:textId="77777777" w:rsidR="004A38CB" w:rsidRPr="004A38CB" w:rsidRDefault="004A38CB" w:rsidP="004A38CB">
      <w:pPr>
        <w:rPr>
          <w:rFonts w:ascii="Times New Roman" w:hAnsi="Times New Roman" w:cs="Times New Roman"/>
          <w:sz w:val="24"/>
          <w:szCs w:val="24"/>
        </w:rPr>
      </w:pPr>
      <w:r w:rsidRPr="004A38CB">
        <w:rPr>
          <w:rFonts w:ascii="Times New Roman" w:hAnsi="Times New Roman" w:cs="Times New Roman"/>
          <w:sz w:val="24"/>
          <w:szCs w:val="24"/>
        </w:rPr>
        <w:t>Personal loans in the US reached $356 billion or about 10% of non-revolving consumer credit at the end of 2022. While depository institutions like banks and credit unions dominate the personal loan market, finance companies that lend to non-prime consumers hold nearly a quarter of these loans.</w:t>
      </w:r>
    </w:p>
    <w:p w14:paraId="446164F5" w14:textId="77777777" w:rsidR="004A38CB" w:rsidRDefault="004A38CB" w:rsidP="004A38CB">
      <w:pPr>
        <w:rPr>
          <w:rFonts w:ascii="Times New Roman" w:hAnsi="Times New Roman" w:cs="Times New Roman"/>
          <w:b/>
          <w:bCs/>
          <w:sz w:val="24"/>
          <w:szCs w:val="24"/>
        </w:rPr>
      </w:pPr>
      <w:r w:rsidRPr="004A38CB">
        <w:rPr>
          <w:rFonts w:ascii="Times New Roman" w:hAnsi="Times New Roman" w:cs="Times New Roman"/>
          <w:b/>
          <w:bCs/>
          <w:sz w:val="24"/>
          <w:szCs w:val="24"/>
        </w:rPr>
        <w:t>The loan origination process involves several key stages:</w:t>
      </w:r>
    </w:p>
    <w:p w14:paraId="676AE058" w14:textId="77777777" w:rsidR="004A38CB" w:rsidRDefault="004A38CB" w:rsidP="004A38CB">
      <w:pPr>
        <w:rPr>
          <w:rFonts w:ascii="Times New Roman" w:hAnsi="Times New Roman" w:cs="Times New Roman"/>
          <w:sz w:val="24"/>
          <w:szCs w:val="24"/>
        </w:rPr>
      </w:pPr>
      <w:r w:rsidRPr="004A38CB">
        <w:rPr>
          <w:rFonts w:ascii="Times New Roman" w:hAnsi="Times New Roman" w:cs="Times New Roman"/>
          <w:b/>
          <w:bCs/>
          <w:sz w:val="24"/>
          <w:szCs w:val="24"/>
        </w:rPr>
        <w:br/>
        <w:t>Application and Intake</w:t>
      </w:r>
      <w:r w:rsidRPr="004A38CB">
        <w:rPr>
          <w:rFonts w:ascii="Times New Roman" w:hAnsi="Times New Roman" w:cs="Times New Roman"/>
          <w:b/>
          <w:bCs/>
          <w:sz w:val="24"/>
          <w:szCs w:val="24"/>
        </w:rPr>
        <w:br/>
      </w:r>
      <w:r w:rsidRPr="004A38CB">
        <w:rPr>
          <w:rFonts w:ascii="Times New Roman" w:hAnsi="Times New Roman" w:cs="Times New Roman"/>
          <w:sz w:val="24"/>
          <w:szCs w:val="24"/>
        </w:rPr>
        <w:t>Borrowers apply for personal loans, and the lender collects required information and documentation.</w:t>
      </w:r>
    </w:p>
    <w:p w14:paraId="0A2D8BE7" w14:textId="77777777" w:rsidR="004A38CB" w:rsidRDefault="004A38CB" w:rsidP="004A38CB">
      <w:pPr>
        <w:rPr>
          <w:rFonts w:ascii="Times New Roman" w:hAnsi="Times New Roman" w:cs="Times New Roman"/>
          <w:sz w:val="24"/>
          <w:szCs w:val="24"/>
        </w:rPr>
      </w:pPr>
      <w:r w:rsidRPr="004A38CB">
        <w:rPr>
          <w:rFonts w:ascii="Times New Roman" w:hAnsi="Times New Roman" w:cs="Times New Roman"/>
          <w:sz w:val="24"/>
          <w:szCs w:val="24"/>
        </w:rPr>
        <w:br/>
      </w:r>
      <w:r w:rsidRPr="004A38CB">
        <w:rPr>
          <w:rFonts w:ascii="Times New Roman" w:hAnsi="Times New Roman" w:cs="Times New Roman"/>
          <w:b/>
          <w:bCs/>
          <w:sz w:val="24"/>
          <w:szCs w:val="24"/>
        </w:rPr>
        <w:t>Underwriting and Approval</w:t>
      </w:r>
      <w:r w:rsidRPr="004A38CB">
        <w:rPr>
          <w:rFonts w:ascii="Times New Roman" w:hAnsi="Times New Roman" w:cs="Times New Roman"/>
          <w:b/>
          <w:bCs/>
          <w:sz w:val="24"/>
          <w:szCs w:val="24"/>
        </w:rPr>
        <w:br/>
      </w:r>
      <w:r w:rsidRPr="004A38CB">
        <w:rPr>
          <w:rFonts w:ascii="Times New Roman" w:hAnsi="Times New Roman" w:cs="Times New Roman"/>
          <w:sz w:val="24"/>
          <w:szCs w:val="24"/>
        </w:rPr>
        <w:t>The lender evaluates the borrower's creditworthiness and decides whether to approve the loan application.</w:t>
      </w:r>
    </w:p>
    <w:p w14:paraId="105CE108" w14:textId="77777777" w:rsidR="004A38CB" w:rsidRDefault="004A38CB" w:rsidP="004A38CB">
      <w:pPr>
        <w:rPr>
          <w:rFonts w:ascii="Times New Roman" w:hAnsi="Times New Roman" w:cs="Times New Roman"/>
          <w:sz w:val="24"/>
          <w:szCs w:val="24"/>
        </w:rPr>
      </w:pPr>
      <w:r w:rsidRPr="004A38CB">
        <w:rPr>
          <w:rFonts w:ascii="Times New Roman" w:hAnsi="Times New Roman" w:cs="Times New Roman"/>
          <w:sz w:val="24"/>
          <w:szCs w:val="24"/>
        </w:rPr>
        <w:br/>
      </w:r>
      <w:r w:rsidRPr="004A38CB">
        <w:rPr>
          <w:rFonts w:ascii="Times New Roman" w:hAnsi="Times New Roman" w:cs="Times New Roman"/>
          <w:b/>
          <w:bCs/>
          <w:sz w:val="24"/>
          <w:szCs w:val="24"/>
        </w:rPr>
        <w:t>Documentation and Funding</w:t>
      </w:r>
      <w:r w:rsidRPr="004A38CB">
        <w:rPr>
          <w:rFonts w:ascii="Times New Roman" w:hAnsi="Times New Roman" w:cs="Times New Roman"/>
          <w:b/>
          <w:bCs/>
          <w:sz w:val="24"/>
          <w:szCs w:val="24"/>
        </w:rPr>
        <w:br/>
      </w:r>
      <w:r w:rsidRPr="004A38CB">
        <w:rPr>
          <w:rFonts w:ascii="Times New Roman" w:hAnsi="Times New Roman" w:cs="Times New Roman"/>
          <w:sz w:val="24"/>
          <w:szCs w:val="24"/>
        </w:rPr>
        <w:t>If approved, the lender prepares the loan documents and disburses the funds to the borrower.</w:t>
      </w:r>
    </w:p>
    <w:p w14:paraId="5631A7A7" w14:textId="77777777" w:rsidR="004A38CB" w:rsidRDefault="004A38CB" w:rsidP="004A38CB">
      <w:pPr>
        <w:rPr>
          <w:rFonts w:ascii="Times New Roman" w:hAnsi="Times New Roman" w:cs="Times New Roman"/>
          <w:sz w:val="24"/>
          <w:szCs w:val="24"/>
        </w:rPr>
      </w:pPr>
      <w:r w:rsidRPr="004A38CB">
        <w:rPr>
          <w:rFonts w:ascii="Times New Roman" w:hAnsi="Times New Roman" w:cs="Times New Roman"/>
          <w:sz w:val="24"/>
          <w:szCs w:val="24"/>
        </w:rPr>
        <w:t>Loan servicing refers to the ongoing administrative management of the loan, including tasks like receiving payments, tracking balances, and handling taxes and insurance. Loan servicing can be handled by the original lender, a dedicated non-bank servicer, or an external vendor.</w:t>
      </w:r>
    </w:p>
    <w:p w14:paraId="49F990E7" w14:textId="77777777" w:rsidR="004A38CB" w:rsidRPr="004A38CB" w:rsidRDefault="004A38CB" w:rsidP="004A38CB">
      <w:pPr>
        <w:rPr>
          <w:rFonts w:ascii="Times New Roman" w:hAnsi="Times New Roman" w:cs="Times New Roman"/>
          <w:sz w:val="24"/>
          <w:szCs w:val="24"/>
        </w:rPr>
      </w:pPr>
      <w:r w:rsidRPr="004A38CB">
        <w:rPr>
          <w:rFonts w:ascii="Times New Roman" w:hAnsi="Times New Roman" w:cs="Times New Roman"/>
          <w:sz w:val="24"/>
          <w:szCs w:val="24"/>
        </w:rPr>
        <w:t>The personal loan market has become more automated, with lenders using loan origination systems (LOS) to streamline the application, underwriting, and funding processes. LOS platforms can integrate with other systems like CRM, compliance, and third-party data sources. This has enabled lenders to launch new loan products more quickly and improve operational efficiencies.</w:t>
      </w:r>
      <w:r w:rsidRPr="004A38CB">
        <w:rPr>
          <w:rFonts w:ascii="Times New Roman" w:hAnsi="Times New Roman" w:cs="Times New Roman"/>
          <w:sz w:val="24"/>
          <w:szCs w:val="24"/>
        </w:rPr>
        <w:br/>
      </w:r>
    </w:p>
    <w:p w14:paraId="0638C297" w14:textId="77777777" w:rsidR="004A38CB" w:rsidRDefault="004A38CB" w:rsidP="004A38CB">
      <w:pPr>
        <w:spacing w:after="0" w:line="240" w:lineRule="auto"/>
        <w:jc w:val="center"/>
        <w:rPr>
          <w:rFonts w:ascii="Times New Roman" w:hAnsi="Times New Roman" w:cs="Times New Roman"/>
          <w:b/>
          <w:bCs/>
          <w:sz w:val="24"/>
          <w:szCs w:val="24"/>
        </w:rPr>
      </w:pPr>
      <w:r w:rsidRPr="004A38CB">
        <w:rPr>
          <w:rFonts w:ascii="Times New Roman" w:hAnsi="Times New Roman" w:cs="Times New Roman"/>
          <w:b/>
          <w:bCs/>
          <w:sz w:val="24"/>
          <w:szCs w:val="24"/>
        </w:rPr>
        <w:t>P</w:t>
      </w:r>
      <w:r w:rsidRPr="004A38CB">
        <w:rPr>
          <w:rFonts w:ascii="Times New Roman" w:hAnsi="Times New Roman" w:cs="Times New Roman"/>
          <w:b/>
          <w:bCs/>
          <w:sz w:val="24"/>
          <w:szCs w:val="24"/>
        </w:rPr>
        <w:t>ersonal loan origination and servicing in the US banking system in a tabular format:</w:t>
      </w:r>
    </w:p>
    <w:p w14:paraId="4A8DD812" w14:textId="77777777" w:rsidR="004A38CB" w:rsidRPr="004A38CB" w:rsidRDefault="004A38CB" w:rsidP="004A38CB">
      <w:pPr>
        <w:spacing w:after="0" w:line="240" w:lineRule="auto"/>
        <w:jc w:val="center"/>
        <w:rPr>
          <w:rFonts w:ascii="Times New Roman" w:hAnsi="Times New Roman" w:cs="Times New Roman"/>
          <w:sz w:val="24"/>
          <w:szCs w:val="24"/>
        </w:rPr>
      </w:pPr>
    </w:p>
    <w:tbl>
      <w:tblPr>
        <w:tblStyle w:val="TableGrid"/>
        <w:tblW w:w="10120" w:type="dxa"/>
        <w:jc w:val="center"/>
        <w:tblLook w:val="04A0" w:firstRow="1" w:lastRow="0" w:firstColumn="1" w:lastColumn="0" w:noHBand="0" w:noVBand="1"/>
      </w:tblPr>
      <w:tblGrid>
        <w:gridCol w:w="5447"/>
        <w:gridCol w:w="1711"/>
        <w:gridCol w:w="1711"/>
        <w:gridCol w:w="1251"/>
      </w:tblGrid>
      <w:tr w:rsidR="004A38CB" w:rsidRPr="004A38CB" w14:paraId="1CDE5F89" w14:textId="77777777" w:rsidTr="004A38CB">
        <w:trPr>
          <w:jc w:val="center"/>
        </w:trPr>
        <w:tc>
          <w:tcPr>
            <w:tcW w:w="0" w:type="auto"/>
            <w:noWrap/>
            <w:hideMark/>
          </w:tcPr>
          <w:p w14:paraId="3EA713BD"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Metric</w:t>
            </w:r>
          </w:p>
        </w:tc>
        <w:tc>
          <w:tcPr>
            <w:tcW w:w="0" w:type="auto"/>
            <w:noWrap/>
            <w:hideMark/>
          </w:tcPr>
          <w:p w14:paraId="2AAD1466"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Q4 2023</w:t>
            </w:r>
          </w:p>
        </w:tc>
        <w:tc>
          <w:tcPr>
            <w:tcW w:w="0" w:type="auto"/>
            <w:noWrap/>
            <w:hideMark/>
          </w:tcPr>
          <w:p w14:paraId="4CF4659F"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Q4 2022</w:t>
            </w:r>
          </w:p>
        </w:tc>
        <w:tc>
          <w:tcPr>
            <w:tcW w:w="0" w:type="auto"/>
            <w:noWrap/>
            <w:hideMark/>
          </w:tcPr>
          <w:p w14:paraId="56EB5310"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Change</w:t>
            </w:r>
          </w:p>
        </w:tc>
      </w:tr>
      <w:tr w:rsidR="004A38CB" w:rsidRPr="004A38CB" w14:paraId="3932CD80" w14:textId="77777777" w:rsidTr="004A38CB">
        <w:trPr>
          <w:jc w:val="center"/>
        </w:trPr>
        <w:tc>
          <w:tcPr>
            <w:tcW w:w="0" w:type="auto"/>
            <w:hideMark/>
          </w:tcPr>
          <w:p w14:paraId="1A03D2A1"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Total Outstanding Personal Loan Debt</w:t>
            </w:r>
          </w:p>
        </w:tc>
        <w:tc>
          <w:tcPr>
            <w:tcW w:w="0" w:type="auto"/>
            <w:hideMark/>
          </w:tcPr>
          <w:p w14:paraId="1FB42562"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$245 billion</w:t>
            </w:r>
          </w:p>
        </w:tc>
        <w:tc>
          <w:tcPr>
            <w:tcW w:w="0" w:type="auto"/>
            <w:hideMark/>
          </w:tcPr>
          <w:p w14:paraId="5D0AF199"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$221 billion</w:t>
            </w:r>
          </w:p>
        </w:tc>
        <w:tc>
          <w:tcPr>
            <w:tcW w:w="0" w:type="auto"/>
            <w:hideMark/>
          </w:tcPr>
          <w:p w14:paraId="07E361FD"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+10.5%</w:t>
            </w:r>
          </w:p>
        </w:tc>
      </w:tr>
      <w:tr w:rsidR="004A38CB" w:rsidRPr="004A38CB" w14:paraId="05AC4CA5" w14:textId="77777777" w:rsidTr="004A38CB">
        <w:trPr>
          <w:jc w:val="center"/>
        </w:trPr>
        <w:tc>
          <w:tcPr>
            <w:tcW w:w="0" w:type="auto"/>
            <w:hideMark/>
          </w:tcPr>
          <w:p w14:paraId="6D026FE1"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Number of Consumers with Personal Loans</w:t>
            </w:r>
          </w:p>
        </w:tc>
        <w:tc>
          <w:tcPr>
            <w:tcW w:w="0" w:type="auto"/>
            <w:hideMark/>
          </w:tcPr>
          <w:p w14:paraId="118AF66A"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23.5 million</w:t>
            </w:r>
          </w:p>
        </w:tc>
        <w:tc>
          <w:tcPr>
            <w:tcW w:w="0" w:type="auto"/>
            <w:hideMark/>
          </w:tcPr>
          <w:p w14:paraId="1B1BF4BC"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22.5 million</w:t>
            </w:r>
          </w:p>
        </w:tc>
        <w:tc>
          <w:tcPr>
            <w:tcW w:w="0" w:type="auto"/>
            <w:hideMark/>
          </w:tcPr>
          <w:p w14:paraId="1A889AEE"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+4.4%</w:t>
            </w:r>
          </w:p>
        </w:tc>
      </w:tr>
      <w:tr w:rsidR="004A38CB" w:rsidRPr="004A38CB" w14:paraId="7C22B64E" w14:textId="77777777" w:rsidTr="004A38CB">
        <w:trPr>
          <w:jc w:val="center"/>
        </w:trPr>
        <w:tc>
          <w:tcPr>
            <w:tcW w:w="0" w:type="auto"/>
            <w:hideMark/>
          </w:tcPr>
          <w:p w14:paraId="3E05018D"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Average Personal Loan Debt per Borrower</w:t>
            </w:r>
          </w:p>
        </w:tc>
        <w:tc>
          <w:tcPr>
            <w:tcW w:w="0" w:type="auto"/>
            <w:hideMark/>
          </w:tcPr>
          <w:p w14:paraId="61194D1F"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$11,692</w:t>
            </w:r>
          </w:p>
        </w:tc>
        <w:tc>
          <w:tcPr>
            <w:tcW w:w="0" w:type="auto"/>
            <w:hideMark/>
          </w:tcPr>
          <w:p w14:paraId="22B0825E"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$9,780</w:t>
            </w:r>
          </w:p>
        </w:tc>
        <w:tc>
          <w:tcPr>
            <w:tcW w:w="0" w:type="auto"/>
            <w:hideMark/>
          </w:tcPr>
          <w:p w14:paraId="68861D66"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+19.6%</w:t>
            </w:r>
          </w:p>
        </w:tc>
      </w:tr>
      <w:tr w:rsidR="004A38CB" w:rsidRPr="004A38CB" w14:paraId="0D29E836" w14:textId="77777777" w:rsidTr="004A38CB">
        <w:trPr>
          <w:jc w:val="center"/>
        </w:trPr>
        <w:tc>
          <w:tcPr>
            <w:tcW w:w="0" w:type="auto"/>
            <w:hideMark/>
          </w:tcPr>
          <w:p w14:paraId="5AB8CFE3"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Personal Loan Delinquency Rate</w:t>
            </w:r>
          </w:p>
        </w:tc>
        <w:tc>
          <w:tcPr>
            <w:tcW w:w="0" w:type="auto"/>
            <w:hideMark/>
          </w:tcPr>
          <w:p w14:paraId="7F0C138C"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3.9%</w:t>
            </w:r>
          </w:p>
        </w:tc>
        <w:tc>
          <w:tcPr>
            <w:tcW w:w="0" w:type="auto"/>
            <w:hideMark/>
          </w:tcPr>
          <w:p w14:paraId="0D56EB22"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4.14%</w:t>
            </w:r>
          </w:p>
        </w:tc>
        <w:tc>
          <w:tcPr>
            <w:tcW w:w="0" w:type="auto"/>
            <w:hideMark/>
          </w:tcPr>
          <w:p w14:paraId="5A8721D6"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-0.24 pp</w:t>
            </w:r>
          </w:p>
        </w:tc>
      </w:tr>
    </w:tbl>
    <w:p w14:paraId="1BBE0E73" w14:textId="77777777" w:rsidR="004A38CB" w:rsidRDefault="004A38CB" w:rsidP="004A38CB">
      <w:pPr>
        <w:rPr>
          <w:rFonts w:ascii="Times New Roman" w:hAnsi="Times New Roman" w:cs="Times New Roman"/>
          <w:sz w:val="24"/>
          <w:szCs w:val="24"/>
        </w:rPr>
      </w:pPr>
    </w:p>
    <w:tbl>
      <w:tblPr>
        <w:tblStyle w:val="TableGrid"/>
        <w:tblW w:w="10120" w:type="dxa"/>
        <w:jc w:val="center"/>
        <w:tblLook w:val="04A0" w:firstRow="1" w:lastRow="0" w:firstColumn="1" w:lastColumn="0" w:noHBand="0" w:noVBand="1"/>
      </w:tblPr>
      <w:tblGrid>
        <w:gridCol w:w="3384"/>
        <w:gridCol w:w="6736"/>
      </w:tblGrid>
      <w:tr w:rsidR="004A38CB" w:rsidRPr="004A38CB" w14:paraId="701AEE7F" w14:textId="77777777" w:rsidTr="004A38CB">
        <w:trPr>
          <w:jc w:val="center"/>
        </w:trPr>
        <w:tc>
          <w:tcPr>
            <w:tcW w:w="0" w:type="auto"/>
            <w:noWrap/>
            <w:hideMark/>
          </w:tcPr>
          <w:p w14:paraId="653D1968"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lastRenderedPageBreak/>
              <w:t>Demographic</w:t>
            </w:r>
          </w:p>
        </w:tc>
        <w:tc>
          <w:tcPr>
            <w:tcW w:w="0" w:type="auto"/>
            <w:noWrap/>
            <w:hideMark/>
          </w:tcPr>
          <w:p w14:paraId="74049D7E"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Average Personal Loan Balance</w:t>
            </w:r>
          </w:p>
        </w:tc>
      </w:tr>
      <w:tr w:rsidR="004A38CB" w:rsidRPr="004A38CB" w14:paraId="69E78FAA" w14:textId="77777777" w:rsidTr="004A38CB">
        <w:trPr>
          <w:jc w:val="center"/>
        </w:trPr>
        <w:tc>
          <w:tcPr>
            <w:tcW w:w="0" w:type="auto"/>
            <w:hideMark/>
          </w:tcPr>
          <w:p w14:paraId="543C6490"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Baby Boomers</w:t>
            </w:r>
          </w:p>
        </w:tc>
        <w:tc>
          <w:tcPr>
            <w:tcW w:w="0" w:type="auto"/>
            <w:hideMark/>
          </w:tcPr>
          <w:p w14:paraId="2BEACDD8"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$22,551</w:t>
            </w:r>
          </w:p>
        </w:tc>
      </w:tr>
      <w:tr w:rsidR="004A38CB" w:rsidRPr="004A38CB" w14:paraId="797DBF19" w14:textId="77777777" w:rsidTr="004A38CB">
        <w:trPr>
          <w:jc w:val="center"/>
        </w:trPr>
        <w:tc>
          <w:tcPr>
            <w:tcW w:w="0" w:type="auto"/>
            <w:hideMark/>
          </w:tcPr>
          <w:p w14:paraId="737F4F70"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Gen X</w:t>
            </w:r>
          </w:p>
        </w:tc>
        <w:tc>
          <w:tcPr>
            <w:tcW w:w="0" w:type="auto"/>
            <w:hideMark/>
          </w:tcPr>
          <w:p w14:paraId="76175DFE"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$22,259</w:t>
            </w:r>
          </w:p>
        </w:tc>
      </w:tr>
      <w:tr w:rsidR="004A38CB" w:rsidRPr="004A38CB" w14:paraId="6472CD5E" w14:textId="77777777" w:rsidTr="004A38CB">
        <w:trPr>
          <w:jc w:val="center"/>
        </w:trPr>
        <w:tc>
          <w:tcPr>
            <w:tcW w:w="0" w:type="auto"/>
            <w:hideMark/>
          </w:tcPr>
          <w:p w14:paraId="68191C96"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Millennials</w:t>
            </w:r>
          </w:p>
        </w:tc>
        <w:tc>
          <w:tcPr>
            <w:tcW w:w="0" w:type="auto"/>
            <w:hideMark/>
          </w:tcPr>
          <w:p w14:paraId="266AA619"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$18,775</w:t>
            </w:r>
          </w:p>
        </w:tc>
      </w:tr>
      <w:tr w:rsidR="004A38CB" w:rsidRPr="004A38CB" w14:paraId="10B14912" w14:textId="77777777" w:rsidTr="004A38CB">
        <w:trPr>
          <w:jc w:val="center"/>
        </w:trPr>
        <w:tc>
          <w:tcPr>
            <w:tcW w:w="0" w:type="auto"/>
            <w:hideMark/>
          </w:tcPr>
          <w:p w14:paraId="233D8982"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Gen Z</w:t>
            </w:r>
          </w:p>
        </w:tc>
        <w:tc>
          <w:tcPr>
            <w:tcW w:w="0" w:type="auto"/>
            <w:hideMark/>
          </w:tcPr>
          <w:p w14:paraId="0AD10B75"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$13,982</w:t>
            </w:r>
          </w:p>
        </w:tc>
      </w:tr>
    </w:tbl>
    <w:p w14:paraId="7C4CE88A" w14:textId="77777777" w:rsidR="004A38CB" w:rsidRDefault="004A38CB" w:rsidP="004A38CB">
      <w:pPr>
        <w:rPr>
          <w:rFonts w:ascii="Times New Roman" w:hAnsi="Times New Roman" w:cs="Times New Roman"/>
          <w:sz w:val="24"/>
          <w:szCs w:val="24"/>
        </w:rPr>
      </w:pPr>
    </w:p>
    <w:tbl>
      <w:tblPr>
        <w:tblStyle w:val="TableGrid"/>
        <w:tblW w:w="10120" w:type="dxa"/>
        <w:jc w:val="center"/>
        <w:tblLook w:val="04A0" w:firstRow="1" w:lastRow="0" w:firstColumn="1" w:lastColumn="0" w:noHBand="0" w:noVBand="1"/>
      </w:tblPr>
      <w:tblGrid>
        <w:gridCol w:w="3592"/>
        <w:gridCol w:w="6528"/>
      </w:tblGrid>
      <w:tr w:rsidR="004A38CB" w:rsidRPr="004A38CB" w14:paraId="52C17BDB" w14:textId="77777777" w:rsidTr="004A38CB">
        <w:trPr>
          <w:jc w:val="center"/>
        </w:trPr>
        <w:tc>
          <w:tcPr>
            <w:tcW w:w="0" w:type="auto"/>
            <w:noWrap/>
            <w:hideMark/>
          </w:tcPr>
          <w:p w14:paraId="2D81EE65"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Geographic Region</w:t>
            </w:r>
          </w:p>
        </w:tc>
        <w:tc>
          <w:tcPr>
            <w:tcW w:w="0" w:type="auto"/>
            <w:noWrap/>
            <w:hideMark/>
          </w:tcPr>
          <w:p w14:paraId="6CA360B2"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Average New Personal Loan Balance</w:t>
            </w:r>
          </w:p>
        </w:tc>
      </w:tr>
      <w:tr w:rsidR="004A38CB" w:rsidRPr="004A38CB" w14:paraId="40514DE9" w14:textId="77777777" w:rsidTr="004A38CB">
        <w:trPr>
          <w:jc w:val="center"/>
        </w:trPr>
        <w:tc>
          <w:tcPr>
            <w:tcW w:w="0" w:type="auto"/>
            <w:hideMark/>
          </w:tcPr>
          <w:p w14:paraId="63B96FAD"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Northeast</w:t>
            </w:r>
          </w:p>
        </w:tc>
        <w:tc>
          <w:tcPr>
            <w:tcW w:w="0" w:type="auto"/>
            <w:hideMark/>
          </w:tcPr>
          <w:p w14:paraId="5BFE27FF"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$12,100</w:t>
            </w:r>
          </w:p>
        </w:tc>
      </w:tr>
      <w:tr w:rsidR="004A38CB" w:rsidRPr="004A38CB" w14:paraId="771DC6DC" w14:textId="77777777" w:rsidTr="004A38CB">
        <w:trPr>
          <w:jc w:val="center"/>
        </w:trPr>
        <w:tc>
          <w:tcPr>
            <w:tcW w:w="0" w:type="auto"/>
            <w:hideMark/>
          </w:tcPr>
          <w:p w14:paraId="0A26A92E"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West</w:t>
            </w:r>
          </w:p>
        </w:tc>
        <w:tc>
          <w:tcPr>
            <w:tcW w:w="0" w:type="auto"/>
            <w:hideMark/>
          </w:tcPr>
          <w:p w14:paraId="083512C5"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$11,850</w:t>
            </w:r>
          </w:p>
        </w:tc>
      </w:tr>
      <w:tr w:rsidR="004A38CB" w:rsidRPr="004A38CB" w14:paraId="586A7D07" w14:textId="77777777" w:rsidTr="004A38CB">
        <w:trPr>
          <w:jc w:val="center"/>
        </w:trPr>
        <w:tc>
          <w:tcPr>
            <w:tcW w:w="0" w:type="auto"/>
            <w:hideMark/>
          </w:tcPr>
          <w:p w14:paraId="4C62E812"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Midwest</w:t>
            </w:r>
          </w:p>
        </w:tc>
        <w:tc>
          <w:tcPr>
            <w:tcW w:w="0" w:type="auto"/>
            <w:hideMark/>
          </w:tcPr>
          <w:p w14:paraId="096DE803"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$11,550</w:t>
            </w:r>
          </w:p>
        </w:tc>
      </w:tr>
      <w:tr w:rsidR="004A38CB" w:rsidRPr="004A38CB" w14:paraId="20AE2391" w14:textId="77777777" w:rsidTr="004A38CB">
        <w:trPr>
          <w:jc w:val="center"/>
        </w:trPr>
        <w:tc>
          <w:tcPr>
            <w:tcW w:w="0" w:type="auto"/>
            <w:hideMark/>
          </w:tcPr>
          <w:p w14:paraId="084B4964"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South</w:t>
            </w:r>
          </w:p>
        </w:tc>
        <w:tc>
          <w:tcPr>
            <w:tcW w:w="0" w:type="auto"/>
            <w:hideMark/>
          </w:tcPr>
          <w:p w14:paraId="4B4B3E9E"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$11,200</w:t>
            </w:r>
          </w:p>
        </w:tc>
      </w:tr>
    </w:tbl>
    <w:p w14:paraId="5397484B" w14:textId="77777777" w:rsidR="004A38CB" w:rsidRDefault="004A38CB" w:rsidP="004A38CB">
      <w:pPr>
        <w:rPr>
          <w:rFonts w:ascii="Times New Roman" w:hAnsi="Times New Roman" w:cs="Times New Roman"/>
          <w:sz w:val="24"/>
          <w:szCs w:val="24"/>
        </w:rPr>
      </w:pPr>
    </w:p>
    <w:tbl>
      <w:tblPr>
        <w:tblStyle w:val="TableGrid"/>
        <w:tblW w:w="10120" w:type="dxa"/>
        <w:jc w:val="center"/>
        <w:tblLook w:val="04A0" w:firstRow="1" w:lastRow="0" w:firstColumn="1" w:lastColumn="0" w:noHBand="0" w:noVBand="1"/>
      </w:tblPr>
      <w:tblGrid>
        <w:gridCol w:w="5470"/>
        <w:gridCol w:w="1539"/>
        <w:gridCol w:w="1539"/>
        <w:gridCol w:w="1572"/>
      </w:tblGrid>
      <w:tr w:rsidR="004A38CB" w:rsidRPr="004A38CB" w14:paraId="66F96503" w14:textId="77777777" w:rsidTr="004A38CB">
        <w:trPr>
          <w:jc w:val="center"/>
        </w:trPr>
        <w:tc>
          <w:tcPr>
            <w:tcW w:w="0" w:type="auto"/>
            <w:noWrap/>
            <w:hideMark/>
          </w:tcPr>
          <w:p w14:paraId="6DBD3E2F"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Metric</w:t>
            </w:r>
          </w:p>
        </w:tc>
        <w:tc>
          <w:tcPr>
            <w:tcW w:w="0" w:type="auto"/>
            <w:noWrap/>
            <w:hideMark/>
          </w:tcPr>
          <w:p w14:paraId="10078238"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Q4 2023</w:t>
            </w:r>
          </w:p>
        </w:tc>
        <w:tc>
          <w:tcPr>
            <w:tcW w:w="0" w:type="auto"/>
            <w:noWrap/>
            <w:hideMark/>
          </w:tcPr>
          <w:p w14:paraId="0B1B5C9D"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Q4 2021</w:t>
            </w:r>
          </w:p>
        </w:tc>
        <w:tc>
          <w:tcPr>
            <w:tcW w:w="0" w:type="auto"/>
            <w:noWrap/>
            <w:hideMark/>
          </w:tcPr>
          <w:p w14:paraId="33BCA457" w14:textId="77777777" w:rsidR="004A38CB" w:rsidRPr="004A38CB" w:rsidRDefault="004A38CB" w:rsidP="004A38CB">
            <w:pPr>
              <w:spacing w:before="240" w:after="240"/>
              <w:jc w:val="center"/>
              <w:rPr>
                <w:rFonts w:ascii="Times New Roman" w:hAnsi="Times New Roman" w:cs="Times New Roman"/>
                <w:sz w:val="24"/>
                <w:szCs w:val="24"/>
              </w:rPr>
            </w:pPr>
            <w:r w:rsidRPr="004A38CB">
              <w:rPr>
                <w:rFonts w:ascii="Times New Roman" w:hAnsi="Times New Roman" w:cs="Times New Roman"/>
                <w:sz w:val="24"/>
                <w:szCs w:val="24"/>
              </w:rPr>
              <w:t>Change</w:t>
            </w:r>
          </w:p>
        </w:tc>
      </w:tr>
      <w:tr w:rsidR="004A38CB" w:rsidRPr="004A38CB" w14:paraId="753EF68E" w14:textId="77777777" w:rsidTr="004A38CB">
        <w:trPr>
          <w:jc w:val="center"/>
        </w:trPr>
        <w:tc>
          <w:tcPr>
            <w:tcW w:w="0" w:type="auto"/>
            <w:hideMark/>
          </w:tcPr>
          <w:p w14:paraId="08A501E7"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Average Personal Loan Interest Rate</w:t>
            </w:r>
          </w:p>
        </w:tc>
        <w:tc>
          <w:tcPr>
            <w:tcW w:w="0" w:type="auto"/>
            <w:hideMark/>
          </w:tcPr>
          <w:p w14:paraId="3D46BE47"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12.35%</w:t>
            </w:r>
          </w:p>
        </w:tc>
        <w:tc>
          <w:tcPr>
            <w:tcW w:w="0" w:type="auto"/>
            <w:hideMark/>
          </w:tcPr>
          <w:p w14:paraId="5DFE8EF2"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9.38%</w:t>
            </w:r>
          </w:p>
        </w:tc>
        <w:tc>
          <w:tcPr>
            <w:tcW w:w="0" w:type="auto"/>
            <w:hideMark/>
          </w:tcPr>
          <w:p w14:paraId="09BEBC00"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+2.97 pp</w:t>
            </w:r>
          </w:p>
        </w:tc>
      </w:tr>
      <w:tr w:rsidR="004A38CB" w:rsidRPr="004A38CB" w14:paraId="26FB474A" w14:textId="77777777" w:rsidTr="004A38CB">
        <w:trPr>
          <w:jc w:val="center"/>
        </w:trPr>
        <w:tc>
          <w:tcPr>
            <w:tcW w:w="0" w:type="auto"/>
            <w:hideMark/>
          </w:tcPr>
          <w:p w14:paraId="0B85AC63"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Subprime Borrower Approval Rate</w:t>
            </w:r>
          </w:p>
        </w:tc>
        <w:tc>
          <w:tcPr>
            <w:tcW w:w="0" w:type="auto"/>
            <w:hideMark/>
          </w:tcPr>
          <w:p w14:paraId="2232FCC0"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58%</w:t>
            </w:r>
          </w:p>
        </w:tc>
        <w:tc>
          <w:tcPr>
            <w:tcW w:w="0" w:type="auto"/>
            <w:hideMark/>
          </w:tcPr>
          <w:p w14:paraId="191720BA"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64%</w:t>
            </w:r>
          </w:p>
        </w:tc>
        <w:tc>
          <w:tcPr>
            <w:tcW w:w="0" w:type="auto"/>
            <w:hideMark/>
          </w:tcPr>
          <w:p w14:paraId="274F4448" w14:textId="77777777" w:rsidR="004A38CB" w:rsidRPr="004A38CB" w:rsidRDefault="004A38CB" w:rsidP="004A38CB">
            <w:pPr>
              <w:spacing w:before="240" w:after="240"/>
              <w:rPr>
                <w:rFonts w:ascii="Times New Roman" w:hAnsi="Times New Roman" w:cs="Times New Roman"/>
                <w:sz w:val="24"/>
                <w:szCs w:val="24"/>
              </w:rPr>
            </w:pPr>
            <w:r w:rsidRPr="004A38CB">
              <w:rPr>
                <w:rFonts w:ascii="Times New Roman" w:hAnsi="Times New Roman" w:cs="Times New Roman"/>
                <w:sz w:val="24"/>
                <w:szCs w:val="24"/>
              </w:rPr>
              <w:t>-6 pp</w:t>
            </w:r>
          </w:p>
        </w:tc>
      </w:tr>
    </w:tbl>
    <w:p w14:paraId="10EAA027" w14:textId="77777777" w:rsidR="004A38CB" w:rsidRDefault="004A38CB" w:rsidP="004A38CB">
      <w:pPr>
        <w:rPr>
          <w:rFonts w:ascii="Times New Roman" w:hAnsi="Times New Roman" w:cs="Times New Roman"/>
          <w:sz w:val="24"/>
          <w:szCs w:val="24"/>
        </w:rPr>
      </w:pPr>
    </w:p>
    <w:p w14:paraId="140EA979" w14:textId="77777777" w:rsidR="004A38CB" w:rsidRDefault="004A38CB" w:rsidP="004A38CB">
      <w:pPr>
        <w:spacing w:line="276" w:lineRule="auto"/>
        <w:rPr>
          <w:rFonts w:ascii="Times New Roman" w:hAnsi="Times New Roman" w:cs="Times New Roman"/>
          <w:sz w:val="24"/>
          <w:szCs w:val="24"/>
        </w:rPr>
      </w:pPr>
      <w:r w:rsidRPr="004A38CB">
        <w:rPr>
          <w:rFonts w:ascii="Times New Roman" w:hAnsi="Times New Roman" w:cs="Times New Roman"/>
          <w:sz w:val="24"/>
          <w:szCs w:val="24"/>
        </w:rPr>
        <w:t>This data highlights the growth in the personal loan market, the shifting demographics and regional trends, as well as the impact of rising interest rates and tightening underwriting standards. The personal loan industry continues to evolve in response to economic conditions and consumer demand.</w:t>
      </w:r>
    </w:p>
    <w:p w14:paraId="11884E5E" w14:textId="77777777" w:rsidR="004A38CB" w:rsidRDefault="004A38CB" w:rsidP="004A38CB">
      <w:pPr>
        <w:spacing w:after="0" w:line="276" w:lineRule="auto"/>
        <w:rPr>
          <w:rFonts w:ascii="Times New Roman" w:hAnsi="Times New Roman" w:cs="Times New Roman"/>
          <w:sz w:val="24"/>
          <w:szCs w:val="24"/>
        </w:rPr>
      </w:pPr>
      <w:r w:rsidRPr="004A38CB">
        <w:rPr>
          <w:rFonts w:ascii="Times New Roman" w:hAnsi="Times New Roman" w:cs="Times New Roman"/>
          <w:sz w:val="24"/>
          <w:szCs w:val="24"/>
        </w:rPr>
        <w:t>In conclusion, the personal loan market in the US banking system has experienced significant growth, reaching $356 billion in 2022. While depository institutions dominate the market, finance companies also hold a substantial share of these loans.</w:t>
      </w:r>
    </w:p>
    <w:p w14:paraId="35332399" w14:textId="77777777" w:rsidR="004A38CB" w:rsidRDefault="004A38CB" w:rsidP="004A38CB">
      <w:pPr>
        <w:spacing w:after="0" w:line="276" w:lineRule="auto"/>
        <w:rPr>
          <w:rFonts w:ascii="Times New Roman" w:hAnsi="Times New Roman" w:cs="Times New Roman"/>
          <w:sz w:val="24"/>
          <w:szCs w:val="24"/>
        </w:rPr>
      </w:pPr>
      <w:r w:rsidRPr="004A38CB">
        <w:rPr>
          <w:rFonts w:ascii="Times New Roman" w:hAnsi="Times New Roman" w:cs="Times New Roman"/>
          <w:sz w:val="24"/>
          <w:szCs w:val="24"/>
        </w:rPr>
        <w:lastRenderedPageBreak/>
        <w:t>The loan origination and servicing processes have become more automated, with lenders leveraging loan origination systems to streamline operations and launch new products more quickly. However, the regulatory landscape remains complex, requiring lenders to navigate state-level legislation.</w:t>
      </w:r>
    </w:p>
    <w:p w14:paraId="05E967F2" w14:textId="77777777" w:rsidR="004A38CB" w:rsidRDefault="004A38CB" w:rsidP="004A38CB">
      <w:pPr>
        <w:spacing w:after="0" w:line="276" w:lineRule="auto"/>
        <w:rPr>
          <w:rFonts w:ascii="Times New Roman" w:hAnsi="Times New Roman" w:cs="Times New Roman"/>
          <w:sz w:val="24"/>
          <w:szCs w:val="24"/>
        </w:rPr>
      </w:pPr>
    </w:p>
    <w:p w14:paraId="66456DB4" w14:textId="77777777" w:rsidR="004A38CB" w:rsidRDefault="004A38CB" w:rsidP="004A38CB">
      <w:pPr>
        <w:spacing w:after="0" w:line="276" w:lineRule="auto"/>
        <w:rPr>
          <w:rFonts w:ascii="Times New Roman" w:hAnsi="Times New Roman" w:cs="Times New Roman"/>
          <w:sz w:val="24"/>
          <w:szCs w:val="24"/>
        </w:rPr>
      </w:pPr>
      <w:r w:rsidRPr="004A38CB">
        <w:rPr>
          <w:rFonts w:ascii="Times New Roman" w:hAnsi="Times New Roman" w:cs="Times New Roman"/>
          <w:sz w:val="24"/>
          <w:szCs w:val="24"/>
        </w:rPr>
        <w:t>The key statistics highlight the expansion of the personal loan market, with rising debt levels, delinquency rates, and interest rates. Demographic and regional trends also reveal distinct patterns in personal loan usage and balances.</w:t>
      </w:r>
    </w:p>
    <w:p w14:paraId="108E747A" w14:textId="77777777" w:rsidR="004A38CB" w:rsidRDefault="004A38CB" w:rsidP="004A38CB">
      <w:pPr>
        <w:spacing w:after="0" w:line="276" w:lineRule="auto"/>
        <w:rPr>
          <w:rFonts w:ascii="Times New Roman" w:hAnsi="Times New Roman" w:cs="Times New Roman"/>
          <w:sz w:val="24"/>
          <w:szCs w:val="24"/>
        </w:rPr>
      </w:pPr>
    </w:p>
    <w:p w14:paraId="441716E1" w14:textId="77777777" w:rsidR="004A38CB" w:rsidRPr="004A38CB" w:rsidRDefault="004A38CB" w:rsidP="004A38CB">
      <w:pPr>
        <w:spacing w:after="0" w:line="276" w:lineRule="auto"/>
        <w:rPr>
          <w:rFonts w:ascii="Times New Roman" w:hAnsi="Times New Roman" w:cs="Times New Roman"/>
          <w:sz w:val="24"/>
          <w:szCs w:val="24"/>
        </w:rPr>
      </w:pPr>
      <w:r w:rsidRPr="004A38CB">
        <w:rPr>
          <w:rFonts w:ascii="Times New Roman" w:hAnsi="Times New Roman" w:cs="Times New Roman"/>
          <w:sz w:val="24"/>
          <w:szCs w:val="24"/>
        </w:rPr>
        <w:t>The crux of the personal loan landscape in the US banking system is the delicate balance between meeting consumer demand, managing risk, and operating within the evolving regulatory framework. As the market continues to evolve, lenders will need to adapt their strategies to remain competitive and compliant.</w:t>
      </w:r>
    </w:p>
    <w:p w14:paraId="44D5962C" w14:textId="77777777" w:rsidR="004A38CB" w:rsidRPr="004A38CB" w:rsidRDefault="004A38CB" w:rsidP="004A38CB">
      <w:pPr>
        <w:spacing w:line="276" w:lineRule="auto"/>
        <w:rPr>
          <w:rFonts w:ascii="Times New Roman" w:hAnsi="Times New Roman" w:cs="Times New Roman"/>
          <w:sz w:val="24"/>
          <w:szCs w:val="24"/>
        </w:rPr>
      </w:pPr>
    </w:p>
    <w:sectPr w:rsidR="004A38CB" w:rsidRPr="004A38CB" w:rsidSect="00E81F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CB"/>
    <w:rsid w:val="00153A5A"/>
    <w:rsid w:val="004A38CB"/>
    <w:rsid w:val="00AF4FC1"/>
    <w:rsid w:val="00DB07C7"/>
    <w:rsid w:val="00E8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C056"/>
  <w15:chartTrackingRefBased/>
  <w15:docId w15:val="{D507864C-C0FD-4BED-A7D6-373245C7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8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8CB"/>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4A3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0522">
      <w:bodyDiv w:val="1"/>
      <w:marLeft w:val="0"/>
      <w:marRight w:val="0"/>
      <w:marTop w:val="0"/>
      <w:marBottom w:val="0"/>
      <w:divBdr>
        <w:top w:val="none" w:sz="0" w:space="0" w:color="auto"/>
        <w:left w:val="none" w:sz="0" w:space="0" w:color="auto"/>
        <w:bottom w:val="none" w:sz="0" w:space="0" w:color="auto"/>
        <w:right w:val="none" w:sz="0" w:space="0" w:color="auto"/>
      </w:divBdr>
    </w:div>
    <w:div w:id="151067901">
      <w:bodyDiv w:val="1"/>
      <w:marLeft w:val="0"/>
      <w:marRight w:val="0"/>
      <w:marTop w:val="0"/>
      <w:marBottom w:val="0"/>
      <w:divBdr>
        <w:top w:val="none" w:sz="0" w:space="0" w:color="auto"/>
        <w:left w:val="none" w:sz="0" w:space="0" w:color="auto"/>
        <w:bottom w:val="none" w:sz="0" w:space="0" w:color="auto"/>
        <w:right w:val="none" w:sz="0" w:space="0" w:color="auto"/>
      </w:divBdr>
    </w:div>
    <w:div w:id="239564985">
      <w:bodyDiv w:val="1"/>
      <w:marLeft w:val="0"/>
      <w:marRight w:val="0"/>
      <w:marTop w:val="0"/>
      <w:marBottom w:val="0"/>
      <w:divBdr>
        <w:top w:val="none" w:sz="0" w:space="0" w:color="auto"/>
        <w:left w:val="none" w:sz="0" w:space="0" w:color="auto"/>
        <w:bottom w:val="none" w:sz="0" w:space="0" w:color="auto"/>
        <w:right w:val="none" w:sz="0" w:space="0" w:color="auto"/>
      </w:divBdr>
    </w:div>
    <w:div w:id="329334163">
      <w:bodyDiv w:val="1"/>
      <w:marLeft w:val="0"/>
      <w:marRight w:val="0"/>
      <w:marTop w:val="0"/>
      <w:marBottom w:val="0"/>
      <w:divBdr>
        <w:top w:val="none" w:sz="0" w:space="0" w:color="auto"/>
        <w:left w:val="none" w:sz="0" w:space="0" w:color="auto"/>
        <w:bottom w:val="none" w:sz="0" w:space="0" w:color="auto"/>
        <w:right w:val="none" w:sz="0" w:space="0" w:color="auto"/>
      </w:divBdr>
      <w:divsChild>
        <w:div w:id="1435639019">
          <w:marLeft w:val="0"/>
          <w:marRight w:val="0"/>
          <w:marTop w:val="0"/>
          <w:marBottom w:val="0"/>
          <w:divBdr>
            <w:top w:val="none" w:sz="0" w:space="0" w:color="auto"/>
            <w:left w:val="none" w:sz="0" w:space="0" w:color="auto"/>
            <w:bottom w:val="none" w:sz="0" w:space="0" w:color="auto"/>
            <w:right w:val="none" w:sz="0" w:space="0" w:color="auto"/>
          </w:divBdr>
        </w:div>
        <w:div w:id="1725326552">
          <w:marLeft w:val="0"/>
          <w:marRight w:val="0"/>
          <w:marTop w:val="0"/>
          <w:marBottom w:val="0"/>
          <w:divBdr>
            <w:top w:val="none" w:sz="0" w:space="0" w:color="auto"/>
            <w:left w:val="none" w:sz="0" w:space="0" w:color="auto"/>
            <w:bottom w:val="none" w:sz="0" w:space="0" w:color="auto"/>
            <w:right w:val="none" w:sz="0" w:space="0" w:color="auto"/>
          </w:divBdr>
        </w:div>
      </w:divsChild>
    </w:div>
    <w:div w:id="836917246">
      <w:bodyDiv w:val="1"/>
      <w:marLeft w:val="0"/>
      <w:marRight w:val="0"/>
      <w:marTop w:val="0"/>
      <w:marBottom w:val="0"/>
      <w:divBdr>
        <w:top w:val="none" w:sz="0" w:space="0" w:color="auto"/>
        <w:left w:val="none" w:sz="0" w:space="0" w:color="auto"/>
        <w:bottom w:val="none" w:sz="0" w:space="0" w:color="auto"/>
        <w:right w:val="none" w:sz="0" w:space="0" w:color="auto"/>
      </w:divBdr>
      <w:divsChild>
        <w:div w:id="1469207742">
          <w:marLeft w:val="0"/>
          <w:marRight w:val="0"/>
          <w:marTop w:val="0"/>
          <w:marBottom w:val="0"/>
          <w:divBdr>
            <w:top w:val="single" w:sz="2" w:space="0" w:color="E5E7EB"/>
            <w:left w:val="single" w:sz="2" w:space="0" w:color="E5E7EB"/>
            <w:bottom w:val="single" w:sz="2" w:space="0" w:color="E5E7EB"/>
            <w:right w:val="single" w:sz="2" w:space="0" w:color="E5E7EB"/>
          </w:divBdr>
          <w:divsChild>
            <w:div w:id="943148797">
              <w:marLeft w:val="0"/>
              <w:marRight w:val="0"/>
              <w:marTop w:val="0"/>
              <w:marBottom w:val="0"/>
              <w:divBdr>
                <w:top w:val="none" w:sz="0" w:space="0" w:color="auto"/>
                <w:left w:val="none" w:sz="0" w:space="0" w:color="auto"/>
                <w:bottom w:val="none" w:sz="0" w:space="0" w:color="auto"/>
                <w:right w:val="none" w:sz="0" w:space="0" w:color="auto"/>
              </w:divBdr>
              <w:divsChild>
                <w:div w:id="2046443202">
                  <w:marLeft w:val="0"/>
                  <w:marRight w:val="0"/>
                  <w:marTop w:val="0"/>
                  <w:marBottom w:val="0"/>
                  <w:divBdr>
                    <w:top w:val="none" w:sz="0" w:space="0" w:color="auto"/>
                    <w:left w:val="none" w:sz="0" w:space="0" w:color="auto"/>
                    <w:bottom w:val="none" w:sz="0" w:space="0" w:color="auto"/>
                    <w:right w:val="none" w:sz="0" w:space="0" w:color="auto"/>
                  </w:divBdr>
                  <w:divsChild>
                    <w:div w:id="1284312592">
                      <w:marLeft w:val="0"/>
                      <w:marRight w:val="0"/>
                      <w:marTop w:val="0"/>
                      <w:marBottom w:val="0"/>
                      <w:divBdr>
                        <w:top w:val="single" w:sz="2" w:space="0" w:color="E5E7EB"/>
                        <w:left w:val="single" w:sz="2" w:space="0" w:color="E5E7EB"/>
                        <w:bottom w:val="single" w:sz="2" w:space="0" w:color="E5E7EB"/>
                        <w:right w:val="single" w:sz="2" w:space="0" w:color="E5E7EB"/>
                      </w:divBdr>
                      <w:divsChild>
                        <w:div w:id="799962452">
                          <w:marLeft w:val="0"/>
                          <w:marRight w:val="0"/>
                          <w:marTop w:val="0"/>
                          <w:marBottom w:val="0"/>
                          <w:divBdr>
                            <w:top w:val="single" w:sz="2" w:space="0" w:color="E5E7EB"/>
                            <w:left w:val="single" w:sz="2" w:space="0" w:color="E5E7EB"/>
                            <w:bottom w:val="single" w:sz="2" w:space="0" w:color="E5E7EB"/>
                            <w:right w:val="single" w:sz="2" w:space="0" w:color="E5E7EB"/>
                          </w:divBdr>
                          <w:divsChild>
                            <w:div w:id="690377098">
                              <w:marLeft w:val="0"/>
                              <w:marRight w:val="0"/>
                              <w:marTop w:val="0"/>
                              <w:marBottom w:val="0"/>
                              <w:divBdr>
                                <w:top w:val="single" w:sz="2" w:space="0" w:color="E5E7EB"/>
                                <w:left w:val="single" w:sz="2" w:space="0" w:color="E5E7EB"/>
                                <w:bottom w:val="single" w:sz="2" w:space="0" w:color="E5E7EB"/>
                                <w:right w:val="single" w:sz="2" w:space="0" w:color="E5E7EB"/>
                              </w:divBdr>
                              <w:divsChild>
                                <w:div w:id="1657566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5755791">
                  <w:marLeft w:val="0"/>
                  <w:marRight w:val="0"/>
                  <w:marTop w:val="120"/>
                  <w:marBottom w:val="0"/>
                  <w:divBdr>
                    <w:top w:val="none" w:sz="0" w:space="0" w:color="auto"/>
                    <w:left w:val="none" w:sz="0" w:space="0" w:color="auto"/>
                    <w:bottom w:val="none" w:sz="0" w:space="0" w:color="auto"/>
                    <w:right w:val="none" w:sz="0" w:space="0" w:color="auto"/>
                  </w:divBdr>
                  <w:divsChild>
                    <w:div w:id="1197617221">
                      <w:marLeft w:val="-120"/>
                      <w:marRight w:val="0"/>
                      <w:marTop w:val="0"/>
                      <w:marBottom w:val="0"/>
                      <w:divBdr>
                        <w:top w:val="single" w:sz="2" w:space="0" w:color="E5E7EB"/>
                        <w:left w:val="single" w:sz="2" w:space="0" w:color="E5E7EB"/>
                        <w:bottom w:val="single" w:sz="2" w:space="0" w:color="E5E7EB"/>
                        <w:right w:val="single" w:sz="2" w:space="0" w:color="E5E7EB"/>
                      </w:divBdr>
                      <w:divsChild>
                        <w:div w:id="1647926708">
                          <w:marLeft w:val="0"/>
                          <w:marRight w:val="0"/>
                          <w:marTop w:val="0"/>
                          <w:marBottom w:val="0"/>
                          <w:divBdr>
                            <w:top w:val="single" w:sz="2" w:space="0" w:color="E5E7EB"/>
                            <w:left w:val="single" w:sz="2" w:space="0" w:color="E5E7EB"/>
                            <w:bottom w:val="single" w:sz="2" w:space="0" w:color="E5E7EB"/>
                            <w:right w:val="single" w:sz="2" w:space="0" w:color="E5E7EB"/>
                          </w:divBdr>
                          <w:divsChild>
                            <w:div w:id="837965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923567">
                          <w:marLeft w:val="0"/>
                          <w:marRight w:val="0"/>
                          <w:marTop w:val="0"/>
                          <w:marBottom w:val="0"/>
                          <w:divBdr>
                            <w:top w:val="single" w:sz="2" w:space="0" w:color="E5E7EB"/>
                            <w:left w:val="single" w:sz="2" w:space="0" w:color="E5E7EB"/>
                            <w:bottom w:val="single" w:sz="2" w:space="0" w:color="E5E7EB"/>
                            <w:right w:val="single" w:sz="2" w:space="0" w:color="E5E7EB"/>
                          </w:divBdr>
                          <w:divsChild>
                            <w:div w:id="1906601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7888494">
      <w:bodyDiv w:val="1"/>
      <w:marLeft w:val="0"/>
      <w:marRight w:val="0"/>
      <w:marTop w:val="0"/>
      <w:marBottom w:val="0"/>
      <w:divBdr>
        <w:top w:val="none" w:sz="0" w:space="0" w:color="auto"/>
        <w:left w:val="none" w:sz="0" w:space="0" w:color="auto"/>
        <w:bottom w:val="none" w:sz="0" w:space="0" w:color="auto"/>
        <w:right w:val="none" w:sz="0" w:space="0" w:color="auto"/>
      </w:divBdr>
    </w:div>
    <w:div w:id="1227229522">
      <w:bodyDiv w:val="1"/>
      <w:marLeft w:val="0"/>
      <w:marRight w:val="0"/>
      <w:marTop w:val="0"/>
      <w:marBottom w:val="0"/>
      <w:divBdr>
        <w:top w:val="none" w:sz="0" w:space="0" w:color="auto"/>
        <w:left w:val="none" w:sz="0" w:space="0" w:color="auto"/>
        <w:bottom w:val="none" w:sz="0" w:space="0" w:color="auto"/>
        <w:right w:val="none" w:sz="0" w:space="0" w:color="auto"/>
      </w:divBdr>
    </w:div>
    <w:div w:id="18456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518</Words>
  <Characters>3033</Characters>
  <Application>Microsoft Office Word</Application>
  <DocSecurity>0</DocSecurity>
  <Lines>104</Lines>
  <Paragraphs>66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2024-07-11T12:18:00Z</dcterms:created>
  <dcterms:modified xsi:type="dcterms:W3CDTF">2024-07-11T12:28:00Z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5f36356e-761e-413a-864b-bcd4ce6449d4</vt:lpwstr>
  </property>
</Properties>
</file>