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0FF42" w14:textId="421F186F" w:rsidR="00C128A1" w:rsidRPr="00C128A1" w:rsidRDefault="00C128A1" w:rsidP="00C128A1">
      <w:pPr>
        <w:jc w:val="center"/>
        <w:rPr>
          <w:rFonts w:ascii="Times New Roman" w:hAnsi="Times New Roman" w:cs="Times New Roman"/>
          <w:b/>
          <w:bCs/>
          <w:sz w:val="28"/>
          <w:szCs w:val="28"/>
          <w:u w:val="single"/>
        </w:rPr>
      </w:pPr>
      <w:r w:rsidRPr="00C128A1">
        <w:rPr>
          <w:rFonts w:ascii="Times New Roman" w:hAnsi="Times New Roman" w:cs="Times New Roman"/>
          <w:b/>
          <w:bCs/>
          <w:sz w:val="28"/>
          <w:szCs w:val="28"/>
          <w:u w:val="single"/>
        </w:rPr>
        <w:t>Securities and Exchange Commission (SEC) regulations</w:t>
      </w:r>
    </w:p>
    <w:p w14:paraId="7F4D6EE6" w14:textId="3DF920E8" w:rsidR="00C128A1" w:rsidRPr="00C128A1" w:rsidRDefault="00C128A1" w:rsidP="00C128A1">
      <w:pPr>
        <w:jc w:val="center"/>
        <w:rPr>
          <w:rFonts w:ascii="Times New Roman" w:hAnsi="Times New Roman" w:cs="Times New Roman"/>
          <w:b/>
          <w:bCs/>
          <w:sz w:val="28"/>
          <w:szCs w:val="28"/>
          <w:u w:val="single"/>
        </w:rPr>
      </w:pPr>
      <w:r w:rsidRPr="00C128A1">
        <w:rPr>
          <w:rFonts w:ascii="Times New Roman" w:hAnsi="Times New Roman" w:cs="Times New Roman"/>
          <w:b/>
          <w:bCs/>
          <w:sz w:val="28"/>
          <w:szCs w:val="28"/>
          <w:u w:val="single"/>
        </w:rPr>
        <w:t>Dodd-Frank Wall Street Reform and Consumer Protection Act</w:t>
      </w:r>
    </w:p>
    <w:p w14:paraId="6DD1B4B5" w14:textId="58A46B48" w:rsidR="0042792B" w:rsidRDefault="00C128A1" w:rsidP="00C128A1">
      <w:pPr>
        <w:jc w:val="center"/>
        <w:rPr>
          <w:rFonts w:ascii="Times New Roman" w:hAnsi="Times New Roman" w:cs="Times New Roman"/>
          <w:b/>
          <w:bCs/>
          <w:sz w:val="28"/>
          <w:szCs w:val="28"/>
          <w:u w:val="single"/>
        </w:rPr>
      </w:pPr>
      <w:r w:rsidRPr="00C128A1">
        <w:rPr>
          <w:rFonts w:ascii="Times New Roman" w:hAnsi="Times New Roman" w:cs="Times New Roman"/>
          <w:b/>
          <w:bCs/>
          <w:sz w:val="28"/>
          <w:szCs w:val="28"/>
          <w:u w:val="single"/>
        </w:rPr>
        <w:t>Sarbanes-Oxley Act (SOX)</w:t>
      </w:r>
    </w:p>
    <w:p w14:paraId="530A5FE5" w14:textId="77777777" w:rsidR="007901CE" w:rsidRDefault="007901CE" w:rsidP="007901CE">
      <w:pPr>
        <w:rPr>
          <w:rFonts w:ascii="Times New Roman" w:hAnsi="Times New Roman" w:cs="Times New Roman"/>
          <w:b/>
          <w:bCs/>
          <w:sz w:val="28"/>
          <w:szCs w:val="28"/>
          <w:u w:val="single"/>
        </w:rPr>
      </w:pPr>
    </w:p>
    <w:p w14:paraId="346A7155" w14:textId="77777777" w:rsidR="007901CE" w:rsidRDefault="007901CE" w:rsidP="007901CE">
      <w:pPr>
        <w:spacing w:after="0" w:line="240" w:lineRule="auto"/>
        <w:rPr>
          <w:rFonts w:ascii="Times New Roman" w:hAnsi="Times New Roman" w:cs="Times New Roman"/>
          <w:sz w:val="24"/>
          <w:szCs w:val="24"/>
        </w:rPr>
      </w:pPr>
      <w:r w:rsidRPr="007901CE">
        <w:rPr>
          <w:rFonts w:ascii="Times New Roman" w:hAnsi="Times New Roman" w:cs="Times New Roman"/>
          <w:sz w:val="24"/>
          <w:szCs w:val="24"/>
        </w:rPr>
        <w:t>The Securities and Exchange Commission (SEC) plays a significant role in regulating securities and financial activities in the United States. Here are key points related to SEC regulations:</w:t>
      </w:r>
    </w:p>
    <w:p w14:paraId="479E6AB8" w14:textId="77777777" w:rsidR="007901CE" w:rsidRDefault="007901CE" w:rsidP="007901CE">
      <w:pPr>
        <w:spacing w:after="0" w:line="240" w:lineRule="auto"/>
        <w:rPr>
          <w:rFonts w:ascii="Times New Roman" w:hAnsi="Times New Roman" w:cs="Times New Roman"/>
          <w:sz w:val="24"/>
          <w:szCs w:val="24"/>
        </w:rPr>
      </w:pPr>
    </w:p>
    <w:p w14:paraId="3905645B" w14:textId="77777777" w:rsidR="007901CE" w:rsidRPr="00FE07AD" w:rsidRDefault="007901CE" w:rsidP="007901CE">
      <w:pPr>
        <w:spacing w:after="0" w:line="240" w:lineRule="auto"/>
        <w:rPr>
          <w:rFonts w:ascii="Times New Roman" w:hAnsi="Times New Roman" w:cs="Times New Roman"/>
          <w:b/>
          <w:bCs/>
          <w:sz w:val="24"/>
          <w:szCs w:val="24"/>
        </w:rPr>
      </w:pPr>
      <w:r w:rsidRPr="007901CE">
        <w:rPr>
          <w:rFonts w:ascii="Times New Roman" w:hAnsi="Times New Roman" w:cs="Times New Roman"/>
          <w:b/>
          <w:bCs/>
          <w:sz w:val="24"/>
          <w:szCs w:val="24"/>
        </w:rPr>
        <w:t>SEC Responsibilities:</w:t>
      </w:r>
    </w:p>
    <w:p w14:paraId="3F84F656" w14:textId="77777777" w:rsidR="007901CE" w:rsidRDefault="007901CE" w:rsidP="007901CE">
      <w:pPr>
        <w:spacing w:after="0" w:line="240" w:lineRule="auto"/>
        <w:rPr>
          <w:rFonts w:ascii="Times New Roman" w:hAnsi="Times New Roman" w:cs="Times New Roman"/>
          <w:sz w:val="24"/>
          <w:szCs w:val="24"/>
        </w:rPr>
      </w:pPr>
    </w:p>
    <w:p w14:paraId="7CCC9C89" w14:textId="77777777" w:rsidR="007901CE" w:rsidRPr="00FE07AD" w:rsidRDefault="007901CE" w:rsidP="00FE07AD">
      <w:pPr>
        <w:pStyle w:val="ListParagraph"/>
        <w:numPr>
          <w:ilvl w:val="0"/>
          <w:numId w:val="11"/>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The SEC is an independent federal agency responsible for protecting investors, maintaining fair and efficient markets, and facilitating capital formation.</w:t>
      </w:r>
    </w:p>
    <w:p w14:paraId="5CB611D0" w14:textId="77777777" w:rsidR="007901CE" w:rsidRDefault="007901CE" w:rsidP="007901CE">
      <w:pPr>
        <w:spacing w:after="0" w:line="240" w:lineRule="auto"/>
        <w:rPr>
          <w:rFonts w:ascii="Times New Roman" w:hAnsi="Times New Roman" w:cs="Times New Roman"/>
          <w:sz w:val="24"/>
          <w:szCs w:val="24"/>
        </w:rPr>
      </w:pPr>
    </w:p>
    <w:p w14:paraId="52CFFDF8" w14:textId="77777777" w:rsidR="007901CE" w:rsidRPr="00FE07AD" w:rsidRDefault="007901CE" w:rsidP="00FE07AD">
      <w:pPr>
        <w:pStyle w:val="ListParagraph"/>
        <w:numPr>
          <w:ilvl w:val="0"/>
          <w:numId w:val="11"/>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It oversees key participants in the securities industry, including securities exchanges, brokers and dealers, investment advisors, and investment companies.</w:t>
      </w:r>
    </w:p>
    <w:p w14:paraId="3F125C6D" w14:textId="77777777" w:rsidR="007901CE" w:rsidRDefault="007901CE" w:rsidP="007901CE">
      <w:pPr>
        <w:spacing w:after="0" w:line="240" w:lineRule="auto"/>
        <w:rPr>
          <w:rFonts w:ascii="Times New Roman" w:hAnsi="Times New Roman" w:cs="Times New Roman"/>
          <w:sz w:val="24"/>
          <w:szCs w:val="24"/>
        </w:rPr>
      </w:pPr>
    </w:p>
    <w:p w14:paraId="21817510" w14:textId="77777777" w:rsidR="007901CE" w:rsidRPr="00FE07AD" w:rsidRDefault="007901CE" w:rsidP="007901CE">
      <w:pPr>
        <w:spacing w:after="0" w:line="240" w:lineRule="auto"/>
        <w:rPr>
          <w:rFonts w:ascii="Times New Roman" w:hAnsi="Times New Roman" w:cs="Times New Roman"/>
          <w:b/>
          <w:bCs/>
          <w:sz w:val="24"/>
          <w:szCs w:val="24"/>
        </w:rPr>
      </w:pPr>
      <w:r w:rsidRPr="007901CE">
        <w:rPr>
          <w:rFonts w:ascii="Times New Roman" w:hAnsi="Times New Roman" w:cs="Times New Roman"/>
          <w:b/>
          <w:bCs/>
          <w:sz w:val="24"/>
          <w:szCs w:val="24"/>
        </w:rPr>
        <w:t>SEC Regulations:</w:t>
      </w:r>
    </w:p>
    <w:p w14:paraId="5BEDC7EE" w14:textId="77777777" w:rsidR="007901CE" w:rsidRDefault="007901CE" w:rsidP="007901CE">
      <w:pPr>
        <w:spacing w:after="0" w:line="240" w:lineRule="auto"/>
        <w:rPr>
          <w:rFonts w:ascii="Times New Roman" w:hAnsi="Times New Roman" w:cs="Times New Roman"/>
          <w:sz w:val="24"/>
          <w:szCs w:val="24"/>
        </w:rPr>
      </w:pPr>
    </w:p>
    <w:p w14:paraId="2BF1FE74" w14:textId="77777777" w:rsidR="007901CE" w:rsidRPr="00FE07AD" w:rsidRDefault="007901CE" w:rsidP="00FE07AD">
      <w:pPr>
        <w:pStyle w:val="ListParagraph"/>
        <w:numPr>
          <w:ilvl w:val="0"/>
          <w:numId w:val="12"/>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The SEC proposes and enforces securities laws to prevent fraud and ensure transparency.</w:t>
      </w:r>
    </w:p>
    <w:p w14:paraId="1BB5E008" w14:textId="77777777" w:rsidR="007901CE" w:rsidRDefault="007901CE" w:rsidP="007901CE">
      <w:pPr>
        <w:spacing w:after="0" w:line="240" w:lineRule="auto"/>
        <w:rPr>
          <w:rFonts w:ascii="Times New Roman" w:hAnsi="Times New Roman" w:cs="Times New Roman"/>
          <w:sz w:val="24"/>
          <w:szCs w:val="24"/>
        </w:rPr>
      </w:pPr>
    </w:p>
    <w:p w14:paraId="77F47073" w14:textId="77777777" w:rsidR="007901CE" w:rsidRPr="00FE07AD" w:rsidRDefault="007901CE" w:rsidP="00FE07AD">
      <w:pPr>
        <w:pStyle w:val="ListParagraph"/>
        <w:numPr>
          <w:ilvl w:val="0"/>
          <w:numId w:val="12"/>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It requires companies to submit registration statements, including audited financial information, before selling securities to the public.</w:t>
      </w:r>
    </w:p>
    <w:p w14:paraId="28CADFA7" w14:textId="77777777" w:rsidR="007901CE" w:rsidRDefault="007901CE" w:rsidP="007901CE">
      <w:pPr>
        <w:spacing w:after="0" w:line="240" w:lineRule="auto"/>
        <w:rPr>
          <w:rFonts w:ascii="Times New Roman" w:hAnsi="Times New Roman" w:cs="Times New Roman"/>
          <w:sz w:val="24"/>
          <w:szCs w:val="24"/>
        </w:rPr>
      </w:pPr>
    </w:p>
    <w:p w14:paraId="4AF3B215" w14:textId="77777777" w:rsidR="007901CE" w:rsidRPr="00FE07AD" w:rsidRDefault="007901CE" w:rsidP="00FE07AD">
      <w:pPr>
        <w:pStyle w:val="ListParagraph"/>
        <w:numPr>
          <w:ilvl w:val="0"/>
          <w:numId w:val="12"/>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The SEC also conducts periodic legal and financial reviews to catch potential issues and minimize the risk of scams and other abuses.</w:t>
      </w:r>
    </w:p>
    <w:p w14:paraId="6443B2D6" w14:textId="77777777" w:rsidR="007901CE" w:rsidRDefault="007901CE" w:rsidP="007901CE">
      <w:pPr>
        <w:spacing w:after="0" w:line="240" w:lineRule="auto"/>
        <w:rPr>
          <w:rFonts w:ascii="Times New Roman" w:hAnsi="Times New Roman" w:cs="Times New Roman"/>
          <w:sz w:val="24"/>
          <w:szCs w:val="24"/>
        </w:rPr>
      </w:pPr>
    </w:p>
    <w:p w14:paraId="4C6EA8BF" w14:textId="77777777" w:rsidR="007901CE" w:rsidRPr="00FE07AD" w:rsidRDefault="007901CE" w:rsidP="007901CE">
      <w:pPr>
        <w:spacing w:after="0" w:line="240" w:lineRule="auto"/>
        <w:rPr>
          <w:rFonts w:ascii="Times New Roman" w:hAnsi="Times New Roman" w:cs="Times New Roman"/>
          <w:b/>
          <w:bCs/>
          <w:sz w:val="24"/>
          <w:szCs w:val="24"/>
        </w:rPr>
      </w:pPr>
      <w:r w:rsidRPr="007901CE">
        <w:rPr>
          <w:rFonts w:ascii="Times New Roman" w:hAnsi="Times New Roman" w:cs="Times New Roman"/>
          <w:b/>
          <w:bCs/>
          <w:sz w:val="24"/>
          <w:szCs w:val="24"/>
        </w:rPr>
        <w:t>Dodd-Frank Wall Street Reform and Consumer Protection Act:</w:t>
      </w:r>
    </w:p>
    <w:p w14:paraId="2EDDF60B" w14:textId="77777777" w:rsidR="007901CE" w:rsidRDefault="007901CE" w:rsidP="007901CE">
      <w:pPr>
        <w:spacing w:after="0" w:line="240" w:lineRule="auto"/>
        <w:rPr>
          <w:rFonts w:ascii="Times New Roman" w:hAnsi="Times New Roman" w:cs="Times New Roman"/>
          <w:sz w:val="24"/>
          <w:szCs w:val="24"/>
        </w:rPr>
      </w:pPr>
    </w:p>
    <w:p w14:paraId="3281127F" w14:textId="77777777" w:rsidR="007901CE" w:rsidRPr="00FE07AD" w:rsidRDefault="007901CE" w:rsidP="00FE07AD">
      <w:pPr>
        <w:pStyle w:val="ListParagraph"/>
        <w:numPr>
          <w:ilvl w:val="0"/>
          <w:numId w:val="13"/>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The Dodd-Frank Act, enacted in 2010, aimed to address the financial crisis by strengthening financial regulations and consumer protections.</w:t>
      </w:r>
    </w:p>
    <w:p w14:paraId="0D924CBE" w14:textId="77777777" w:rsidR="007901CE" w:rsidRDefault="007901CE" w:rsidP="007901CE">
      <w:pPr>
        <w:spacing w:after="0" w:line="240" w:lineRule="auto"/>
        <w:rPr>
          <w:rFonts w:ascii="Times New Roman" w:hAnsi="Times New Roman" w:cs="Times New Roman"/>
          <w:sz w:val="24"/>
          <w:szCs w:val="24"/>
        </w:rPr>
      </w:pPr>
    </w:p>
    <w:p w14:paraId="38611043" w14:textId="77777777" w:rsidR="007901CE" w:rsidRPr="00FE07AD" w:rsidRDefault="007901CE" w:rsidP="00FE07AD">
      <w:pPr>
        <w:pStyle w:val="ListParagraph"/>
        <w:numPr>
          <w:ilvl w:val="0"/>
          <w:numId w:val="13"/>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It expanded the SEC's authority and created new regulations for financial institutions, including the Consumer Financial Protection Bureau (CFPB).</w:t>
      </w:r>
    </w:p>
    <w:p w14:paraId="339E6D44" w14:textId="77777777" w:rsidR="007901CE" w:rsidRDefault="007901CE" w:rsidP="007901CE">
      <w:pPr>
        <w:spacing w:after="0" w:line="240" w:lineRule="auto"/>
        <w:rPr>
          <w:rFonts w:ascii="Times New Roman" w:hAnsi="Times New Roman" w:cs="Times New Roman"/>
          <w:sz w:val="24"/>
          <w:szCs w:val="24"/>
        </w:rPr>
      </w:pPr>
    </w:p>
    <w:p w14:paraId="006B6A31" w14:textId="77777777" w:rsidR="007901CE" w:rsidRPr="00FE07AD" w:rsidRDefault="007901CE" w:rsidP="007901CE">
      <w:pPr>
        <w:spacing w:after="0" w:line="240" w:lineRule="auto"/>
        <w:rPr>
          <w:rFonts w:ascii="Times New Roman" w:hAnsi="Times New Roman" w:cs="Times New Roman"/>
          <w:b/>
          <w:bCs/>
          <w:sz w:val="24"/>
          <w:szCs w:val="24"/>
        </w:rPr>
      </w:pPr>
      <w:r w:rsidRPr="007901CE">
        <w:rPr>
          <w:rFonts w:ascii="Times New Roman" w:hAnsi="Times New Roman" w:cs="Times New Roman"/>
          <w:b/>
          <w:bCs/>
          <w:sz w:val="24"/>
          <w:szCs w:val="24"/>
        </w:rPr>
        <w:t>Sarbanes-Oxley Act (SOX):</w:t>
      </w:r>
    </w:p>
    <w:p w14:paraId="21DED6E0" w14:textId="77777777" w:rsidR="007901CE" w:rsidRDefault="007901CE" w:rsidP="007901CE">
      <w:pPr>
        <w:spacing w:after="0" w:line="240" w:lineRule="auto"/>
        <w:rPr>
          <w:rFonts w:ascii="Times New Roman" w:hAnsi="Times New Roman" w:cs="Times New Roman"/>
          <w:sz w:val="24"/>
          <w:szCs w:val="24"/>
        </w:rPr>
      </w:pPr>
    </w:p>
    <w:p w14:paraId="0022018F" w14:textId="77777777" w:rsidR="007901CE" w:rsidRPr="00FE07AD" w:rsidRDefault="007901CE" w:rsidP="00FE07AD">
      <w:pPr>
        <w:pStyle w:val="ListParagraph"/>
        <w:numPr>
          <w:ilvl w:val="0"/>
          <w:numId w:val="15"/>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The Sarbanes-Oxley Act, enacted in 2002, was a response to corporate accounting scandals and aimed to improve corporate governance and financial reporting.</w:t>
      </w:r>
    </w:p>
    <w:p w14:paraId="7D687B4B" w14:textId="77777777" w:rsidR="007901CE" w:rsidRDefault="007901CE" w:rsidP="00FE07AD">
      <w:pPr>
        <w:spacing w:after="0" w:line="240" w:lineRule="auto"/>
        <w:rPr>
          <w:rFonts w:ascii="Times New Roman" w:hAnsi="Times New Roman" w:cs="Times New Roman"/>
          <w:sz w:val="24"/>
          <w:szCs w:val="24"/>
        </w:rPr>
      </w:pPr>
    </w:p>
    <w:p w14:paraId="18337067" w14:textId="33A288D7" w:rsidR="007901CE" w:rsidRPr="00FE07AD" w:rsidRDefault="007901CE" w:rsidP="00FE07AD">
      <w:pPr>
        <w:pStyle w:val="ListParagraph"/>
        <w:numPr>
          <w:ilvl w:val="0"/>
          <w:numId w:val="15"/>
        </w:numPr>
        <w:spacing w:after="0" w:line="240" w:lineRule="auto"/>
        <w:rPr>
          <w:rFonts w:ascii="Times New Roman" w:hAnsi="Times New Roman" w:cs="Times New Roman"/>
          <w:sz w:val="24"/>
          <w:szCs w:val="24"/>
        </w:rPr>
      </w:pPr>
      <w:r w:rsidRPr="00FE07AD">
        <w:rPr>
          <w:rFonts w:ascii="Times New Roman" w:hAnsi="Times New Roman" w:cs="Times New Roman"/>
          <w:sz w:val="24"/>
          <w:szCs w:val="24"/>
        </w:rPr>
        <w:t>It increased the SEC's authority to regulate corporate financial reporting and auditing, and introduced stricter penalties for non-compliance.</w:t>
      </w:r>
    </w:p>
    <w:p w14:paraId="445E660E" w14:textId="77777777" w:rsidR="007901CE" w:rsidRDefault="007901CE" w:rsidP="007901CE">
      <w:pPr>
        <w:rPr>
          <w:rFonts w:ascii="Times New Roman" w:hAnsi="Times New Roman" w:cs="Times New Roman"/>
          <w:sz w:val="24"/>
          <w:szCs w:val="24"/>
        </w:rPr>
      </w:pPr>
    </w:p>
    <w:p w14:paraId="56F74FFC" w14:textId="133DC940" w:rsidR="007901CE" w:rsidRDefault="007901CE" w:rsidP="007901CE">
      <w:pPr>
        <w:rPr>
          <w:rFonts w:ascii="Times New Roman" w:hAnsi="Times New Roman" w:cs="Times New Roman"/>
          <w:sz w:val="24"/>
          <w:szCs w:val="24"/>
        </w:rPr>
      </w:pPr>
      <w:r w:rsidRPr="007901CE">
        <w:rPr>
          <w:rFonts w:ascii="Times New Roman" w:hAnsi="Times New Roman" w:cs="Times New Roman"/>
          <w:sz w:val="24"/>
          <w:szCs w:val="24"/>
        </w:rPr>
        <w:t>These regulations are crucial in maintaining the integrity of the US financial system and protecting investors.</w:t>
      </w:r>
    </w:p>
    <w:p w14:paraId="581497E4" w14:textId="77777777" w:rsidR="009E6484" w:rsidRDefault="009E6484" w:rsidP="009E6484">
      <w:pPr>
        <w:spacing w:after="0" w:line="240" w:lineRule="auto"/>
        <w:rPr>
          <w:rFonts w:ascii="Times New Roman" w:hAnsi="Times New Roman" w:cs="Times New Roman"/>
          <w:sz w:val="24"/>
          <w:szCs w:val="24"/>
        </w:rPr>
      </w:pPr>
      <w:r w:rsidRPr="009E6484">
        <w:rPr>
          <w:rFonts w:ascii="Times New Roman" w:hAnsi="Times New Roman" w:cs="Times New Roman"/>
          <w:sz w:val="24"/>
          <w:szCs w:val="24"/>
        </w:rPr>
        <w:lastRenderedPageBreak/>
        <w:t>The Securities and Exchange Commission (SEC) and the Dodd-Frank Wall Street Reform and Consumer Protection Act (Dodd-Frank) are both significant regulatory bodies in the United States financial system. While the SEC is responsible for overseeing securities and financial activities, Dodd-Frank was enacted to address the financial crisis and strengthen financial regulations. Here are the main differences between SEC regulations and Dodd-Frank regulations:</w:t>
      </w:r>
    </w:p>
    <w:p w14:paraId="7B306C83" w14:textId="77777777" w:rsidR="009E6484" w:rsidRDefault="009E6484" w:rsidP="009E6484">
      <w:pPr>
        <w:spacing w:after="0" w:line="240" w:lineRule="auto"/>
        <w:rPr>
          <w:rFonts w:ascii="Times New Roman" w:hAnsi="Times New Roman" w:cs="Times New Roman"/>
          <w:sz w:val="24"/>
          <w:szCs w:val="24"/>
        </w:rPr>
      </w:pPr>
    </w:p>
    <w:p w14:paraId="14D22A09" w14:textId="77777777" w:rsidR="009E6484" w:rsidRPr="009E6484" w:rsidRDefault="009E6484" w:rsidP="009E6484">
      <w:pPr>
        <w:spacing w:after="0" w:line="240" w:lineRule="auto"/>
        <w:rPr>
          <w:rFonts w:ascii="Times New Roman" w:hAnsi="Times New Roman" w:cs="Times New Roman"/>
          <w:b/>
          <w:bCs/>
          <w:sz w:val="24"/>
          <w:szCs w:val="24"/>
        </w:rPr>
      </w:pPr>
      <w:r w:rsidRPr="009E6484">
        <w:rPr>
          <w:rFonts w:ascii="Times New Roman" w:hAnsi="Times New Roman" w:cs="Times New Roman"/>
          <w:b/>
          <w:bCs/>
          <w:sz w:val="24"/>
          <w:szCs w:val="24"/>
        </w:rPr>
        <w:t>SEC Regulations</w:t>
      </w:r>
    </w:p>
    <w:p w14:paraId="5F5B2CAD" w14:textId="77777777" w:rsidR="009E6484" w:rsidRDefault="009E6484" w:rsidP="009E6484">
      <w:pPr>
        <w:spacing w:after="0" w:line="240" w:lineRule="auto"/>
        <w:rPr>
          <w:rFonts w:ascii="Times New Roman" w:hAnsi="Times New Roman" w:cs="Times New Roman"/>
          <w:sz w:val="24"/>
          <w:szCs w:val="24"/>
        </w:rPr>
      </w:pPr>
    </w:p>
    <w:p w14:paraId="32850869" w14:textId="77777777" w:rsidR="009E6484" w:rsidRPr="009E6484" w:rsidRDefault="009E6484" w:rsidP="009E6484">
      <w:pPr>
        <w:spacing w:after="0" w:line="240" w:lineRule="auto"/>
        <w:rPr>
          <w:rFonts w:ascii="Times New Roman" w:hAnsi="Times New Roman" w:cs="Times New Roman"/>
          <w:b/>
          <w:bCs/>
          <w:sz w:val="24"/>
          <w:szCs w:val="24"/>
        </w:rPr>
      </w:pPr>
      <w:r w:rsidRPr="009E6484">
        <w:rPr>
          <w:rFonts w:ascii="Times New Roman" w:hAnsi="Times New Roman" w:cs="Times New Roman"/>
          <w:b/>
          <w:bCs/>
          <w:sz w:val="24"/>
          <w:szCs w:val="24"/>
        </w:rPr>
        <w:t>General Responsibilities:</w:t>
      </w:r>
    </w:p>
    <w:p w14:paraId="079E914E" w14:textId="77777777" w:rsidR="009E6484" w:rsidRDefault="009E6484" w:rsidP="009E6484">
      <w:pPr>
        <w:spacing w:after="0" w:line="240" w:lineRule="auto"/>
        <w:rPr>
          <w:rFonts w:ascii="Times New Roman" w:hAnsi="Times New Roman" w:cs="Times New Roman"/>
          <w:sz w:val="24"/>
          <w:szCs w:val="24"/>
        </w:rPr>
      </w:pPr>
    </w:p>
    <w:p w14:paraId="10C398D9" w14:textId="77777777" w:rsidR="009E6484" w:rsidRPr="00BB5BDC" w:rsidRDefault="009E6484" w:rsidP="00BB5BDC">
      <w:pPr>
        <w:pStyle w:val="ListParagraph"/>
        <w:numPr>
          <w:ilvl w:val="0"/>
          <w:numId w:val="18"/>
        </w:numPr>
        <w:spacing w:after="0" w:line="240" w:lineRule="auto"/>
        <w:rPr>
          <w:rFonts w:ascii="Times New Roman" w:hAnsi="Times New Roman" w:cs="Times New Roman"/>
          <w:sz w:val="24"/>
          <w:szCs w:val="24"/>
        </w:rPr>
      </w:pPr>
      <w:r w:rsidRPr="00BB5BDC">
        <w:rPr>
          <w:rFonts w:ascii="Times New Roman" w:hAnsi="Times New Roman" w:cs="Times New Roman"/>
          <w:sz w:val="24"/>
          <w:szCs w:val="24"/>
        </w:rPr>
        <w:t>The SEC is responsible for protecting investors, maintaining fair and efficient markets, and facilitating capital formation.</w:t>
      </w:r>
    </w:p>
    <w:p w14:paraId="2A8C0DC5" w14:textId="77777777" w:rsidR="009E6484" w:rsidRDefault="009E6484" w:rsidP="009E6484">
      <w:pPr>
        <w:spacing w:after="0" w:line="240" w:lineRule="auto"/>
        <w:rPr>
          <w:rFonts w:ascii="Times New Roman" w:hAnsi="Times New Roman" w:cs="Times New Roman"/>
          <w:sz w:val="24"/>
          <w:szCs w:val="24"/>
        </w:rPr>
      </w:pPr>
    </w:p>
    <w:p w14:paraId="77EF952B" w14:textId="77777777" w:rsidR="00BB5BDC" w:rsidRDefault="009E6484" w:rsidP="00BB5BDC">
      <w:pPr>
        <w:pStyle w:val="ListParagraph"/>
        <w:numPr>
          <w:ilvl w:val="0"/>
          <w:numId w:val="18"/>
        </w:numPr>
        <w:spacing w:after="0" w:line="240" w:lineRule="auto"/>
        <w:rPr>
          <w:rFonts w:ascii="Times New Roman" w:hAnsi="Times New Roman" w:cs="Times New Roman"/>
          <w:sz w:val="24"/>
          <w:szCs w:val="24"/>
        </w:rPr>
      </w:pPr>
      <w:r w:rsidRPr="00BB5BDC">
        <w:rPr>
          <w:rFonts w:ascii="Times New Roman" w:hAnsi="Times New Roman" w:cs="Times New Roman"/>
          <w:sz w:val="24"/>
          <w:szCs w:val="24"/>
        </w:rPr>
        <w:t>It oversees key participants in the securities industry, including securities exchanges, brokers and dealers, investment advisors, and investment companies.</w:t>
      </w:r>
    </w:p>
    <w:p w14:paraId="3D3A7813" w14:textId="77777777" w:rsidR="00BB5BDC" w:rsidRPr="00BB5BDC" w:rsidRDefault="00BB5BDC" w:rsidP="00BB5BDC">
      <w:pPr>
        <w:pStyle w:val="ListParagraph"/>
        <w:rPr>
          <w:rFonts w:ascii="Times New Roman" w:hAnsi="Times New Roman" w:cs="Times New Roman"/>
          <w:sz w:val="24"/>
          <w:szCs w:val="24"/>
        </w:rPr>
      </w:pPr>
    </w:p>
    <w:p w14:paraId="46005F07" w14:textId="77777777" w:rsidR="00BB5BDC" w:rsidRDefault="009E6484" w:rsidP="00BB5BDC">
      <w:pPr>
        <w:spacing w:after="0" w:line="240" w:lineRule="auto"/>
        <w:rPr>
          <w:rFonts w:ascii="Times New Roman" w:hAnsi="Times New Roman" w:cs="Times New Roman"/>
          <w:b/>
          <w:bCs/>
          <w:sz w:val="24"/>
          <w:szCs w:val="24"/>
        </w:rPr>
      </w:pPr>
      <w:r w:rsidRPr="00BB5BDC">
        <w:rPr>
          <w:rFonts w:ascii="Times New Roman" w:hAnsi="Times New Roman" w:cs="Times New Roman"/>
          <w:b/>
          <w:bCs/>
          <w:sz w:val="24"/>
          <w:szCs w:val="24"/>
        </w:rPr>
        <w:t>Regulatory Focus:</w:t>
      </w:r>
    </w:p>
    <w:p w14:paraId="1DC4FA40" w14:textId="77777777" w:rsidR="00BB5BDC" w:rsidRDefault="00BB5BDC" w:rsidP="00BB5BDC">
      <w:pPr>
        <w:spacing w:after="0" w:line="240" w:lineRule="auto"/>
        <w:rPr>
          <w:rFonts w:ascii="Times New Roman" w:hAnsi="Times New Roman" w:cs="Times New Roman"/>
          <w:b/>
          <w:bCs/>
          <w:sz w:val="24"/>
          <w:szCs w:val="24"/>
        </w:rPr>
      </w:pPr>
    </w:p>
    <w:p w14:paraId="6C973C2B" w14:textId="77777777" w:rsidR="00BB5BDC" w:rsidRPr="00BB5BDC" w:rsidRDefault="009E6484" w:rsidP="00BB5BDC">
      <w:pPr>
        <w:pStyle w:val="ListParagraph"/>
        <w:numPr>
          <w:ilvl w:val="0"/>
          <w:numId w:val="19"/>
        </w:numPr>
        <w:spacing w:after="0" w:line="240" w:lineRule="auto"/>
        <w:rPr>
          <w:rFonts w:ascii="Times New Roman" w:hAnsi="Times New Roman" w:cs="Times New Roman"/>
          <w:b/>
          <w:bCs/>
          <w:sz w:val="24"/>
          <w:szCs w:val="24"/>
        </w:rPr>
      </w:pPr>
      <w:r w:rsidRPr="00BB5BDC">
        <w:rPr>
          <w:rFonts w:ascii="Times New Roman" w:hAnsi="Times New Roman" w:cs="Times New Roman"/>
          <w:sz w:val="24"/>
          <w:szCs w:val="24"/>
        </w:rPr>
        <w:t>The SEC focuses on ensuring transparency and preventing fraud in financial reporting and corporate governance.</w:t>
      </w:r>
    </w:p>
    <w:p w14:paraId="0742ABB0" w14:textId="77777777" w:rsidR="00BB5BDC" w:rsidRDefault="00BB5BDC" w:rsidP="00BB5BDC">
      <w:pPr>
        <w:spacing w:after="0" w:line="240" w:lineRule="auto"/>
        <w:rPr>
          <w:rFonts w:ascii="Times New Roman" w:hAnsi="Times New Roman" w:cs="Times New Roman"/>
          <w:sz w:val="24"/>
          <w:szCs w:val="24"/>
        </w:rPr>
      </w:pPr>
    </w:p>
    <w:p w14:paraId="3750BE0E" w14:textId="77777777" w:rsidR="00F80B46" w:rsidRDefault="009E6484" w:rsidP="00F80B46">
      <w:pPr>
        <w:spacing w:after="0" w:line="240" w:lineRule="auto"/>
        <w:rPr>
          <w:rFonts w:ascii="Times New Roman" w:hAnsi="Times New Roman" w:cs="Times New Roman"/>
          <w:b/>
          <w:bCs/>
          <w:sz w:val="24"/>
          <w:szCs w:val="24"/>
        </w:rPr>
      </w:pPr>
      <w:r w:rsidRPr="00F80B46">
        <w:rPr>
          <w:rFonts w:ascii="Times New Roman" w:hAnsi="Times New Roman" w:cs="Times New Roman"/>
          <w:b/>
          <w:bCs/>
          <w:sz w:val="24"/>
          <w:szCs w:val="24"/>
        </w:rPr>
        <w:t>Dodd-Frank Regulations</w:t>
      </w:r>
    </w:p>
    <w:p w14:paraId="71BA2A59" w14:textId="77777777" w:rsidR="00F80B46" w:rsidRDefault="00F80B46" w:rsidP="00F80B46">
      <w:pPr>
        <w:spacing w:after="0" w:line="240" w:lineRule="auto"/>
        <w:rPr>
          <w:rFonts w:ascii="Times New Roman" w:hAnsi="Times New Roman" w:cs="Times New Roman"/>
          <w:b/>
          <w:bCs/>
          <w:sz w:val="24"/>
          <w:szCs w:val="24"/>
        </w:rPr>
      </w:pPr>
    </w:p>
    <w:p w14:paraId="3A27C4FF" w14:textId="77777777" w:rsidR="00F80B46" w:rsidRPr="00F80B46" w:rsidRDefault="009E6484" w:rsidP="00F80B46">
      <w:pPr>
        <w:spacing w:after="0" w:line="240" w:lineRule="auto"/>
        <w:rPr>
          <w:rFonts w:ascii="Times New Roman" w:hAnsi="Times New Roman" w:cs="Times New Roman"/>
          <w:b/>
          <w:bCs/>
          <w:sz w:val="24"/>
          <w:szCs w:val="24"/>
        </w:rPr>
      </w:pPr>
      <w:r w:rsidRPr="009E6484">
        <w:rPr>
          <w:rFonts w:ascii="Times New Roman" w:hAnsi="Times New Roman" w:cs="Times New Roman"/>
          <w:b/>
          <w:bCs/>
          <w:sz w:val="24"/>
          <w:szCs w:val="24"/>
        </w:rPr>
        <w:t>Financial Crisis Response:</w:t>
      </w:r>
    </w:p>
    <w:p w14:paraId="5271888F" w14:textId="77777777" w:rsidR="00F80B46" w:rsidRDefault="00F80B46" w:rsidP="00F80B46">
      <w:pPr>
        <w:spacing w:after="0" w:line="240" w:lineRule="auto"/>
        <w:rPr>
          <w:rFonts w:ascii="Times New Roman" w:hAnsi="Times New Roman" w:cs="Times New Roman"/>
          <w:b/>
          <w:bCs/>
          <w:sz w:val="24"/>
          <w:szCs w:val="24"/>
        </w:rPr>
      </w:pPr>
    </w:p>
    <w:p w14:paraId="54BB5EA5" w14:textId="77777777" w:rsidR="00F80B46" w:rsidRPr="00F80B46" w:rsidRDefault="009E6484" w:rsidP="00F80B46">
      <w:pPr>
        <w:pStyle w:val="ListParagraph"/>
        <w:numPr>
          <w:ilvl w:val="0"/>
          <w:numId w:val="19"/>
        </w:numPr>
        <w:spacing w:after="0" w:line="240" w:lineRule="auto"/>
        <w:rPr>
          <w:rFonts w:ascii="Times New Roman" w:hAnsi="Times New Roman" w:cs="Times New Roman"/>
          <w:b/>
          <w:bCs/>
          <w:sz w:val="24"/>
          <w:szCs w:val="24"/>
        </w:rPr>
      </w:pPr>
      <w:r w:rsidRPr="00F80B46">
        <w:rPr>
          <w:rFonts w:ascii="Times New Roman" w:hAnsi="Times New Roman" w:cs="Times New Roman"/>
          <w:sz w:val="24"/>
          <w:szCs w:val="24"/>
        </w:rPr>
        <w:t>Dodd-Frank was enacted in response to the 2008 financial crisis and aimed to strengthen financial regulations and consumer protections.</w:t>
      </w:r>
    </w:p>
    <w:p w14:paraId="0C8178AA" w14:textId="77777777" w:rsidR="00F80B46" w:rsidRDefault="00F80B46" w:rsidP="00F80B46">
      <w:pPr>
        <w:spacing w:after="0" w:line="240" w:lineRule="auto"/>
        <w:rPr>
          <w:rFonts w:ascii="Times New Roman" w:hAnsi="Times New Roman" w:cs="Times New Roman"/>
          <w:b/>
          <w:bCs/>
          <w:sz w:val="24"/>
          <w:szCs w:val="24"/>
        </w:rPr>
      </w:pPr>
    </w:p>
    <w:p w14:paraId="30434814" w14:textId="77777777" w:rsidR="00307D99" w:rsidRDefault="009E6484" w:rsidP="00307D99">
      <w:pPr>
        <w:spacing w:after="0" w:line="240" w:lineRule="auto"/>
        <w:rPr>
          <w:rFonts w:ascii="Times New Roman" w:hAnsi="Times New Roman" w:cs="Times New Roman"/>
          <w:b/>
          <w:bCs/>
          <w:sz w:val="24"/>
          <w:szCs w:val="24"/>
        </w:rPr>
      </w:pPr>
      <w:r w:rsidRPr="009E6484">
        <w:rPr>
          <w:rFonts w:ascii="Times New Roman" w:hAnsi="Times New Roman" w:cs="Times New Roman"/>
          <w:b/>
          <w:bCs/>
          <w:sz w:val="24"/>
          <w:szCs w:val="24"/>
        </w:rPr>
        <w:t>Regulatory Scope:</w:t>
      </w:r>
    </w:p>
    <w:p w14:paraId="108BD6EF" w14:textId="77777777" w:rsidR="00307D99" w:rsidRDefault="00307D99" w:rsidP="00307D99">
      <w:pPr>
        <w:spacing w:after="0" w:line="240" w:lineRule="auto"/>
        <w:rPr>
          <w:rFonts w:ascii="Times New Roman" w:hAnsi="Times New Roman" w:cs="Times New Roman"/>
          <w:b/>
          <w:bCs/>
          <w:sz w:val="24"/>
          <w:szCs w:val="24"/>
        </w:rPr>
      </w:pPr>
    </w:p>
    <w:p w14:paraId="077B0C33" w14:textId="77777777" w:rsidR="00307D99"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Dodd-Frank expanded the SEC's authority and introduced new regulations for financial institutions, including the Consumer Financial Protection Bureau (CFPB).</w:t>
      </w:r>
    </w:p>
    <w:p w14:paraId="49E332B4" w14:textId="77777777" w:rsidR="00307D99" w:rsidRDefault="00307D99" w:rsidP="00307D99">
      <w:pPr>
        <w:spacing w:after="0" w:line="240" w:lineRule="auto"/>
        <w:rPr>
          <w:rFonts w:ascii="Times New Roman" w:hAnsi="Times New Roman" w:cs="Times New Roman"/>
          <w:sz w:val="24"/>
          <w:szCs w:val="24"/>
        </w:rPr>
      </w:pPr>
    </w:p>
    <w:p w14:paraId="61428ED0" w14:textId="77777777" w:rsidR="00307D99" w:rsidRDefault="009E6484" w:rsidP="00307D99">
      <w:pPr>
        <w:spacing w:after="0" w:line="240" w:lineRule="auto"/>
        <w:rPr>
          <w:rFonts w:ascii="Times New Roman" w:hAnsi="Times New Roman" w:cs="Times New Roman"/>
          <w:b/>
          <w:bCs/>
          <w:sz w:val="24"/>
          <w:szCs w:val="24"/>
        </w:rPr>
      </w:pPr>
      <w:r w:rsidRPr="00307D99">
        <w:rPr>
          <w:rFonts w:ascii="Times New Roman" w:hAnsi="Times New Roman" w:cs="Times New Roman"/>
          <w:b/>
          <w:bCs/>
          <w:sz w:val="24"/>
          <w:szCs w:val="24"/>
        </w:rPr>
        <w:t>Key Provisions:</w:t>
      </w:r>
    </w:p>
    <w:p w14:paraId="77BB4FE2" w14:textId="77777777" w:rsidR="00307D99" w:rsidRDefault="00307D99" w:rsidP="00307D99">
      <w:pPr>
        <w:spacing w:after="0" w:line="240" w:lineRule="auto"/>
        <w:rPr>
          <w:rFonts w:ascii="Times New Roman" w:hAnsi="Times New Roman" w:cs="Times New Roman"/>
          <w:b/>
          <w:bCs/>
          <w:sz w:val="24"/>
          <w:szCs w:val="24"/>
        </w:rPr>
      </w:pPr>
    </w:p>
    <w:p w14:paraId="3C156C3F" w14:textId="77777777" w:rsidR="00307D99" w:rsidRDefault="009E6484" w:rsidP="00307D99">
      <w:pPr>
        <w:spacing w:after="0" w:line="240" w:lineRule="auto"/>
        <w:rPr>
          <w:rFonts w:ascii="Times New Roman" w:hAnsi="Times New Roman" w:cs="Times New Roman"/>
          <w:b/>
          <w:bCs/>
          <w:sz w:val="24"/>
          <w:szCs w:val="24"/>
        </w:rPr>
      </w:pPr>
      <w:r w:rsidRPr="009E6484">
        <w:rPr>
          <w:rFonts w:ascii="Times New Roman" w:hAnsi="Times New Roman" w:cs="Times New Roman"/>
          <w:b/>
          <w:bCs/>
          <w:sz w:val="24"/>
          <w:szCs w:val="24"/>
        </w:rPr>
        <w:t>Dodd-Frank includes provisions such as:</w:t>
      </w:r>
    </w:p>
    <w:p w14:paraId="5055DB90" w14:textId="77777777" w:rsidR="00307D99" w:rsidRDefault="00307D99" w:rsidP="00307D99">
      <w:pPr>
        <w:spacing w:after="0" w:line="240" w:lineRule="auto"/>
        <w:rPr>
          <w:rFonts w:ascii="Times New Roman" w:hAnsi="Times New Roman" w:cs="Times New Roman"/>
          <w:b/>
          <w:bCs/>
          <w:sz w:val="24"/>
          <w:szCs w:val="24"/>
        </w:rPr>
      </w:pPr>
    </w:p>
    <w:p w14:paraId="37AEEEA9" w14:textId="77777777" w:rsidR="00307D99"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Say-on-pay and golden parachute votes for shareholders.</w:t>
      </w:r>
    </w:p>
    <w:p w14:paraId="1BFE61E4" w14:textId="77777777" w:rsidR="00307D99" w:rsidRDefault="00307D99" w:rsidP="00307D99">
      <w:pPr>
        <w:spacing w:after="0" w:line="240" w:lineRule="auto"/>
        <w:rPr>
          <w:rFonts w:ascii="Times New Roman" w:hAnsi="Times New Roman" w:cs="Times New Roman"/>
          <w:sz w:val="24"/>
          <w:szCs w:val="24"/>
        </w:rPr>
      </w:pPr>
    </w:p>
    <w:p w14:paraId="75022227" w14:textId="3F82E7AB" w:rsidR="00307D99"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Clawback policies for executive compensation.</w:t>
      </w:r>
    </w:p>
    <w:p w14:paraId="09633F5F" w14:textId="77777777" w:rsidR="00307D99" w:rsidRDefault="00307D99" w:rsidP="00307D99">
      <w:pPr>
        <w:spacing w:after="0" w:line="240" w:lineRule="auto"/>
        <w:rPr>
          <w:rFonts w:ascii="Times New Roman" w:hAnsi="Times New Roman" w:cs="Times New Roman"/>
          <w:b/>
          <w:bCs/>
          <w:sz w:val="24"/>
          <w:szCs w:val="24"/>
        </w:rPr>
      </w:pPr>
    </w:p>
    <w:p w14:paraId="16D75D96" w14:textId="77777777" w:rsidR="00307D99"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Disclosure requirements for hedging practices by employees and directors.</w:t>
      </w:r>
    </w:p>
    <w:p w14:paraId="02768D9D" w14:textId="77777777" w:rsidR="00307D99" w:rsidRDefault="00307D99" w:rsidP="00307D99">
      <w:pPr>
        <w:spacing w:after="0" w:line="240" w:lineRule="auto"/>
        <w:rPr>
          <w:rFonts w:ascii="Times New Roman" w:hAnsi="Times New Roman" w:cs="Times New Roman"/>
          <w:b/>
          <w:bCs/>
          <w:sz w:val="24"/>
          <w:szCs w:val="24"/>
        </w:rPr>
      </w:pPr>
    </w:p>
    <w:p w14:paraId="2EE1316B" w14:textId="77777777" w:rsidR="00307D99"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Strengthened oversight of derivatives and swaps.</w:t>
      </w:r>
    </w:p>
    <w:p w14:paraId="28E20E35" w14:textId="77777777" w:rsidR="00307D99" w:rsidRDefault="00307D99" w:rsidP="00307D99">
      <w:pPr>
        <w:spacing w:after="0" w:line="240" w:lineRule="auto"/>
        <w:rPr>
          <w:rFonts w:ascii="Times New Roman" w:hAnsi="Times New Roman" w:cs="Times New Roman"/>
          <w:b/>
          <w:bCs/>
          <w:sz w:val="24"/>
          <w:szCs w:val="24"/>
        </w:rPr>
      </w:pPr>
    </w:p>
    <w:p w14:paraId="569C01E8" w14:textId="60EE1680" w:rsidR="009E6484" w:rsidRPr="00307D99" w:rsidRDefault="009E6484" w:rsidP="00307D99">
      <w:pPr>
        <w:pStyle w:val="ListParagraph"/>
        <w:numPr>
          <w:ilvl w:val="0"/>
          <w:numId w:val="19"/>
        </w:numPr>
        <w:spacing w:after="0" w:line="240" w:lineRule="auto"/>
        <w:rPr>
          <w:rFonts w:ascii="Times New Roman" w:hAnsi="Times New Roman" w:cs="Times New Roman"/>
          <w:b/>
          <w:bCs/>
          <w:sz w:val="24"/>
          <w:szCs w:val="24"/>
        </w:rPr>
      </w:pPr>
      <w:r w:rsidRPr="00307D99">
        <w:rPr>
          <w:rFonts w:ascii="Times New Roman" w:hAnsi="Times New Roman" w:cs="Times New Roman"/>
          <w:sz w:val="24"/>
          <w:szCs w:val="24"/>
        </w:rPr>
        <w:t>Enhanced consumer protections through the CFPB.</w:t>
      </w:r>
    </w:p>
    <w:p w14:paraId="156AE8A5" w14:textId="3A01F55A" w:rsidR="00FE07AD" w:rsidRDefault="009E6484" w:rsidP="009E6484">
      <w:pPr>
        <w:rPr>
          <w:rFonts w:ascii="Times New Roman" w:hAnsi="Times New Roman" w:cs="Times New Roman"/>
          <w:sz w:val="24"/>
          <w:szCs w:val="24"/>
        </w:rPr>
      </w:pPr>
      <w:r w:rsidRPr="009E6484">
        <w:rPr>
          <w:rFonts w:ascii="Times New Roman" w:hAnsi="Times New Roman" w:cs="Times New Roman"/>
          <w:sz w:val="24"/>
          <w:szCs w:val="24"/>
        </w:rPr>
        <w:lastRenderedPageBreak/>
        <w:t>In summary, the SEC is responsible for general securities and financial oversight, while Dodd-Frank is a specific response to the financial crisis, introducing new regulations and strengthening existing ones to prevent future crises.</w:t>
      </w:r>
    </w:p>
    <w:p w14:paraId="1B5AEE4A" w14:textId="77777777" w:rsidR="00C233A3" w:rsidRDefault="00C233A3" w:rsidP="009E6484">
      <w:pPr>
        <w:rPr>
          <w:rFonts w:ascii="Times New Roman" w:hAnsi="Times New Roman" w:cs="Times New Roman"/>
          <w:sz w:val="24"/>
          <w:szCs w:val="24"/>
        </w:rPr>
      </w:pPr>
    </w:p>
    <w:p w14:paraId="249C65C4" w14:textId="77777777" w:rsidR="002B096E" w:rsidRDefault="002B096E" w:rsidP="002B096E">
      <w:pPr>
        <w:spacing w:after="0" w:line="240" w:lineRule="auto"/>
        <w:rPr>
          <w:rFonts w:ascii="Times New Roman" w:hAnsi="Times New Roman" w:cs="Times New Roman"/>
          <w:b/>
          <w:bCs/>
          <w:sz w:val="24"/>
          <w:szCs w:val="24"/>
        </w:rPr>
      </w:pPr>
      <w:r w:rsidRPr="002B096E">
        <w:rPr>
          <w:rFonts w:ascii="Times New Roman" w:hAnsi="Times New Roman" w:cs="Times New Roman"/>
          <w:b/>
          <w:bCs/>
          <w:sz w:val="24"/>
          <w:szCs w:val="24"/>
        </w:rPr>
        <w:t>N</w:t>
      </w:r>
      <w:r w:rsidR="00C233A3" w:rsidRPr="00C233A3">
        <w:rPr>
          <w:rFonts w:ascii="Times New Roman" w:hAnsi="Times New Roman" w:cs="Times New Roman"/>
          <w:b/>
          <w:bCs/>
          <w:sz w:val="24"/>
          <w:szCs w:val="24"/>
        </w:rPr>
        <w:t>umerical statistics related to SEC regulations in the US banking system:</w:t>
      </w:r>
    </w:p>
    <w:p w14:paraId="4D18069A" w14:textId="77777777" w:rsidR="002B096E" w:rsidRDefault="002B096E" w:rsidP="002B096E">
      <w:pPr>
        <w:spacing w:after="0" w:line="240" w:lineRule="auto"/>
        <w:rPr>
          <w:rFonts w:ascii="Times New Roman" w:hAnsi="Times New Roman" w:cs="Times New Roman"/>
          <w:b/>
          <w:bCs/>
          <w:sz w:val="24"/>
          <w:szCs w:val="24"/>
        </w:rPr>
      </w:pPr>
    </w:p>
    <w:p w14:paraId="37E6C3E0" w14:textId="77777777" w:rsidR="002B096E" w:rsidRPr="00724150" w:rsidRDefault="00C233A3" w:rsidP="002B096E">
      <w:pPr>
        <w:spacing w:after="0" w:line="240" w:lineRule="auto"/>
        <w:rPr>
          <w:rFonts w:ascii="Times New Roman" w:hAnsi="Times New Roman" w:cs="Times New Roman"/>
          <w:b/>
          <w:bCs/>
          <w:sz w:val="24"/>
          <w:szCs w:val="24"/>
        </w:rPr>
      </w:pPr>
      <w:r w:rsidRPr="00C233A3">
        <w:rPr>
          <w:rFonts w:ascii="Times New Roman" w:hAnsi="Times New Roman" w:cs="Times New Roman"/>
          <w:b/>
          <w:bCs/>
          <w:sz w:val="24"/>
          <w:szCs w:val="24"/>
        </w:rPr>
        <w:t>SEC Enforcement Actions:</w:t>
      </w:r>
    </w:p>
    <w:p w14:paraId="1C9B596F" w14:textId="77777777" w:rsidR="002B096E" w:rsidRDefault="002B096E" w:rsidP="002B096E">
      <w:pPr>
        <w:spacing w:after="0" w:line="240" w:lineRule="auto"/>
        <w:rPr>
          <w:rFonts w:ascii="Times New Roman" w:hAnsi="Times New Roman" w:cs="Times New Roman"/>
          <w:b/>
          <w:bCs/>
          <w:sz w:val="24"/>
          <w:szCs w:val="24"/>
        </w:rPr>
      </w:pPr>
    </w:p>
    <w:p w14:paraId="36429CC6" w14:textId="77777777" w:rsidR="002B096E" w:rsidRPr="00724150" w:rsidRDefault="00C233A3" w:rsidP="00724150">
      <w:pPr>
        <w:pStyle w:val="ListParagraph"/>
        <w:numPr>
          <w:ilvl w:val="0"/>
          <w:numId w:val="21"/>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In the fiscal year 2021, the SEC filed 434 new enforcement actions, a 7% increase from the previous year.</w:t>
      </w:r>
    </w:p>
    <w:p w14:paraId="74014DAD" w14:textId="77777777" w:rsidR="002B096E" w:rsidRDefault="002B096E" w:rsidP="002B096E">
      <w:pPr>
        <w:spacing w:after="0" w:line="240" w:lineRule="auto"/>
        <w:rPr>
          <w:rFonts w:ascii="Times New Roman" w:hAnsi="Times New Roman" w:cs="Times New Roman"/>
          <w:b/>
          <w:bCs/>
          <w:sz w:val="24"/>
          <w:szCs w:val="24"/>
        </w:rPr>
      </w:pPr>
    </w:p>
    <w:p w14:paraId="31F9931A" w14:textId="77777777" w:rsidR="002B096E" w:rsidRPr="00724150" w:rsidRDefault="00C233A3" w:rsidP="00724150">
      <w:pPr>
        <w:pStyle w:val="ListParagraph"/>
        <w:numPr>
          <w:ilvl w:val="0"/>
          <w:numId w:val="21"/>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 xml:space="preserve">The SEC obtained judgments and orders </w:t>
      </w:r>
      <w:proofErr w:type="spellStart"/>
      <w:r w:rsidRPr="00724150">
        <w:rPr>
          <w:rFonts w:ascii="Times New Roman" w:hAnsi="Times New Roman" w:cs="Times New Roman"/>
          <w:sz w:val="24"/>
          <w:szCs w:val="24"/>
        </w:rPr>
        <w:t>totaling</w:t>
      </w:r>
      <w:proofErr w:type="spellEnd"/>
      <w:r w:rsidRPr="00724150">
        <w:rPr>
          <w:rFonts w:ascii="Times New Roman" w:hAnsi="Times New Roman" w:cs="Times New Roman"/>
          <w:sz w:val="24"/>
          <w:szCs w:val="24"/>
        </w:rPr>
        <w:t xml:space="preserve"> more than $2.4 billion in disgorgement and $1.4 billion in penalties in fiscal year 2021.</w:t>
      </w:r>
    </w:p>
    <w:p w14:paraId="146DA4F3" w14:textId="77777777" w:rsidR="002B096E" w:rsidRDefault="002B096E" w:rsidP="002B096E">
      <w:pPr>
        <w:spacing w:after="0" w:line="240" w:lineRule="auto"/>
        <w:rPr>
          <w:rFonts w:ascii="Times New Roman" w:hAnsi="Times New Roman" w:cs="Times New Roman"/>
          <w:b/>
          <w:bCs/>
          <w:sz w:val="24"/>
          <w:szCs w:val="24"/>
        </w:rPr>
      </w:pPr>
    </w:p>
    <w:p w14:paraId="246A2DEE" w14:textId="77777777" w:rsidR="002B096E" w:rsidRPr="00724150" w:rsidRDefault="00C233A3" w:rsidP="002B096E">
      <w:pPr>
        <w:spacing w:after="0" w:line="240" w:lineRule="auto"/>
        <w:rPr>
          <w:rFonts w:ascii="Times New Roman" w:hAnsi="Times New Roman" w:cs="Times New Roman"/>
          <w:b/>
          <w:bCs/>
          <w:sz w:val="24"/>
          <w:szCs w:val="24"/>
        </w:rPr>
      </w:pPr>
      <w:r w:rsidRPr="00C233A3">
        <w:rPr>
          <w:rFonts w:ascii="Times New Roman" w:hAnsi="Times New Roman" w:cs="Times New Roman"/>
          <w:b/>
          <w:bCs/>
          <w:sz w:val="24"/>
          <w:szCs w:val="24"/>
        </w:rPr>
        <w:t>SEC Rulemaking:</w:t>
      </w:r>
    </w:p>
    <w:p w14:paraId="38E472D1" w14:textId="77777777" w:rsidR="002B096E" w:rsidRDefault="002B096E" w:rsidP="002B096E">
      <w:pPr>
        <w:spacing w:after="0" w:line="240" w:lineRule="auto"/>
        <w:rPr>
          <w:rFonts w:ascii="Times New Roman" w:hAnsi="Times New Roman" w:cs="Times New Roman"/>
          <w:b/>
          <w:bCs/>
          <w:sz w:val="24"/>
          <w:szCs w:val="24"/>
        </w:rPr>
      </w:pPr>
    </w:p>
    <w:p w14:paraId="73B83D9F" w14:textId="77777777" w:rsidR="002B096E" w:rsidRPr="00724150" w:rsidRDefault="00C233A3" w:rsidP="00724150">
      <w:pPr>
        <w:pStyle w:val="ListParagraph"/>
        <w:numPr>
          <w:ilvl w:val="0"/>
          <w:numId w:val="22"/>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As of 2021, the SEC has proposed or adopted over 50 rules to implement the Dodd-Frank Wall Street Reform and Consumer Protection Act.</w:t>
      </w:r>
    </w:p>
    <w:p w14:paraId="50F77419" w14:textId="77777777" w:rsidR="002B096E" w:rsidRDefault="002B096E" w:rsidP="002B096E">
      <w:pPr>
        <w:spacing w:after="0" w:line="240" w:lineRule="auto"/>
        <w:rPr>
          <w:rFonts w:ascii="Times New Roman" w:hAnsi="Times New Roman" w:cs="Times New Roman"/>
          <w:b/>
          <w:bCs/>
          <w:sz w:val="24"/>
          <w:szCs w:val="24"/>
        </w:rPr>
      </w:pPr>
    </w:p>
    <w:p w14:paraId="1E427067" w14:textId="77777777" w:rsidR="002B096E" w:rsidRPr="00724150" w:rsidRDefault="00C233A3" w:rsidP="00724150">
      <w:pPr>
        <w:pStyle w:val="ListParagraph"/>
        <w:numPr>
          <w:ilvl w:val="0"/>
          <w:numId w:val="22"/>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The SEC has proposed rules to enhance cybersecurity risk management for investment advisers and funds, with the goal of reducing the risk of significant disruptions to critical systems.</w:t>
      </w:r>
    </w:p>
    <w:p w14:paraId="02FC6DF5" w14:textId="77777777" w:rsidR="002B096E" w:rsidRDefault="002B096E" w:rsidP="002B096E">
      <w:pPr>
        <w:spacing w:after="0" w:line="240" w:lineRule="auto"/>
        <w:rPr>
          <w:rFonts w:ascii="Times New Roman" w:hAnsi="Times New Roman" w:cs="Times New Roman"/>
          <w:b/>
          <w:bCs/>
          <w:sz w:val="24"/>
          <w:szCs w:val="24"/>
        </w:rPr>
      </w:pPr>
    </w:p>
    <w:p w14:paraId="7459E953" w14:textId="77777777" w:rsidR="002B096E" w:rsidRPr="00724150" w:rsidRDefault="00C233A3" w:rsidP="002B096E">
      <w:pPr>
        <w:spacing w:after="0" w:line="240" w:lineRule="auto"/>
        <w:rPr>
          <w:rFonts w:ascii="Times New Roman" w:hAnsi="Times New Roman" w:cs="Times New Roman"/>
          <w:b/>
          <w:bCs/>
          <w:sz w:val="24"/>
          <w:szCs w:val="24"/>
        </w:rPr>
      </w:pPr>
      <w:r w:rsidRPr="00C233A3">
        <w:rPr>
          <w:rFonts w:ascii="Times New Roman" w:hAnsi="Times New Roman" w:cs="Times New Roman"/>
          <w:b/>
          <w:bCs/>
          <w:sz w:val="24"/>
          <w:szCs w:val="24"/>
        </w:rPr>
        <w:t>SEC Registration and Reporting Requirements:</w:t>
      </w:r>
    </w:p>
    <w:p w14:paraId="4A6D2EA3" w14:textId="77777777" w:rsidR="002B096E" w:rsidRDefault="002B096E" w:rsidP="002B096E">
      <w:pPr>
        <w:spacing w:after="0" w:line="240" w:lineRule="auto"/>
        <w:rPr>
          <w:rFonts w:ascii="Times New Roman" w:hAnsi="Times New Roman" w:cs="Times New Roman"/>
          <w:b/>
          <w:bCs/>
          <w:sz w:val="24"/>
          <w:szCs w:val="24"/>
        </w:rPr>
      </w:pPr>
    </w:p>
    <w:p w14:paraId="22FD3363" w14:textId="77777777" w:rsidR="002B096E" w:rsidRPr="00724150" w:rsidRDefault="00C233A3" w:rsidP="00724150">
      <w:pPr>
        <w:pStyle w:val="ListParagraph"/>
        <w:numPr>
          <w:ilvl w:val="0"/>
          <w:numId w:val="23"/>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As of 2021, there were 13,941 investment adviser firms registered with the SEC, managing over $110 trillion in assets.</w:t>
      </w:r>
    </w:p>
    <w:p w14:paraId="7F1C4E64" w14:textId="77777777" w:rsidR="002B096E" w:rsidRDefault="002B096E" w:rsidP="002B096E">
      <w:pPr>
        <w:spacing w:after="0" w:line="240" w:lineRule="auto"/>
        <w:rPr>
          <w:rFonts w:ascii="Times New Roman" w:hAnsi="Times New Roman" w:cs="Times New Roman"/>
          <w:b/>
          <w:bCs/>
          <w:sz w:val="24"/>
          <w:szCs w:val="24"/>
        </w:rPr>
      </w:pPr>
    </w:p>
    <w:p w14:paraId="3F6EBB9E" w14:textId="77777777" w:rsidR="002B096E" w:rsidRPr="00724150" w:rsidRDefault="00C233A3" w:rsidP="00724150">
      <w:pPr>
        <w:pStyle w:val="ListParagraph"/>
        <w:numPr>
          <w:ilvl w:val="0"/>
          <w:numId w:val="23"/>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In 2021, SEC-registered investment advisers filed over 43,000 Form ADV amendments.</w:t>
      </w:r>
    </w:p>
    <w:p w14:paraId="7830BF23" w14:textId="77777777" w:rsidR="002B096E" w:rsidRDefault="002B096E" w:rsidP="002B096E">
      <w:pPr>
        <w:spacing w:after="0" w:line="240" w:lineRule="auto"/>
        <w:rPr>
          <w:rFonts w:ascii="Times New Roman" w:hAnsi="Times New Roman" w:cs="Times New Roman"/>
          <w:b/>
          <w:bCs/>
          <w:sz w:val="24"/>
          <w:szCs w:val="24"/>
        </w:rPr>
      </w:pPr>
    </w:p>
    <w:p w14:paraId="30BEB246" w14:textId="77777777" w:rsidR="002B096E" w:rsidRPr="00724150" w:rsidRDefault="00C233A3" w:rsidP="002B096E">
      <w:pPr>
        <w:spacing w:after="0" w:line="240" w:lineRule="auto"/>
        <w:rPr>
          <w:rFonts w:ascii="Times New Roman" w:hAnsi="Times New Roman" w:cs="Times New Roman"/>
          <w:b/>
          <w:bCs/>
          <w:sz w:val="24"/>
          <w:szCs w:val="24"/>
        </w:rPr>
      </w:pPr>
      <w:r w:rsidRPr="00C233A3">
        <w:rPr>
          <w:rFonts w:ascii="Times New Roman" w:hAnsi="Times New Roman" w:cs="Times New Roman"/>
          <w:b/>
          <w:bCs/>
          <w:sz w:val="24"/>
          <w:szCs w:val="24"/>
        </w:rPr>
        <w:t>SEC and FINRA Coordination:</w:t>
      </w:r>
    </w:p>
    <w:p w14:paraId="467D074A" w14:textId="77777777" w:rsidR="002B096E" w:rsidRDefault="002B096E" w:rsidP="002B096E">
      <w:pPr>
        <w:spacing w:after="0" w:line="240" w:lineRule="auto"/>
        <w:rPr>
          <w:rFonts w:ascii="Times New Roman" w:hAnsi="Times New Roman" w:cs="Times New Roman"/>
          <w:b/>
          <w:bCs/>
          <w:sz w:val="24"/>
          <w:szCs w:val="24"/>
        </w:rPr>
      </w:pPr>
    </w:p>
    <w:p w14:paraId="2E753648" w14:textId="77777777" w:rsidR="002B096E" w:rsidRPr="00724150" w:rsidRDefault="00C233A3" w:rsidP="00724150">
      <w:pPr>
        <w:pStyle w:val="ListParagraph"/>
        <w:numPr>
          <w:ilvl w:val="0"/>
          <w:numId w:val="24"/>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FINRA reported receiving 5,755 tips, complaints, and referrals from the SEC in 2021.</w:t>
      </w:r>
    </w:p>
    <w:p w14:paraId="4056D707" w14:textId="77777777" w:rsidR="002B096E" w:rsidRDefault="002B096E" w:rsidP="002B096E">
      <w:pPr>
        <w:spacing w:after="0" w:line="240" w:lineRule="auto"/>
        <w:rPr>
          <w:rFonts w:ascii="Times New Roman" w:hAnsi="Times New Roman" w:cs="Times New Roman"/>
          <w:b/>
          <w:bCs/>
          <w:sz w:val="24"/>
          <w:szCs w:val="24"/>
        </w:rPr>
      </w:pPr>
    </w:p>
    <w:p w14:paraId="0D3FAA55" w14:textId="77777777" w:rsidR="002B096E" w:rsidRPr="00724150" w:rsidRDefault="00C233A3" w:rsidP="00724150">
      <w:pPr>
        <w:pStyle w:val="ListParagraph"/>
        <w:numPr>
          <w:ilvl w:val="0"/>
          <w:numId w:val="24"/>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FINRA conducted 1,500 cycle examinations and 1,200 cause examinations in 2021.</w:t>
      </w:r>
    </w:p>
    <w:p w14:paraId="7631CD57" w14:textId="77777777" w:rsidR="002B096E" w:rsidRDefault="002B096E" w:rsidP="002B096E">
      <w:pPr>
        <w:spacing w:after="0" w:line="240" w:lineRule="auto"/>
        <w:rPr>
          <w:rFonts w:ascii="Times New Roman" w:hAnsi="Times New Roman" w:cs="Times New Roman"/>
          <w:b/>
          <w:bCs/>
          <w:sz w:val="24"/>
          <w:szCs w:val="24"/>
        </w:rPr>
      </w:pPr>
    </w:p>
    <w:p w14:paraId="25ECBA2C" w14:textId="77777777" w:rsidR="00724150" w:rsidRPr="00724150" w:rsidRDefault="00C233A3" w:rsidP="00724150">
      <w:pPr>
        <w:spacing w:after="0" w:line="240" w:lineRule="auto"/>
        <w:rPr>
          <w:rFonts w:ascii="Times New Roman" w:hAnsi="Times New Roman" w:cs="Times New Roman"/>
          <w:b/>
          <w:bCs/>
          <w:sz w:val="24"/>
          <w:szCs w:val="24"/>
        </w:rPr>
      </w:pPr>
      <w:r w:rsidRPr="00C233A3">
        <w:rPr>
          <w:rFonts w:ascii="Times New Roman" w:hAnsi="Times New Roman" w:cs="Times New Roman"/>
          <w:b/>
          <w:bCs/>
          <w:sz w:val="24"/>
          <w:szCs w:val="24"/>
        </w:rPr>
        <w:t>SEC and Banking Regulators Coordination:</w:t>
      </w:r>
    </w:p>
    <w:p w14:paraId="25D96B56" w14:textId="77777777" w:rsidR="00724150" w:rsidRDefault="00724150" w:rsidP="00724150">
      <w:pPr>
        <w:spacing w:after="0" w:line="240" w:lineRule="auto"/>
        <w:rPr>
          <w:rFonts w:ascii="Times New Roman" w:hAnsi="Times New Roman" w:cs="Times New Roman"/>
          <w:b/>
          <w:bCs/>
          <w:sz w:val="24"/>
          <w:szCs w:val="24"/>
        </w:rPr>
      </w:pPr>
    </w:p>
    <w:p w14:paraId="1CA51F49" w14:textId="77777777" w:rsidR="00724150" w:rsidRPr="00724150" w:rsidRDefault="00C233A3" w:rsidP="00724150">
      <w:pPr>
        <w:pStyle w:val="ListParagraph"/>
        <w:numPr>
          <w:ilvl w:val="0"/>
          <w:numId w:val="25"/>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The SEC and the Federal Reserve signed a memorandum of understanding in 2019 to enhance coordination and information sharing between the two agencies.</w:t>
      </w:r>
    </w:p>
    <w:p w14:paraId="0012A1CE" w14:textId="77777777" w:rsidR="00724150" w:rsidRDefault="00724150" w:rsidP="00724150">
      <w:pPr>
        <w:spacing w:after="0" w:line="240" w:lineRule="auto"/>
        <w:rPr>
          <w:rFonts w:ascii="Times New Roman" w:hAnsi="Times New Roman" w:cs="Times New Roman"/>
          <w:b/>
          <w:bCs/>
          <w:sz w:val="24"/>
          <w:szCs w:val="24"/>
        </w:rPr>
      </w:pPr>
    </w:p>
    <w:p w14:paraId="7A5A1514" w14:textId="05AE056C" w:rsidR="00C233A3" w:rsidRPr="007966CE" w:rsidRDefault="00C233A3" w:rsidP="00724150">
      <w:pPr>
        <w:pStyle w:val="ListParagraph"/>
        <w:numPr>
          <w:ilvl w:val="0"/>
          <w:numId w:val="25"/>
        </w:numPr>
        <w:spacing w:after="0" w:line="240" w:lineRule="auto"/>
        <w:rPr>
          <w:rFonts w:ascii="Times New Roman" w:hAnsi="Times New Roman" w:cs="Times New Roman"/>
          <w:b/>
          <w:bCs/>
          <w:sz w:val="24"/>
          <w:szCs w:val="24"/>
        </w:rPr>
      </w:pPr>
      <w:r w:rsidRPr="00724150">
        <w:rPr>
          <w:rFonts w:ascii="Times New Roman" w:hAnsi="Times New Roman" w:cs="Times New Roman"/>
          <w:sz w:val="24"/>
          <w:szCs w:val="24"/>
        </w:rPr>
        <w:t>The SEC and the OCC signed an updated memorandum of understanding in 2020 to strengthen their working relationship and improve the efficiency of their oversight of national banks and federal savings associations.</w:t>
      </w:r>
    </w:p>
    <w:p w14:paraId="6BF5749F" w14:textId="77777777" w:rsidR="007966CE" w:rsidRPr="007966CE" w:rsidRDefault="007966CE" w:rsidP="007966CE">
      <w:pPr>
        <w:pStyle w:val="ListParagraph"/>
        <w:rPr>
          <w:rFonts w:ascii="Times New Roman" w:hAnsi="Times New Roman" w:cs="Times New Roman"/>
          <w:b/>
          <w:bCs/>
          <w:sz w:val="24"/>
          <w:szCs w:val="24"/>
        </w:rPr>
      </w:pPr>
    </w:p>
    <w:p w14:paraId="094A5B11" w14:textId="77777777" w:rsidR="00416C64" w:rsidRDefault="00416C64" w:rsidP="007966CE">
      <w:pPr>
        <w:spacing w:after="0" w:line="240" w:lineRule="auto"/>
        <w:rPr>
          <w:rFonts w:ascii="Times New Roman" w:hAnsi="Times New Roman" w:cs="Times New Roman"/>
          <w:sz w:val="24"/>
          <w:szCs w:val="24"/>
        </w:rPr>
      </w:pPr>
    </w:p>
    <w:p w14:paraId="48A5ADD3" w14:textId="77777777" w:rsidR="00416C64" w:rsidRDefault="00416C64" w:rsidP="007966CE">
      <w:pPr>
        <w:spacing w:after="0" w:line="240" w:lineRule="auto"/>
        <w:rPr>
          <w:rFonts w:ascii="Times New Roman" w:hAnsi="Times New Roman" w:cs="Times New Roman"/>
          <w:sz w:val="24"/>
          <w:szCs w:val="24"/>
        </w:rPr>
      </w:pPr>
    </w:p>
    <w:p w14:paraId="7F5B7DAB" w14:textId="2F046E2A" w:rsidR="00416C64" w:rsidRPr="00416C64" w:rsidRDefault="00416C64" w:rsidP="007966CE">
      <w:pPr>
        <w:spacing w:after="0" w:line="240" w:lineRule="auto"/>
        <w:rPr>
          <w:rFonts w:ascii="Times New Roman" w:hAnsi="Times New Roman" w:cs="Times New Roman"/>
          <w:b/>
          <w:bCs/>
          <w:sz w:val="24"/>
          <w:szCs w:val="24"/>
        </w:rPr>
      </w:pPr>
      <w:r w:rsidRPr="00416C64">
        <w:rPr>
          <w:rFonts w:ascii="Times New Roman" w:hAnsi="Times New Roman" w:cs="Times New Roman"/>
          <w:b/>
          <w:bCs/>
          <w:sz w:val="24"/>
          <w:szCs w:val="24"/>
        </w:rPr>
        <w:lastRenderedPageBreak/>
        <w:t>Conclusion:</w:t>
      </w:r>
    </w:p>
    <w:p w14:paraId="02867551" w14:textId="77777777" w:rsidR="00416C64" w:rsidRDefault="00416C64" w:rsidP="007966CE">
      <w:pPr>
        <w:spacing w:after="0" w:line="240" w:lineRule="auto"/>
        <w:rPr>
          <w:rFonts w:ascii="Times New Roman" w:hAnsi="Times New Roman" w:cs="Times New Roman"/>
          <w:sz w:val="24"/>
          <w:szCs w:val="24"/>
        </w:rPr>
      </w:pPr>
    </w:p>
    <w:p w14:paraId="087F8B77" w14:textId="170A408F" w:rsidR="00416C64" w:rsidRDefault="007966CE" w:rsidP="007966CE">
      <w:p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The Securities and Exchange Commission (SEC) is an independent federal agency responsible for protecting investors, maintaining fair and efficient markets, and facilitating capital formation.</w:t>
      </w:r>
    </w:p>
    <w:p w14:paraId="1906F15F" w14:textId="3A667ABE" w:rsidR="00416C64" w:rsidRDefault="007966CE" w:rsidP="007966CE">
      <w:p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 xml:space="preserve"> </w:t>
      </w:r>
    </w:p>
    <w:p w14:paraId="0EB15764" w14:textId="434068F2" w:rsidR="007966CE" w:rsidRPr="00416C64" w:rsidRDefault="007966CE" w:rsidP="007966CE">
      <w:pPr>
        <w:spacing w:after="0" w:line="240" w:lineRule="auto"/>
        <w:rPr>
          <w:rFonts w:ascii="Times New Roman" w:hAnsi="Times New Roman" w:cs="Times New Roman"/>
          <w:b/>
          <w:bCs/>
          <w:sz w:val="24"/>
          <w:szCs w:val="24"/>
        </w:rPr>
      </w:pPr>
      <w:r w:rsidRPr="00416C64">
        <w:rPr>
          <w:rFonts w:ascii="Times New Roman" w:hAnsi="Times New Roman" w:cs="Times New Roman"/>
          <w:b/>
          <w:bCs/>
          <w:sz w:val="24"/>
          <w:szCs w:val="24"/>
        </w:rPr>
        <w:t>Key points include:</w:t>
      </w:r>
    </w:p>
    <w:p w14:paraId="6A772073" w14:textId="77777777" w:rsidR="00416C64" w:rsidRDefault="00416C64" w:rsidP="007966CE">
      <w:pPr>
        <w:spacing w:after="0" w:line="240" w:lineRule="auto"/>
        <w:rPr>
          <w:rFonts w:ascii="Times New Roman" w:hAnsi="Times New Roman" w:cs="Times New Roman"/>
          <w:sz w:val="24"/>
          <w:szCs w:val="24"/>
        </w:rPr>
      </w:pPr>
    </w:p>
    <w:p w14:paraId="6E64E140" w14:textId="30F60DAB" w:rsidR="007966CE" w:rsidRPr="00416C64" w:rsidRDefault="00416C64" w:rsidP="00416C64">
      <w:pPr>
        <w:pStyle w:val="ListParagraph"/>
        <w:numPr>
          <w:ilvl w:val="0"/>
          <w:numId w:val="26"/>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 xml:space="preserve">The </w:t>
      </w:r>
      <w:r w:rsidR="007966CE" w:rsidRPr="00416C64">
        <w:rPr>
          <w:rFonts w:ascii="Times New Roman" w:hAnsi="Times New Roman" w:cs="Times New Roman"/>
          <w:sz w:val="24"/>
          <w:szCs w:val="24"/>
        </w:rPr>
        <w:t>SEC oversees key participants in the securities industry, including exchanges, brokers, dealers, investment advisors, and investment companies.</w:t>
      </w:r>
    </w:p>
    <w:p w14:paraId="514CD730" w14:textId="77777777" w:rsidR="00416C64" w:rsidRPr="00416C64" w:rsidRDefault="00416C64" w:rsidP="007966CE">
      <w:pPr>
        <w:spacing w:after="0" w:line="240" w:lineRule="auto"/>
        <w:rPr>
          <w:rFonts w:ascii="Times New Roman" w:hAnsi="Times New Roman" w:cs="Times New Roman"/>
          <w:sz w:val="24"/>
          <w:szCs w:val="24"/>
        </w:rPr>
      </w:pPr>
    </w:p>
    <w:p w14:paraId="2F223715" w14:textId="5BA50307" w:rsidR="007966CE" w:rsidRPr="00416C64" w:rsidRDefault="00416C64" w:rsidP="00416C64">
      <w:pPr>
        <w:pStyle w:val="ListParagraph"/>
        <w:numPr>
          <w:ilvl w:val="0"/>
          <w:numId w:val="26"/>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 xml:space="preserve">The </w:t>
      </w:r>
      <w:r w:rsidR="007966CE" w:rsidRPr="00416C64">
        <w:rPr>
          <w:rFonts w:ascii="Times New Roman" w:hAnsi="Times New Roman" w:cs="Times New Roman"/>
          <w:sz w:val="24"/>
          <w:szCs w:val="24"/>
        </w:rPr>
        <w:t>SEC proposes and enforces securities laws to prevent fraud and ensure transparency.</w:t>
      </w:r>
    </w:p>
    <w:p w14:paraId="6478BECF" w14:textId="77777777" w:rsidR="00416C64" w:rsidRPr="00416C64" w:rsidRDefault="00416C64" w:rsidP="007966CE">
      <w:pPr>
        <w:spacing w:after="0" w:line="240" w:lineRule="auto"/>
        <w:rPr>
          <w:rFonts w:ascii="Times New Roman" w:hAnsi="Times New Roman" w:cs="Times New Roman"/>
          <w:sz w:val="24"/>
          <w:szCs w:val="24"/>
        </w:rPr>
      </w:pPr>
    </w:p>
    <w:p w14:paraId="4EA7EA95" w14:textId="0C8B2D11" w:rsidR="007966CE" w:rsidRPr="00416C64" w:rsidRDefault="007966CE" w:rsidP="00416C64">
      <w:pPr>
        <w:pStyle w:val="ListParagraph"/>
        <w:numPr>
          <w:ilvl w:val="0"/>
          <w:numId w:val="26"/>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Dodd-Frank Wall Street Reform and Consumer Protection Act (2010) strengthened financial regulations and consumer protections.</w:t>
      </w:r>
    </w:p>
    <w:p w14:paraId="46DDBA49" w14:textId="77777777" w:rsidR="00416C64" w:rsidRPr="00416C64" w:rsidRDefault="00416C64" w:rsidP="007966CE">
      <w:pPr>
        <w:spacing w:after="0" w:line="240" w:lineRule="auto"/>
        <w:rPr>
          <w:rFonts w:ascii="Times New Roman" w:hAnsi="Times New Roman" w:cs="Times New Roman"/>
          <w:sz w:val="24"/>
          <w:szCs w:val="24"/>
        </w:rPr>
      </w:pPr>
    </w:p>
    <w:p w14:paraId="1ADF3AAF" w14:textId="620173E3" w:rsidR="007966CE" w:rsidRPr="00416C64" w:rsidRDefault="00416C64" w:rsidP="00416C64">
      <w:pPr>
        <w:pStyle w:val="ListParagraph"/>
        <w:numPr>
          <w:ilvl w:val="0"/>
          <w:numId w:val="26"/>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 xml:space="preserve">The </w:t>
      </w:r>
      <w:r w:rsidR="007966CE" w:rsidRPr="00416C64">
        <w:rPr>
          <w:rFonts w:ascii="Times New Roman" w:hAnsi="Times New Roman" w:cs="Times New Roman"/>
          <w:sz w:val="24"/>
          <w:szCs w:val="24"/>
        </w:rPr>
        <w:t>Sarbanes-Oxley Act (2002) improved corporate governance and financial reporting.</w:t>
      </w:r>
    </w:p>
    <w:p w14:paraId="2EC36B07" w14:textId="77777777" w:rsidR="00416C64" w:rsidRPr="00416C64" w:rsidRDefault="00416C64" w:rsidP="007966CE">
      <w:pPr>
        <w:spacing w:after="0" w:line="240" w:lineRule="auto"/>
        <w:rPr>
          <w:rFonts w:ascii="Times New Roman" w:hAnsi="Times New Roman" w:cs="Times New Roman"/>
          <w:sz w:val="24"/>
          <w:szCs w:val="24"/>
        </w:rPr>
      </w:pPr>
    </w:p>
    <w:p w14:paraId="00DB1C47" w14:textId="44289B78" w:rsidR="007966CE" w:rsidRDefault="007966CE" w:rsidP="007966CE">
      <w:pPr>
        <w:spacing w:after="0" w:line="240" w:lineRule="auto"/>
        <w:rPr>
          <w:rFonts w:ascii="Times New Roman" w:hAnsi="Times New Roman" w:cs="Times New Roman"/>
          <w:b/>
          <w:bCs/>
          <w:sz w:val="24"/>
          <w:szCs w:val="24"/>
        </w:rPr>
      </w:pPr>
      <w:r w:rsidRPr="00416C64">
        <w:rPr>
          <w:rFonts w:ascii="Times New Roman" w:hAnsi="Times New Roman" w:cs="Times New Roman"/>
          <w:b/>
          <w:bCs/>
          <w:sz w:val="24"/>
          <w:szCs w:val="24"/>
        </w:rPr>
        <w:t>Key statistics include:</w:t>
      </w:r>
    </w:p>
    <w:p w14:paraId="7CADAC00" w14:textId="77777777" w:rsidR="00416C64" w:rsidRPr="00416C64" w:rsidRDefault="00416C64" w:rsidP="007966CE">
      <w:pPr>
        <w:spacing w:after="0" w:line="240" w:lineRule="auto"/>
        <w:rPr>
          <w:rFonts w:ascii="Times New Roman" w:hAnsi="Times New Roman" w:cs="Times New Roman"/>
          <w:b/>
          <w:bCs/>
          <w:sz w:val="24"/>
          <w:szCs w:val="24"/>
        </w:rPr>
      </w:pPr>
    </w:p>
    <w:p w14:paraId="70D874F4" w14:textId="771F7292" w:rsidR="007966CE" w:rsidRPr="00416C64" w:rsidRDefault="007966CE" w:rsidP="00416C64">
      <w:pPr>
        <w:pStyle w:val="ListParagraph"/>
        <w:numPr>
          <w:ilvl w:val="0"/>
          <w:numId w:val="27"/>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434 new enforcement actions in fiscal year 2021</w:t>
      </w:r>
    </w:p>
    <w:p w14:paraId="6ED2B308" w14:textId="77777777" w:rsidR="00416C64" w:rsidRPr="00416C64" w:rsidRDefault="00416C64" w:rsidP="007966CE">
      <w:pPr>
        <w:spacing w:after="0" w:line="240" w:lineRule="auto"/>
        <w:rPr>
          <w:rFonts w:ascii="Times New Roman" w:hAnsi="Times New Roman" w:cs="Times New Roman"/>
          <w:sz w:val="24"/>
          <w:szCs w:val="24"/>
        </w:rPr>
      </w:pPr>
    </w:p>
    <w:p w14:paraId="3B0BB871" w14:textId="3F4218F1" w:rsidR="007966CE" w:rsidRPr="00416C64" w:rsidRDefault="007966CE" w:rsidP="00416C64">
      <w:pPr>
        <w:pStyle w:val="ListParagraph"/>
        <w:numPr>
          <w:ilvl w:val="0"/>
          <w:numId w:val="27"/>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Over 50 rules proposed or adopted to implement Dodd-Frank</w:t>
      </w:r>
    </w:p>
    <w:p w14:paraId="258FC1E4" w14:textId="77777777" w:rsidR="00416C64" w:rsidRPr="00416C64" w:rsidRDefault="00416C64" w:rsidP="007966CE">
      <w:pPr>
        <w:spacing w:after="0" w:line="240" w:lineRule="auto"/>
        <w:rPr>
          <w:rFonts w:ascii="Times New Roman" w:hAnsi="Times New Roman" w:cs="Times New Roman"/>
          <w:sz w:val="24"/>
          <w:szCs w:val="24"/>
        </w:rPr>
      </w:pPr>
    </w:p>
    <w:p w14:paraId="230EA765" w14:textId="77777777" w:rsidR="00416C64" w:rsidRPr="00416C64" w:rsidRDefault="007966CE" w:rsidP="00416C64">
      <w:pPr>
        <w:pStyle w:val="ListParagraph"/>
        <w:numPr>
          <w:ilvl w:val="0"/>
          <w:numId w:val="27"/>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13,941 investment adviser firms registered with the SEC, managing over $110 trillion in assets</w:t>
      </w:r>
    </w:p>
    <w:p w14:paraId="126B231A" w14:textId="77777777" w:rsidR="00416C64" w:rsidRDefault="00416C64" w:rsidP="007966CE">
      <w:pPr>
        <w:spacing w:after="0" w:line="240" w:lineRule="auto"/>
        <w:rPr>
          <w:rFonts w:ascii="Times New Roman" w:hAnsi="Times New Roman" w:cs="Times New Roman"/>
          <w:sz w:val="24"/>
          <w:szCs w:val="24"/>
        </w:rPr>
      </w:pPr>
    </w:p>
    <w:p w14:paraId="2AA2692D" w14:textId="23377EF8" w:rsidR="007966CE" w:rsidRPr="00416C64" w:rsidRDefault="007966CE" w:rsidP="00416C64">
      <w:pPr>
        <w:pStyle w:val="ListParagraph"/>
        <w:numPr>
          <w:ilvl w:val="0"/>
          <w:numId w:val="27"/>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FINRA received 5,755 tips, complaints, and referrals from the SEC in 2021</w:t>
      </w:r>
    </w:p>
    <w:p w14:paraId="11E54C1C" w14:textId="77777777" w:rsidR="00416C64" w:rsidRPr="00416C64" w:rsidRDefault="00416C64" w:rsidP="007966CE">
      <w:pPr>
        <w:spacing w:after="0" w:line="240" w:lineRule="auto"/>
        <w:rPr>
          <w:rFonts w:ascii="Times New Roman" w:hAnsi="Times New Roman" w:cs="Times New Roman"/>
          <w:sz w:val="24"/>
          <w:szCs w:val="24"/>
        </w:rPr>
      </w:pPr>
    </w:p>
    <w:p w14:paraId="33A9AA9B" w14:textId="60627EB6" w:rsidR="007966CE" w:rsidRPr="00416C64" w:rsidRDefault="007966CE" w:rsidP="00416C64">
      <w:pPr>
        <w:pStyle w:val="ListParagraph"/>
        <w:numPr>
          <w:ilvl w:val="0"/>
          <w:numId w:val="27"/>
        </w:numPr>
        <w:spacing w:after="0" w:line="240" w:lineRule="auto"/>
        <w:rPr>
          <w:rFonts w:ascii="Times New Roman" w:hAnsi="Times New Roman" w:cs="Times New Roman"/>
          <w:sz w:val="24"/>
          <w:szCs w:val="24"/>
        </w:rPr>
      </w:pPr>
      <w:r w:rsidRPr="00416C64">
        <w:rPr>
          <w:rFonts w:ascii="Times New Roman" w:hAnsi="Times New Roman" w:cs="Times New Roman"/>
          <w:sz w:val="24"/>
          <w:szCs w:val="24"/>
        </w:rPr>
        <w:t>SEC and Federal Reserve signed a memorandum of understanding in 2019 to enhance coordination and information sharing</w:t>
      </w:r>
    </w:p>
    <w:sectPr w:rsidR="007966CE" w:rsidRPr="00416C64" w:rsidSect="004279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31CE"/>
    <w:multiLevelType w:val="multilevel"/>
    <w:tmpl w:val="EB362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7FF8"/>
    <w:multiLevelType w:val="hybridMultilevel"/>
    <w:tmpl w:val="5FAA9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E0CB3"/>
    <w:multiLevelType w:val="hybridMultilevel"/>
    <w:tmpl w:val="C1EAE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4E5E"/>
    <w:multiLevelType w:val="hybridMultilevel"/>
    <w:tmpl w:val="7EA85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B199D"/>
    <w:multiLevelType w:val="hybridMultilevel"/>
    <w:tmpl w:val="9EEC7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6C3EBB"/>
    <w:multiLevelType w:val="hybridMultilevel"/>
    <w:tmpl w:val="772C7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03531E"/>
    <w:multiLevelType w:val="multilevel"/>
    <w:tmpl w:val="E048C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B6B84"/>
    <w:multiLevelType w:val="hybridMultilevel"/>
    <w:tmpl w:val="F322F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F26BD8"/>
    <w:multiLevelType w:val="multilevel"/>
    <w:tmpl w:val="2DB2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13A02"/>
    <w:multiLevelType w:val="multilevel"/>
    <w:tmpl w:val="1C787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205CD"/>
    <w:multiLevelType w:val="multilevel"/>
    <w:tmpl w:val="78AE2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17F6F"/>
    <w:multiLevelType w:val="multilevel"/>
    <w:tmpl w:val="1E86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F5AF2"/>
    <w:multiLevelType w:val="hybridMultilevel"/>
    <w:tmpl w:val="96F84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9F79F5"/>
    <w:multiLevelType w:val="hybridMultilevel"/>
    <w:tmpl w:val="1C4292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7E08AD"/>
    <w:multiLevelType w:val="hybridMultilevel"/>
    <w:tmpl w:val="142A1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CF0011"/>
    <w:multiLevelType w:val="hybridMultilevel"/>
    <w:tmpl w:val="7E5C0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8E0EFA"/>
    <w:multiLevelType w:val="hybridMultilevel"/>
    <w:tmpl w:val="85324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236007"/>
    <w:multiLevelType w:val="multilevel"/>
    <w:tmpl w:val="6440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81811"/>
    <w:multiLevelType w:val="hybridMultilevel"/>
    <w:tmpl w:val="1696C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4C260E"/>
    <w:multiLevelType w:val="hybridMultilevel"/>
    <w:tmpl w:val="24BA6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6650CE"/>
    <w:multiLevelType w:val="multilevel"/>
    <w:tmpl w:val="628AA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96F1F"/>
    <w:multiLevelType w:val="hybridMultilevel"/>
    <w:tmpl w:val="839A5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A1CEB"/>
    <w:multiLevelType w:val="hybridMultilevel"/>
    <w:tmpl w:val="41E20B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72682A"/>
    <w:multiLevelType w:val="hybridMultilevel"/>
    <w:tmpl w:val="CC86A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3453A5"/>
    <w:multiLevelType w:val="hybridMultilevel"/>
    <w:tmpl w:val="3426D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690019"/>
    <w:multiLevelType w:val="hybridMultilevel"/>
    <w:tmpl w:val="EA4E5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671A7F"/>
    <w:multiLevelType w:val="hybridMultilevel"/>
    <w:tmpl w:val="880CB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983687">
    <w:abstractNumId w:val="20"/>
  </w:num>
  <w:num w:numId="2" w16cid:durableId="781418138">
    <w:abstractNumId w:val="12"/>
  </w:num>
  <w:num w:numId="3" w16cid:durableId="2054379394">
    <w:abstractNumId w:val="17"/>
  </w:num>
  <w:num w:numId="4" w16cid:durableId="108748432">
    <w:abstractNumId w:val="24"/>
  </w:num>
  <w:num w:numId="5" w16cid:durableId="1469473557">
    <w:abstractNumId w:val="25"/>
  </w:num>
  <w:num w:numId="6" w16cid:durableId="2013793109">
    <w:abstractNumId w:val="19"/>
  </w:num>
  <w:num w:numId="7" w16cid:durableId="793599317">
    <w:abstractNumId w:val="15"/>
  </w:num>
  <w:num w:numId="8" w16cid:durableId="2121993357">
    <w:abstractNumId w:val="11"/>
  </w:num>
  <w:num w:numId="9" w16cid:durableId="1837453059">
    <w:abstractNumId w:val="8"/>
  </w:num>
  <w:num w:numId="10" w16cid:durableId="1778987213">
    <w:abstractNumId w:val="0"/>
  </w:num>
  <w:num w:numId="11" w16cid:durableId="604507185">
    <w:abstractNumId w:val="22"/>
  </w:num>
  <w:num w:numId="12" w16cid:durableId="1087507637">
    <w:abstractNumId w:val="14"/>
  </w:num>
  <w:num w:numId="13" w16cid:durableId="1869902673">
    <w:abstractNumId w:val="16"/>
  </w:num>
  <w:num w:numId="14" w16cid:durableId="1456606927">
    <w:abstractNumId w:val="13"/>
  </w:num>
  <w:num w:numId="15" w16cid:durableId="2137409537">
    <w:abstractNumId w:val="3"/>
  </w:num>
  <w:num w:numId="16" w16cid:durableId="144200896">
    <w:abstractNumId w:val="9"/>
  </w:num>
  <w:num w:numId="17" w16cid:durableId="712313080">
    <w:abstractNumId w:val="6"/>
  </w:num>
  <w:num w:numId="18" w16cid:durableId="2042973015">
    <w:abstractNumId w:val="5"/>
  </w:num>
  <w:num w:numId="19" w16cid:durableId="171721131">
    <w:abstractNumId w:val="26"/>
  </w:num>
  <w:num w:numId="20" w16cid:durableId="1183393777">
    <w:abstractNumId w:val="10"/>
  </w:num>
  <w:num w:numId="21" w16cid:durableId="1814175864">
    <w:abstractNumId w:val="18"/>
  </w:num>
  <w:num w:numId="22" w16cid:durableId="823087792">
    <w:abstractNumId w:val="21"/>
  </w:num>
  <w:num w:numId="23" w16cid:durableId="9651415">
    <w:abstractNumId w:val="7"/>
  </w:num>
  <w:num w:numId="24" w16cid:durableId="348799183">
    <w:abstractNumId w:val="4"/>
  </w:num>
  <w:num w:numId="25" w16cid:durableId="381639449">
    <w:abstractNumId w:val="1"/>
  </w:num>
  <w:num w:numId="26" w16cid:durableId="1160849843">
    <w:abstractNumId w:val="23"/>
  </w:num>
  <w:num w:numId="27" w16cid:durableId="1220093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26"/>
    <w:rsid w:val="00153A5A"/>
    <w:rsid w:val="001A026B"/>
    <w:rsid w:val="0027225E"/>
    <w:rsid w:val="002927F2"/>
    <w:rsid w:val="002B096E"/>
    <w:rsid w:val="00307D99"/>
    <w:rsid w:val="00311FE0"/>
    <w:rsid w:val="003C3EA5"/>
    <w:rsid w:val="00416C64"/>
    <w:rsid w:val="0042792B"/>
    <w:rsid w:val="00573026"/>
    <w:rsid w:val="006B2802"/>
    <w:rsid w:val="00724150"/>
    <w:rsid w:val="007901CE"/>
    <w:rsid w:val="007966CE"/>
    <w:rsid w:val="009925DD"/>
    <w:rsid w:val="009E6484"/>
    <w:rsid w:val="00AC7754"/>
    <w:rsid w:val="00BB5BDC"/>
    <w:rsid w:val="00C128A1"/>
    <w:rsid w:val="00C233A3"/>
    <w:rsid w:val="00DB07C7"/>
    <w:rsid w:val="00F80B46"/>
    <w:rsid w:val="00FE0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AAA31"/>
  <w15:chartTrackingRefBased/>
  <w15:docId w15:val="{3CFCE311-F55B-491A-8E73-8BC4FE50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7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026"/>
    <w:rPr>
      <w:b/>
      <w:bCs/>
    </w:rPr>
  </w:style>
  <w:style w:type="character" w:customStyle="1" w:styleId="whitespace-nowrap">
    <w:name w:val="whitespace-nowrap"/>
    <w:basedOn w:val="DefaultParagraphFont"/>
    <w:rsid w:val="00573026"/>
  </w:style>
  <w:style w:type="paragraph" w:styleId="ListParagraph">
    <w:name w:val="List Paragraph"/>
    <w:basedOn w:val="Normal"/>
    <w:uiPriority w:val="34"/>
    <w:qFormat/>
    <w:rsid w:val="00573026"/>
    <w:pPr>
      <w:ind w:left="720"/>
      <w:contextualSpacing/>
    </w:pPr>
  </w:style>
  <w:style w:type="character" w:customStyle="1" w:styleId="Heading2Char">
    <w:name w:val="Heading 2 Char"/>
    <w:basedOn w:val="DefaultParagraphFont"/>
    <w:link w:val="Heading2"/>
    <w:uiPriority w:val="9"/>
    <w:rsid w:val="00AC7754"/>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79691">
      <w:bodyDiv w:val="1"/>
      <w:marLeft w:val="0"/>
      <w:marRight w:val="0"/>
      <w:marTop w:val="0"/>
      <w:marBottom w:val="0"/>
      <w:divBdr>
        <w:top w:val="none" w:sz="0" w:space="0" w:color="auto"/>
        <w:left w:val="none" w:sz="0" w:space="0" w:color="auto"/>
        <w:bottom w:val="none" w:sz="0" w:space="0" w:color="auto"/>
        <w:right w:val="none" w:sz="0" w:space="0" w:color="auto"/>
      </w:divBdr>
      <w:divsChild>
        <w:div w:id="468592541">
          <w:marLeft w:val="0"/>
          <w:marRight w:val="0"/>
          <w:marTop w:val="0"/>
          <w:marBottom w:val="0"/>
          <w:divBdr>
            <w:top w:val="single" w:sz="2" w:space="0" w:color="E5E7EB"/>
            <w:left w:val="single" w:sz="2" w:space="0" w:color="E5E7EB"/>
            <w:bottom w:val="single" w:sz="2" w:space="0" w:color="E5E7EB"/>
            <w:right w:val="single" w:sz="2" w:space="0" w:color="E5E7EB"/>
          </w:divBdr>
          <w:divsChild>
            <w:div w:id="1564174427">
              <w:marLeft w:val="0"/>
              <w:marRight w:val="0"/>
              <w:marTop w:val="0"/>
              <w:marBottom w:val="0"/>
              <w:divBdr>
                <w:top w:val="none" w:sz="0" w:space="0" w:color="auto"/>
                <w:left w:val="none" w:sz="0" w:space="0" w:color="auto"/>
                <w:bottom w:val="none" w:sz="0" w:space="0" w:color="auto"/>
                <w:right w:val="none" w:sz="0" w:space="0" w:color="auto"/>
              </w:divBdr>
              <w:divsChild>
                <w:div w:id="636184740">
                  <w:marLeft w:val="0"/>
                  <w:marRight w:val="0"/>
                  <w:marTop w:val="0"/>
                  <w:marBottom w:val="0"/>
                  <w:divBdr>
                    <w:top w:val="none" w:sz="0" w:space="0" w:color="auto"/>
                    <w:left w:val="none" w:sz="0" w:space="0" w:color="auto"/>
                    <w:bottom w:val="none" w:sz="0" w:space="0" w:color="auto"/>
                    <w:right w:val="none" w:sz="0" w:space="0" w:color="auto"/>
                  </w:divBdr>
                  <w:divsChild>
                    <w:div w:id="390810186">
                      <w:marLeft w:val="0"/>
                      <w:marRight w:val="0"/>
                      <w:marTop w:val="0"/>
                      <w:marBottom w:val="0"/>
                      <w:divBdr>
                        <w:top w:val="single" w:sz="2" w:space="0" w:color="E5E7EB"/>
                        <w:left w:val="single" w:sz="2" w:space="0" w:color="E5E7EB"/>
                        <w:bottom w:val="single" w:sz="2" w:space="0" w:color="E5E7EB"/>
                        <w:right w:val="single" w:sz="2" w:space="0" w:color="E5E7EB"/>
                      </w:divBdr>
                      <w:divsChild>
                        <w:div w:id="848449752">
                          <w:marLeft w:val="0"/>
                          <w:marRight w:val="0"/>
                          <w:marTop w:val="0"/>
                          <w:marBottom w:val="0"/>
                          <w:divBdr>
                            <w:top w:val="single" w:sz="2" w:space="0" w:color="E5E7EB"/>
                            <w:left w:val="single" w:sz="2" w:space="0" w:color="E5E7EB"/>
                            <w:bottom w:val="single" w:sz="2" w:space="0" w:color="E5E7EB"/>
                            <w:right w:val="single" w:sz="2" w:space="0" w:color="E5E7EB"/>
                          </w:divBdr>
                          <w:divsChild>
                            <w:div w:id="1984046404">
                              <w:marLeft w:val="0"/>
                              <w:marRight w:val="0"/>
                              <w:marTop w:val="0"/>
                              <w:marBottom w:val="0"/>
                              <w:divBdr>
                                <w:top w:val="single" w:sz="2" w:space="0" w:color="E5E7EB"/>
                                <w:left w:val="single" w:sz="2" w:space="0" w:color="E5E7EB"/>
                                <w:bottom w:val="single" w:sz="2" w:space="0" w:color="E5E7EB"/>
                                <w:right w:val="single" w:sz="2" w:space="0" w:color="E5E7EB"/>
                              </w:divBdr>
                              <w:divsChild>
                                <w:div w:id="1484660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0932530">
                  <w:marLeft w:val="0"/>
                  <w:marRight w:val="0"/>
                  <w:marTop w:val="120"/>
                  <w:marBottom w:val="0"/>
                  <w:divBdr>
                    <w:top w:val="none" w:sz="0" w:space="0" w:color="auto"/>
                    <w:left w:val="none" w:sz="0" w:space="0" w:color="auto"/>
                    <w:bottom w:val="none" w:sz="0" w:space="0" w:color="auto"/>
                    <w:right w:val="none" w:sz="0" w:space="0" w:color="auto"/>
                  </w:divBdr>
                  <w:divsChild>
                    <w:div w:id="1441413675">
                      <w:marLeft w:val="-120"/>
                      <w:marRight w:val="0"/>
                      <w:marTop w:val="0"/>
                      <w:marBottom w:val="0"/>
                      <w:divBdr>
                        <w:top w:val="single" w:sz="2" w:space="0" w:color="E5E7EB"/>
                        <w:left w:val="single" w:sz="2" w:space="0" w:color="E5E7EB"/>
                        <w:bottom w:val="single" w:sz="2" w:space="0" w:color="E5E7EB"/>
                        <w:right w:val="single" w:sz="2" w:space="0" w:color="E5E7EB"/>
                      </w:divBdr>
                      <w:divsChild>
                        <w:div w:id="696851486">
                          <w:marLeft w:val="0"/>
                          <w:marRight w:val="0"/>
                          <w:marTop w:val="0"/>
                          <w:marBottom w:val="0"/>
                          <w:divBdr>
                            <w:top w:val="single" w:sz="2" w:space="0" w:color="E5E7EB"/>
                            <w:left w:val="single" w:sz="2" w:space="0" w:color="E5E7EB"/>
                            <w:bottom w:val="single" w:sz="2" w:space="0" w:color="E5E7EB"/>
                            <w:right w:val="single" w:sz="2" w:space="0" w:color="E5E7EB"/>
                          </w:divBdr>
                          <w:divsChild>
                            <w:div w:id="196183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330660">
                          <w:marLeft w:val="0"/>
                          <w:marRight w:val="0"/>
                          <w:marTop w:val="0"/>
                          <w:marBottom w:val="0"/>
                          <w:divBdr>
                            <w:top w:val="single" w:sz="2" w:space="0" w:color="E5E7EB"/>
                            <w:left w:val="single" w:sz="2" w:space="0" w:color="E5E7EB"/>
                            <w:bottom w:val="single" w:sz="2" w:space="0" w:color="E5E7EB"/>
                            <w:right w:val="single" w:sz="2" w:space="0" w:color="E5E7EB"/>
                          </w:divBdr>
                          <w:divsChild>
                            <w:div w:id="794909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2262046">
      <w:bodyDiv w:val="1"/>
      <w:marLeft w:val="0"/>
      <w:marRight w:val="0"/>
      <w:marTop w:val="0"/>
      <w:marBottom w:val="0"/>
      <w:divBdr>
        <w:top w:val="none" w:sz="0" w:space="0" w:color="auto"/>
        <w:left w:val="none" w:sz="0" w:space="0" w:color="auto"/>
        <w:bottom w:val="none" w:sz="0" w:space="0" w:color="auto"/>
        <w:right w:val="none" w:sz="0" w:space="0" w:color="auto"/>
      </w:divBdr>
    </w:div>
    <w:div w:id="1223102926">
      <w:bodyDiv w:val="1"/>
      <w:marLeft w:val="0"/>
      <w:marRight w:val="0"/>
      <w:marTop w:val="0"/>
      <w:marBottom w:val="0"/>
      <w:divBdr>
        <w:top w:val="none" w:sz="0" w:space="0" w:color="auto"/>
        <w:left w:val="none" w:sz="0" w:space="0" w:color="auto"/>
        <w:bottom w:val="none" w:sz="0" w:space="0" w:color="auto"/>
        <w:right w:val="none" w:sz="0" w:space="0" w:color="auto"/>
      </w:divBdr>
    </w:div>
    <w:div w:id="1665820257">
      <w:bodyDiv w:val="1"/>
      <w:marLeft w:val="0"/>
      <w:marRight w:val="0"/>
      <w:marTop w:val="0"/>
      <w:marBottom w:val="0"/>
      <w:divBdr>
        <w:top w:val="none" w:sz="0" w:space="0" w:color="auto"/>
        <w:left w:val="none" w:sz="0" w:space="0" w:color="auto"/>
        <w:bottom w:val="none" w:sz="0" w:space="0" w:color="auto"/>
        <w:right w:val="none" w:sz="0" w:space="0" w:color="auto"/>
      </w:divBdr>
    </w:div>
    <w:div w:id="1821343460">
      <w:bodyDiv w:val="1"/>
      <w:marLeft w:val="0"/>
      <w:marRight w:val="0"/>
      <w:marTop w:val="0"/>
      <w:marBottom w:val="0"/>
      <w:divBdr>
        <w:top w:val="none" w:sz="0" w:space="0" w:color="auto"/>
        <w:left w:val="none" w:sz="0" w:space="0" w:color="auto"/>
        <w:bottom w:val="none" w:sz="0" w:space="0" w:color="auto"/>
        <w:right w:val="none" w:sz="0" w:space="0" w:color="auto"/>
      </w:divBdr>
    </w:div>
    <w:div w:id="1822037382">
      <w:bodyDiv w:val="1"/>
      <w:marLeft w:val="0"/>
      <w:marRight w:val="0"/>
      <w:marTop w:val="0"/>
      <w:marBottom w:val="0"/>
      <w:divBdr>
        <w:top w:val="none" w:sz="0" w:space="0" w:color="auto"/>
        <w:left w:val="none" w:sz="0" w:space="0" w:color="auto"/>
        <w:bottom w:val="none" w:sz="0" w:space="0" w:color="auto"/>
        <w:right w:val="none" w:sz="0" w:space="0" w:color="auto"/>
      </w:divBdr>
    </w:div>
    <w:div w:id="1823693769">
      <w:bodyDiv w:val="1"/>
      <w:marLeft w:val="0"/>
      <w:marRight w:val="0"/>
      <w:marTop w:val="0"/>
      <w:marBottom w:val="0"/>
      <w:divBdr>
        <w:top w:val="none" w:sz="0" w:space="0" w:color="auto"/>
        <w:left w:val="none" w:sz="0" w:space="0" w:color="auto"/>
        <w:bottom w:val="none" w:sz="0" w:space="0" w:color="auto"/>
        <w:right w:val="none" w:sz="0" w:space="0" w:color="auto"/>
      </w:divBdr>
      <w:divsChild>
        <w:div w:id="1322925016">
          <w:marLeft w:val="0"/>
          <w:marRight w:val="0"/>
          <w:marTop w:val="0"/>
          <w:marBottom w:val="0"/>
          <w:divBdr>
            <w:top w:val="single" w:sz="2" w:space="0" w:color="E5E7EB"/>
            <w:left w:val="single" w:sz="2" w:space="0" w:color="E5E7EB"/>
            <w:bottom w:val="single" w:sz="2" w:space="0" w:color="E5E7EB"/>
            <w:right w:val="single" w:sz="2" w:space="0" w:color="E5E7EB"/>
          </w:divBdr>
          <w:divsChild>
            <w:div w:id="1562473545">
              <w:marLeft w:val="0"/>
              <w:marRight w:val="0"/>
              <w:marTop w:val="0"/>
              <w:marBottom w:val="0"/>
              <w:divBdr>
                <w:top w:val="none" w:sz="0" w:space="0" w:color="auto"/>
                <w:left w:val="none" w:sz="0" w:space="0" w:color="auto"/>
                <w:bottom w:val="none" w:sz="0" w:space="0" w:color="auto"/>
                <w:right w:val="none" w:sz="0" w:space="0" w:color="auto"/>
              </w:divBdr>
              <w:divsChild>
                <w:div w:id="1958289021">
                  <w:marLeft w:val="0"/>
                  <w:marRight w:val="0"/>
                  <w:marTop w:val="0"/>
                  <w:marBottom w:val="0"/>
                  <w:divBdr>
                    <w:top w:val="none" w:sz="0" w:space="0" w:color="auto"/>
                    <w:left w:val="none" w:sz="0" w:space="0" w:color="auto"/>
                    <w:bottom w:val="none" w:sz="0" w:space="0" w:color="auto"/>
                    <w:right w:val="none" w:sz="0" w:space="0" w:color="auto"/>
                  </w:divBdr>
                  <w:divsChild>
                    <w:div w:id="923104587">
                      <w:marLeft w:val="0"/>
                      <w:marRight w:val="0"/>
                      <w:marTop w:val="0"/>
                      <w:marBottom w:val="0"/>
                      <w:divBdr>
                        <w:top w:val="single" w:sz="2" w:space="0" w:color="E5E7EB"/>
                        <w:left w:val="single" w:sz="2" w:space="0" w:color="E5E7EB"/>
                        <w:bottom w:val="single" w:sz="2" w:space="0" w:color="E5E7EB"/>
                        <w:right w:val="single" w:sz="2" w:space="0" w:color="E5E7EB"/>
                      </w:divBdr>
                      <w:divsChild>
                        <w:div w:id="572423895">
                          <w:marLeft w:val="0"/>
                          <w:marRight w:val="0"/>
                          <w:marTop w:val="0"/>
                          <w:marBottom w:val="0"/>
                          <w:divBdr>
                            <w:top w:val="single" w:sz="2" w:space="0" w:color="E5E7EB"/>
                            <w:left w:val="single" w:sz="2" w:space="0" w:color="E5E7EB"/>
                            <w:bottom w:val="single" w:sz="2" w:space="0" w:color="E5E7EB"/>
                            <w:right w:val="single" w:sz="2" w:space="0" w:color="E5E7EB"/>
                          </w:divBdr>
                          <w:divsChild>
                            <w:div w:id="642854899">
                              <w:marLeft w:val="0"/>
                              <w:marRight w:val="0"/>
                              <w:marTop w:val="0"/>
                              <w:marBottom w:val="0"/>
                              <w:divBdr>
                                <w:top w:val="single" w:sz="2" w:space="0" w:color="E5E7EB"/>
                                <w:left w:val="single" w:sz="2" w:space="0" w:color="E5E7EB"/>
                                <w:bottom w:val="single" w:sz="2" w:space="0" w:color="E5E7EB"/>
                                <w:right w:val="single" w:sz="2" w:space="0" w:color="E5E7EB"/>
                              </w:divBdr>
                              <w:divsChild>
                                <w:div w:id="1606688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2252771">
                  <w:marLeft w:val="0"/>
                  <w:marRight w:val="0"/>
                  <w:marTop w:val="120"/>
                  <w:marBottom w:val="0"/>
                  <w:divBdr>
                    <w:top w:val="none" w:sz="0" w:space="0" w:color="auto"/>
                    <w:left w:val="none" w:sz="0" w:space="0" w:color="auto"/>
                    <w:bottom w:val="none" w:sz="0" w:space="0" w:color="auto"/>
                    <w:right w:val="none" w:sz="0" w:space="0" w:color="auto"/>
                  </w:divBdr>
                  <w:divsChild>
                    <w:div w:id="1115440632">
                      <w:marLeft w:val="-120"/>
                      <w:marRight w:val="0"/>
                      <w:marTop w:val="0"/>
                      <w:marBottom w:val="0"/>
                      <w:divBdr>
                        <w:top w:val="single" w:sz="2" w:space="0" w:color="E5E7EB"/>
                        <w:left w:val="single" w:sz="2" w:space="0" w:color="E5E7EB"/>
                        <w:bottom w:val="single" w:sz="2" w:space="0" w:color="E5E7EB"/>
                        <w:right w:val="single" w:sz="2" w:space="0" w:color="E5E7EB"/>
                      </w:divBdr>
                      <w:divsChild>
                        <w:div w:id="2112583491">
                          <w:marLeft w:val="0"/>
                          <w:marRight w:val="0"/>
                          <w:marTop w:val="0"/>
                          <w:marBottom w:val="0"/>
                          <w:divBdr>
                            <w:top w:val="single" w:sz="2" w:space="0" w:color="E5E7EB"/>
                            <w:left w:val="single" w:sz="2" w:space="0" w:color="E5E7EB"/>
                            <w:bottom w:val="single" w:sz="2" w:space="0" w:color="E5E7EB"/>
                            <w:right w:val="single" w:sz="2" w:space="0" w:color="E5E7EB"/>
                          </w:divBdr>
                          <w:divsChild>
                            <w:div w:id="727804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9723973">
                          <w:marLeft w:val="0"/>
                          <w:marRight w:val="0"/>
                          <w:marTop w:val="0"/>
                          <w:marBottom w:val="0"/>
                          <w:divBdr>
                            <w:top w:val="single" w:sz="2" w:space="0" w:color="E5E7EB"/>
                            <w:left w:val="single" w:sz="2" w:space="0" w:color="E5E7EB"/>
                            <w:bottom w:val="single" w:sz="2" w:space="0" w:color="E5E7EB"/>
                            <w:right w:val="single" w:sz="2" w:space="0" w:color="E5E7EB"/>
                          </w:divBdr>
                          <w:divsChild>
                            <w:div w:id="1966698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3007903">
      <w:bodyDiv w:val="1"/>
      <w:marLeft w:val="0"/>
      <w:marRight w:val="0"/>
      <w:marTop w:val="0"/>
      <w:marBottom w:val="0"/>
      <w:divBdr>
        <w:top w:val="none" w:sz="0" w:space="0" w:color="auto"/>
        <w:left w:val="none" w:sz="0" w:space="0" w:color="auto"/>
        <w:bottom w:val="none" w:sz="0" w:space="0" w:color="auto"/>
        <w:right w:val="none" w:sz="0" w:space="0" w:color="auto"/>
      </w:divBdr>
    </w:div>
    <w:div w:id="20621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897</Words>
  <Characters>5445</Characters>
  <Application>Microsoft Office Word</Application>
  <DocSecurity>0</DocSecurity>
  <Lines>173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20</cp:revision>
  <dcterms:created xsi:type="dcterms:W3CDTF">2024-06-13T06:00:00Z</dcterms:created>
  <dcterms:modified xsi:type="dcterms:W3CDTF">2024-06-13T07:35:00Z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93be89ef-c199-415a-bebc-97798935ce22</vt:lpwstr>
  </property>
</Properties>
</file>