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59091" w14:textId="77777777" w:rsidR="00D773B8" w:rsidRPr="006223A0" w:rsidRDefault="00D773B8" w:rsidP="006223A0">
      <w:pPr>
        <w:spacing w:line="360" w:lineRule="auto"/>
        <w:jc w:val="center"/>
        <w:rPr>
          <w:rFonts w:ascii="Times New Roman" w:hAnsi="Times New Roman" w:cs="Times New Roman"/>
          <w:b/>
          <w:bCs/>
          <w:sz w:val="32"/>
          <w:szCs w:val="32"/>
          <w:u w:val="single"/>
        </w:rPr>
      </w:pPr>
      <w:r w:rsidRPr="006223A0">
        <w:rPr>
          <w:rFonts w:ascii="Times New Roman" w:hAnsi="Times New Roman" w:cs="Times New Roman"/>
          <w:b/>
          <w:bCs/>
          <w:sz w:val="32"/>
          <w:szCs w:val="32"/>
          <w:u w:val="single"/>
        </w:rPr>
        <w:t>T</w:t>
      </w:r>
      <w:r w:rsidRPr="006223A0">
        <w:rPr>
          <w:rFonts w:ascii="Times New Roman" w:hAnsi="Times New Roman" w:cs="Times New Roman"/>
          <w:b/>
          <w:bCs/>
          <w:sz w:val="32"/>
          <w:szCs w:val="32"/>
          <w:u w:val="single"/>
        </w:rPr>
        <w:t xml:space="preserve">ypes of </w:t>
      </w:r>
      <w:r w:rsidR="002409C6" w:rsidRPr="006223A0">
        <w:rPr>
          <w:rFonts w:ascii="Times New Roman" w:hAnsi="Times New Roman" w:cs="Times New Roman"/>
          <w:b/>
          <w:bCs/>
          <w:sz w:val="32"/>
          <w:szCs w:val="32"/>
          <w:u w:val="single"/>
        </w:rPr>
        <w:t xml:space="preserve">Banks in </w:t>
      </w:r>
      <w:r w:rsidR="00F459C6" w:rsidRPr="006223A0">
        <w:rPr>
          <w:rFonts w:ascii="Times New Roman" w:hAnsi="Times New Roman" w:cs="Times New Roman"/>
          <w:b/>
          <w:bCs/>
          <w:sz w:val="32"/>
          <w:szCs w:val="32"/>
          <w:u w:val="single"/>
        </w:rPr>
        <w:t xml:space="preserve">the </w:t>
      </w:r>
      <w:r w:rsidR="002409C6" w:rsidRPr="006223A0">
        <w:rPr>
          <w:rFonts w:ascii="Times New Roman" w:hAnsi="Times New Roman" w:cs="Times New Roman"/>
          <w:b/>
          <w:bCs/>
          <w:sz w:val="32"/>
          <w:szCs w:val="32"/>
          <w:u w:val="single"/>
        </w:rPr>
        <w:t xml:space="preserve">U.S. Banking </w:t>
      </w:r>
      <w:r w:rsidR="00F459C6" w:rsidRPr="006223A0">
        <w:rPr>
          <w:rFonts w:ascii="Times New Roman" w:hAnsi="Times New Roman" w:cs="Times New Roman"/>
          <w:b/>
          <w:bCs/>
          <w:sz w:val="32"/>
          <w:szCs w:val="32"/>
          <w:u w:val="single"/>
        </w:rPr>
        <w:t>System</w:t>
      </w:r>
    </w:p>
    <w:p w14:paraId="2117F407" w14:textId="77777777" w:rsidR="002409C6" w:rsidRPr="00077BFA" w:rsidRDefault="00D773B8" w:rsidP="006223A0">
      <w:pPr>
        <w:spacing w:line="360" w:lineRule="auto"/>
        <w:rPr>
          <w:rFonts w:ascii="Times New Roman" w:hAnsi="Times New Roman" w:cs="Times New Roman"/>
          <w:sz w:val="28"/>
          <w:szCs w:val="28"/>
          <w:u w:val="single"/>
        </w:rPr>
      </w:pPr>
      <w:r w:rsidRPr="00F459C6">
        <w:rPr>
          <w:rFonts w:ascii="Times New Roman" w:hAnsi="Times New Roman" w:cs="Times New Roman"/>
          <w:noProof/>
          <w:sz w:val="24"/>
          <w:szCs w:val="24"/>
        </w:rPr>
        <w:drawing>
          <wp:inline distT="0" distB="0" distL="0" distR="0" wp14:anchorId="7E03BAE3" wp14:editId="7025A174">
            <wp:extent cx="5463540" cy="3337560"/>
            <wp:effectExtent l="38100" t="0" r="60960" b="0"/>
            <wp:docPr id="71943265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2409C6" w:rsidRPr="00077BFA">
        <w:rPr>
          <w:rFonts w:ascii="Times New Roman" w:hAnsi="Times New Roman" w:cs="Times New Roman"/>
          <w:b/>
          <w:bCs/>
          <w:sz w:val="28"/>
          <w:szCs w:val="28"/>
          <w:u w:val="single"/>
        </w:rPr>
        <w:t>Commercial Banks</w:t>
      </w:r>
      <w:r w:rsidR="006223A0" w:rsidRPr="00077BFA">
        <w:rPr>
          <w:rFonts w:ascii="Times New Roman" w:hAnsi="Times New Roman" w:cs="Times New Roman"/>
          <w:b/>
          <w:bCs/>
          <w:sz w:val="28"/>
          <w:szCs w:val="28"/>
          <w:u w:val="single"/>
        </w:rPr>
        <w:t xml:space="preserve"> (National Banks)</w:t>
      </w:r>
    </w:p>
    <w:p w14:paraId="2EF972DB" w14:textId="77777777" w:rsidR="002409C6" w:rsidRPr="006223A0" w:rsidRDefault="002409C6" w:rsidP="006223A0">
      <w:pPr>
        <w:pStyle w:val="ListParagraph"/>
        <w:numPr>
          <w:ilvl w:val="0"/>
          <w:numId w:val="1"/>
        </w:numPr>
        <w:spacing w:line="360" w:lineRule="auto"/>
        <w:rPr>
          <w:rFonts w:ascii="Times New Roman" w:hAnsi="Times New Roman" w:cs="Times New Roman"/>
          <w:sz w:val="24"/>
          <w:szCs w:val="24"/>
        </w:rPr>
      </w:pPr>
      <w:r w:rsidRPr="006223A0">
        <w:rPr>
          <w:rFonts w:ascii="Times New Roman" w:hAnsi="Times New Roman" w:cs="Times New Roman"/>
          <w:sz w:val="24"/>
          <w:szCs w:val="24"/>
        </w:rPr>
        <w:t xml:space="preserve">These banks, such as community banks, accept deposits and offer business and consumer loans. </w:t>
      </w:r>
    </w:p>
    <w:p w14:paraId="32B80BE2" w14:textId="77777777" w:rsidR="002409C6" w:rsidRPr="006223A0" w:rsidRDefault="002409C6" w:rsidP="006223A0">
      <w:pPr>
        <w:pStyle w:val="ListParagraph"/>
        <w:numPr>
          <w:ilvl w:val="0"/>
          <w:numId w:val="1"/>
        </w:numPr>
        <w:spacing w:line="360" w:lineRule="auto"/>
        <w:rPr>
          <w:rFonts w:ascii="Times New Roman" w:hAnsi="Times New Roman" w:cs="Times New Roman"/>
          <w:sz w:val="24"/>
          <w:szCs w:val="24"/>
        </w:rPr>
      </w:pPr>
      <w:r w:rsidRPr="006223A0">
        <w:rPr>
          <w:rFonts w:ascii="Times New Roman" w:hAnsi="Times New Roman" w:cs="Times New Roman"/>
          <w:sz w:val="24"/>
          <w:szCs w:val="24"/>
        </w:rPr>
        <w:t>They provide services like checking and savings accounts, loans, and insurance services.</w:t>
      </w:r>
    </w:p>
    <w:p w14:paraId="59ACAC26" w14:textId="77777777" w:rsidR="002409C6" w:rsidRPr="00936DE1" w:rsidRDefault="002409C6" w:rsidP="006223A0">
      <w:pPr>
        <w:pStyle w:val="ListParagraph"/>
        <w:numPr>
          <w:ilvl w:val="0"/>
          <w:numId w:val="1"/>
        </w:numPr>
        <w:spacing w:line="360" w:lineRule="auto"/>
        <w:rPr>
          <w:rFonts w:ascii="Times New Roman" w:hAnsi="Times New Roman" w:cs="Times New Roman"/>
          <w:b/>
          <w:bCs/>
          <w:sz w:val="24"/>
          <w:szCs w:val="24"/>
        </w:rPr>
      </w:pPr>
      <w:r w:rsidRPr="006223A0">
        <w:rPr>
          <w:rFonts w:ascii="Times New Roman" w:hAnsi="Times New Roman" w:cs="Times New Roman"/>
          <w:sz w:val="24"/>
          <w:szCs w:val="24"/>
        </w:rPr>
        <w:t xml:space="preserve">Examples include commercial banks that are chartered by the state and insured by the </w:t>
      </w:r>
      <w:r w:rsidRPr="006223A0">
        <w:rPr>
          <w:rFonts w:ascii="Times New Roman" w:hAnsi="Times New Roman" w:cs="Times New Roman"/>
          <w:b/>
          <w:bCs/>
          <w:sz w:val="24"/>
          <w:szCs w:val="24"/>
        </w:rPr>
        <w:t>Federal Deposit Insurance Corporation (FDIC)</w:t>
      </w:r>
      <w:r w:rsidRPr="006223A0">
        <w:rPr>
          <w:rFonts w:ascii="Times New Roman" w:hAnsi="Times New Roman" w:cs="Times New Roman"/>
          <w:sz w:val="24"/>
          <w:szCs w:val="24"/>
        </w:rPr>
        <w:t xml:space="preserve"> and the </w:t>
      </w:r>
      <w:r w:rsidRPr="00936DE1">
        <w:rPr>
          <w:rFonts w:ascii="Times New Roman" w:hAnsi="Times New Roman" w:cs="Times New Roman"/>
          <w:b/>
          <w:bCs/>
          <w:sz w:val="24"/>
          <w:szCs w:val="24"/>
        </w:rPr>
        <w:t>Federal Reserve Bank.</w:t>
      </w:r>
    </w:p>
    <w:p w14:paraId="50551FD8" w14:textId="77777777" w:rsidR="006223A0" w:rsidRPr="00077BFA" w:rsidRDefault="006223A0" w:rsidP="006223A0">
      <w:pPr>
        <w:spacing w:line="360" w:lineRule="auto"/>
        <w:rPr>
          <w:rFonts w:ascii="Times New Roman" w:hAnsi="Times New Roman" w:cs="Times New Roman"/>
          <w:b/>
          <w:bCs/>
          <w:sz w:val="28"/>
          <w:szCs w:val="28"/>
          <w:u w:val="single"/>
        </w:rPr>
      </w:pPr>
      <w:r w:rsidRPr="00077BFA">
        <w:rPr>
          <w:rFonts w:ascii="Times New Roman" w:hAnsi="Times New Roman" w:cs="Times New Roman"/>
          <w:b/>
          <w:bCs/>
          <w:sz w:val="28"/>
          <w:szCs w:val="28"/>
          <w:u w:val="single"/>
        </w:rPr>
        <w:t>Sources of revenue</w:t>
      </w:r>
    </w:p>
    <w:p w14:paraId="6CB38CD7" w14:textId="77777777" w:rsidR="006223A0" w:rsidRPr="00936DE1" w:rsidRDefault="006223A0" w:rsidP="00936DE1">
      <w:pPr>
        <w:pStyle w:val="ListParagraph"/>
        <w:numPr>
          <w:ilvl w:val="0"/>
          <w:numId w:val="4"/>
        </w:numPr>
        <w:spacing w:after="0" w:line="360" w:lineRule="auto"/>
        <w:rPr>
          <w:rFonts w:ascii="Times New Roman" w:eastAsia="Times New Roman" w:hAnsi="Times New Roman" w:cs="Times New Roman"/>
          <w:b/>
          <w:bCs/>
          <w:kern w:val="0"/>
          <w:sz w:val="24"/>
          <w:szCs w:val="24"/>
          <w:lang w:eastAsia="en-IN"/>
          <w14:ligatures w14:val="none"/>
        </w:rPr>
      </w:pPr>
      <w:r w:rsidRPr="00936DE1">
        <w:rPr>
          <w:rFonts w:ascii="Times New Roman" w:eastAsia="Times New Roman" w:hAnsi="Times New Roman" w:cs="Times New Roman"/>
          <w:b/>
          <w:bCs/>
          <w:kern w:val="0"/>
          <w:sz w:val="24"/>
          <w:szCs w:val="24"/>
          <w:lang w:eastAsia="en-IN"/>
          <w14:ligatures w14:val="none"/>
        </w:rPr>
        <w:t>Interest Income</w:t>
      </w:r>
      <w:r w:rsidRPr="00936DE1">
        <w:rPr>
          <w:rFonts w:ascii="Times New Roman" w:eastAsia="Times New Roman" w:hAnsi="Times New Roman" w:cs="Times New Roman"/>
          <w:kern w:val="0"/>
          <w:sz w:val="24"/>
          <w:szCs w:val="24"/>
          <w:lang w:eastAsia="en-IN"/>
          <w14:ligatures w14:val="none"/>
        </w:rPr>
        <w:t xml:space="preserve">: For the top national banks (e.g., JPMorgan Chase, Bank of America, Wells Fargo), the combined interest income was approximately </w:t>
      </w:r>
      <w:r w:rsidRPr="00936DE1">
        <w:rPr>
          <w:rFonts w:ascii="Times New Roman" w:eastAsia="Times New Roman" w:hAnsi="Times New Roman" w:cs="Times New Roman"/>
          <w:b/>
          <w:bCs/>
          <w:kern w:val="0"/>
          <w:sz w:val="24"/>
          <w:szCs w:val="24"/>
          <w:lang w:eastAsia="en-IN"/>
          <w14:ligatures w14:val="none"/>
        </w:rPr>
        <w:t>$450 billion.</w:t>
      </w:r>
    </w:p>
    <w:p w14:paraId="3F2EF91C" w14:textId="77777777" w:rsidR="006223A0" w:rsidRPr="00936DE1" w:rsidRDefault="006223A0" w:rsidP="00936DE1">
      <w:pPr>
        <w:pStyle w:val="ListParagraph"/>
        <w:numPr>
          <w:ilvl w:val="0"/>
          <w:numId w:val="4"/>
        </w:numPr>
        <w:spacing w:after="0" w:line="360" w:lineRule="auto"/>
        <w:rPr>
          <w:rFonts w:ascii="Times New Roman" w:eastAsia="Times New Roman" w:hAnsi="Times New Roman" w:cs="Times New Roman"/>
          <w:b/>
          <w:bCs/>
          <w:kern w:val="0"/>
          <w:sz w:val="24"/>
          <w:szCs w:val="24"/>
          <w:lang w:eastAsia="en-IN"/>
          <w14:ligatures w14:val="none"/>
        </w:rPr>
      </w:pPr>
      <w:r w:rsidRPr="00936DE1">
        <w:rPr>
          <w:rFonts w:ascii="Times New Roman" w:eastAsia="Times New Roman" w:hAnsi="Times New Roman" w:cs="Times New Roman"/>
          <w:b/>
          <w:bCs/>
          <w:kern w:val="0"/>
          <w:sz w:val="24"/>
          <w:szCs w:val="24"/>
          <w:lang w:eastAsia="en-IN"/>
          <w14:ligatures w14:val="none"/>
        </w:rPr>
        <w:t>Non-Interest Income</w:t>
      </w:r>
      <w:r w:rsidRPr="00936DE1">
        <w:rPr>
          <w:rFonts w:ascii="Times New Roman" w:eastAsia="Times New Roman" w:hAnsi="Times New Roman" w:cs="Times New Roman"/>
          <w:kern w:val="0"/>
          <w:sz w:val="24"/>
          <w:szCs w:val="24"/>
          <w:lang w:eastAsia="en-IN"/>
          <w14:ligatures w14:val="none"/>
        </w:rPr>
        <w:t xml:space="preserve">: The combined non-interest income for these banks was about </w:t>
      </w:r>
      <w:r w:rsidRPr="00936DE1">
        <w:rPr>
          <w:rFonts w:ascii="Times New Roman" w:eastAsia="Times New Roman" w:hAnsi="Times New Roman" w:cs="Times New Roman"/>
          <w:b/>
          <w:bCs/>
          <w:kern w:val="0"/>
          <w:sz w:val="24"/>
          <w:szCs w:val="24"/>
          <w:lang w:eastAsia="en-IN"/>
          <w14:ligatures w14:val="none"/>
        </w:rPr>
        <w:t>$200 billion.</w:t>
      </w:r>
    </w:p>
    <w:p w14:paraId="08177B52" w14:textId="77777777" w:rsidR="006223A0" w:rsidRPr="00843BFF" w:rsidRDefault="006223A0" w:rsidP="00936DE1">
      <w:pPr>
        <w:pStyle w:val="ListParagraph"/>
        <w:numPr>
          <w:ilvl w:val="0"/>
          <w:numId w:val="4"/>
        </w:numPr>
        <w:spacing w:line="360" w:lineRule="auto"/>
        <w:rPr>
          <w:rFonts w:ascii="Times New Roman" w:hAnsi="Times New Roman" w:cs="Times New Roman"/>
          <w:b/>
          <w:bCs/>
          <w:sz w:val="24"/>
          <w:szCs w:val="24"/>
        </w:rPr>
      </w:pPr>
      <w:r w:rsidRPr="00936DE1">
        <w:rPr>
          <w:rFonts w:ascii="Times New Roman" w:eastAsia="Times New Roman" w:hAnsi="Times New Roman" w:cs="Times New Roman"/>
          <w:b/>
          <w:bCs/>
          <w:kern w:val="0"/>
          <w:sz w:val="24"/>
          <w:szCs w:val="24"/>
          <w:lang w:eastAsia="en-IN"/>
          <w14:ligatures w14:val="none"/>
        </w:rPr>
        <w:t>Trading Revenue</w:t>
      </w:r>
      <w:r w:rsidRPr="00936DE1">
        <w:rPr>
          <w:rFonts w:ascii="Times New Roman" w:eastAsia="Times New Roman" w:hAnsi="Times New Roman" w:cs="Times New Roman"/>
          <w:kern w:val="0"/>
          <w:sz w:val="24"/>
          <w:szCs w:val="24"/>
          <w:lang w:eastAsia="en-IN"/>
          <w14:ligatures w14:val="none"/>
        </w:rPr>
        <w:t xml:space="preserve">: The trading revenue for top national banks was roughly </w:t>
      </w:r>
      <w:r w:rsidRPr="00936DE1">
        <w:rPr>
          <w:rFonts w:ascii="Times New Roman" w:eastAsia="Times New Roman" w:hAnsi="Times New Roman" w:cs="Times New Roman"/>
          <w:b/>
          <w:bCs/>
          <w:kern w:val="0"/>
          <w:sz w:val="24"/>
          <w:szCs w:val="24"/>
          <w:lang w:eastAsia="en-IN"/>
          <w14:ligatures w14:val="none"/>
        </w:rPr>
        <w:t>$50 billion.</w:t>
      </w:r>
    </w:p>
    <w:p w14:paraId="07E2AB98" w14:textId="77777777" w:rsidR="00843BFF" w:rsidRDefault="00843BFF" w:rsidP="00843BFF">
      <w:pPr>
        <w:pStyle w:val="ListParagraph"/>
        <w:spacing w:line="360" w:lineRule="auto"/>
        <w:rPr>
          <w:rFonts w:ascii="Times New Roman" w:eastAsia="Times New Roman" w:hAnsi="Times New Roman" w:cs="Times New Roman"/>
          <w:b/>
          <w:bCs/>
          <w:kern w:val="0"/>
          <w:sz w:val="24"/>
          <w:szCs w:val="24"/>
          <w:lang w:eastAsia="en-IN"/>
          <w14:ligatures w14:val="none"/>
        </w:rPr>
      </w:pPr>
    </w:p>
    <w:p w14:paraId="1DDD9F8B" w14:textId="77777777" w:rsidR="00843BFF" w:rsidRDefault="00843BFF" w:rsidP="00843BFF">
      <w:pPr>
        <w:pStyle w:val="ListParagraph"/>
        <w:spacing w:line="360" w:lineRule="auto"/>
        <w:rPr>
          <w:rFonts w:ascii="Times New Roman" w:eastAsia="Times New Roman" w:hAnsi="Times New Roman" w:cs="Times New Roman"/>
          <w:b/>
          <w:bCs/>
          <w:kern w:val="0"/>
          <w:sz w:val="24"/>
          <w:szCs w:val="24"/>
          <w:lang w:eastAsia="en-IN"/>
          <w14:ligatures w14:val="none"/>
        </w:rPr>
      </w:pPr>
    </w:p>
    <w:p w14:paraId="5A3E493F" w14:textId="77777777" w:rsidR="00843BFF" w:rsidRPr="00843BFF" w:rsidRDefault="00843BFF" w:rsidP="00843BFF">
      <w:pPr>
        <w:spacing w:line="360" w:lineRule="auto"/>
        <w:jc w:val="both"/>
        <w:rPr>
          <w:rFonts w:ascii="Times New Roman" w:hAnsi="Times New Roman" w:cs="Times New Roman"/>
          <w:b/>
          <w:bCs/>
          <w:sz w:val="24"/>
          <w:szCs w:val="24"/>
        </w:rPr>
      </w:pPr>
      <w:r>
        <w:rPr>
          <w:noProof/>
        </w:rPr>
        <w:lastRenderedPageBreak/>
        <w:drawing>
          <wp:inline distT="0" distB="0" distL="0" distR="0" wp14:anchorId="4FC4192C" wp14:editId="3106998F">
            <wp:extent cx="5731510" cy="2492375"/>
            <wp:effectExtent l="0" t="0" r="2540" b="3175"/>
            <wp:docPr id="1339539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39012" name="Picture 13395390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inline>
        </w:drawing>
      </w:r>
    </w:p>
    <w:p w14:paraId="228CE71B" w14:textId="77777777" w:rsidR="00936DE1" w:rsidRDefault="00936DE1" w:rsidP="006223A0">
      <w:pPr>
        <w:spacing w:line="360" w:lineRule="auto"/>
        <w:rPr>
          <w:rFonts w:ascii="Times New Roman" w:hAnsi="Times New Roman" w:cs="Times New Roman"/>
          <w:sz w:val="24"/>
          <w:szCs w:val="24"/>
        </w:rPr>
      </w:pPr>
    </w:p>
    <w:p w14:paraId="128ABBE5" w14:textId="77777777" w:rsidR="003F6806" w:rsidRPr="00077BFA" w:rsidRDefault="003F6806" w:rsidP="006223A0">
      <w:pPr>
        <w:spacing w:line="360" w:lineRule="auto"/>
        <w:rPr>
          <w:rFonts w:ascii="Times New Roman" w:hAnsi="Times New Roman" w:cs="Times New Roman"/>
          <w:b/>
          <w:bCs/>
          <w:sz w:val="28"/>
          <w:szCs w:val="28"/>
          <w:u w:val="single"/>
        </w:rPr>
      </w:pPr>
      <w:r w:rsidRPr="003F6806">
        <w:rPr>
          <w:rFonts w:ascii="Times New Roman" w:hAnsi="Times New Roman" w:cs="Times New Roman"/>
          <w:b/>
          <w:bCs/>
          <w:sz w:val="28"/>
          <w:szCs w:val="28"/>
          <w:u w:val="single"/>
        </w:rPr>
        <w:t>Largest commercial banks in the United States in 2022, by revenue</w:t>
      </w:r>
      <w:r w:rsidRPr="00077BFA">
        <w:rPr>
          <w:rFonts w:ascii="Times New Roman" w:hAnsi="Times New Roman" w:cs="Times New Roman"/>
          <w:b/>
          <w:bCs/>
          <w:sz w:val="28"/>
          <w:szCs w:val="28"/>
          <w:u w:val="single"/>
        </w:rPr>
        <w:t xml:space="preserve"> </w:t>
      </w:r>
    </w:p>
    <w:p w14:paraId="6F5705CC" w14:textId="77777777" w:rsidR="003F6806" w:rsidRPr="003F6806" w:rsidRDefault="003F6806" w:rsidP="006223A0">
      <w:pPr>
        <w:spacing w:line="360" w:lineRule="auto"/>
        <w:rPr>
          <w:rFonts w:ascii="Times New Roman" w:hAnsi="Times New Roman" w:cs="Times New Roman"/>
          <w:sz w:val="28"/>
          <w:szCs w:val="28"/>
          <w:u w:val="single"/>
        </w:rPr>
      </w:pPr>
      <w:r w:rsidRPr="003F6806">
        <w:rPr>
          <w:rFonts w:ascii="Times New Roman" w:hAnsi="Times New Roman" w:cs="Times New Roman"/>
          <w:b/>
          <w:bCs/>
          <w:sz w:val="28"/>
          <w:szCs w:val="28"/>
          <w:u w:val="single"/>
        </w:rPr>
        <w:t>(in billion U.S. dollars)</w:t>
      </w:r>
    </w:p>
    <w:p w14:paraId="7886597E" w14:textId="77777777" w:rsidR="006223A0" w:rsidRDefault="003F6806" w:rsidP="006223A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AFDD3E" wp14:editId="6BC78856">
            <wp:extent cx="3528060" cy="2190086"/>
            <wp:effectExtent l="0" t="0" r="0" b="1270"/>
            <wp:docPr id="1202863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63374" name="Picture 12028633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8624" cy="2196644"/>
                    </a:xfrm>
                    <a:prstGeom prst="rect">
                      <a:avLst/>
                    </a:prstGeom>
                  </pic:spPr>
                </pic:pic>
              </a:graphicData>
            </a:graphic>
          </wp:inline>
        </w:drawing>
      </w:r>
    </w:p>
    <w:p w14:paraId="552436AD" w14:textId="77777777" w:rsidR="002409C6" w:rsidRPr="00077BFA" w:rsidRDefault="002409C6" w:rsidP="006223A0">
      <w:pPr>
        <w:spacing w:line="360" w:lineRule="auto"/>
        <w:rPr>
          <w:rFonts w:ascii="Times New Roman" w:hAnsi="Times New Roman" w:cs="Times New Roman"/>
          <w:sz w:val="28"/>
          <w:szCs w:val="28"/>
          <w:u w:val="single"/>
        </w:rPr>
      </w:pPr>
      <w:r w:rsidRPr="00077BFA">
        <w:rPr>
          <w:rFonts w:ascii="Times New Roman" w:hAnsi="Times New Roman" w:cs="Times New Roman"/>
          <w:b/>
          <w:bCs/>
          <w:sz w:val="28"/>
          <w:szCs w:val="28"/>
          <w:u w:val="single"/>
        </w:rPr>
        <w:t>Central</w:t>
      </w:r>
      <w:r w:rsidR="006223A0" w:rsidRPr="00077BFA">
        <w:rPr>
          <w:rFonts w:ascii="Times New Roman" w:hAnsi="Times New Roman" w:cs="Times New Roman"/>
          <w:b/>
          <w:bCs/>
          <w:sz w:val="28"/>
          <w:szCs w:val="28"/>
          <w:u w:val="single"/>
        </w:rPr>
        <w:t xml:space="preserve"> Banks </w:t>
      </w:r>
      <w:r w:rsidR="006223A0" w:rsidRPr="00077BFA">
        <w:rPr>
          <w:rFonts w:ascii="Times New Roman" w:hAnsi="Times New Roman" w:cs="Times New Roman"/>
          <w:b/>
          <w:bCs/>
          <w:sz w:val="28"/>
          <w:szCs w:val="28"/>
          <w:u w:val="single"/>
        </w:rPr>
        <w:t>(Federal Reserve System)</w:t>
      </w:r>
    </w:p>
    <w:p w14:paraId="69526715" w14:textId="77777777" w:rsidR="002409C6" w:rsidRPr="00936DE1" w:rsidRDefault="002409C6" w:rsidP="00936DE1">
      <w:pPr>
        <w:pStyle w:val="ListParagraph"/>
        <w:numPr>
          <w:ilvl w:val="0"/>
          <w:numId w:val="2"/>
        </w:numPr>
        <w:spacing w:line="360" w:lineRule="auto"/>
        <w:rPr>
          <w:rFonts w:ascii="Times New Roman" w:hAnsi="Times New Roman" w:cs="Times New Roman"/>
          <w:sz w:val="24"/>
          <w:szCs w:val="24"/>
        </w:rPr>
      </w:pPr>
      <w:r w:rsidRPr="00936DE1">
        <w:rPr>
          <w:rFonts w:ascii="Times New Roman" w:hAnsi="Times New Roman" w:cs="Times New Roman"/>
          <w:sz w:val="24"/>
          <w:szCs w:val="24"/>
        </w:rPr>
        <w:t xml:space="preserve">These banks are investing members of the Federal Reserve System and are chartered by the United States of America. </w:t>
      </w:r>
    </w:p>
    <w:p w14:paraId="19498179" w14:textId="77777777" w:rsidR="002409C6" w:rsidRPr="00936DE1" w:rsidRDefault="002409C6" w:rsidP="00936DE1">
      <w:pPr>
        <w:pStyle w:val="ListParagraph"/>
        <w:numPr>
          <w:ilvl w:val="0"/>
          <w:numId w:val="2"/>
        </w:numPr>
        <w:spacing w:line="360" w:lineRule="auto"/>
        <w:rPr>
          <w:rFonts w:ascii="Times New Roman" w:hAnsi="Times New Roman" w:cs="Times New Roman"/>
          <w:sz w:val="24"/>
          <w:szCs w:val="24"/>
        </w:rPr>
      </w:pPr>
      <w:r w:rsidRPr="00936DE1">
        <w:rPr>
          <w:rFonts w:ascii="Times New Roman" w:hAnsi="Times New Roman" w:cs="Times New Roman"/>
          <w:sz w:val="24"/>
          <w:szCs w:val="24"/>
        </w:rPr>
        <w:t xml:space="preserve">They offer global banking services and have branches in major cities and many states. </w:t>
      </w:r>
    </w:p>
    <w:p w14:paraId="33F8C790" w14:textId="77777777" w:rsidR="002409C6" w:rsidRDefault="002409C6" w:rsidP="00936DE1">
      <w:pPr>
        <w:pStyle w:val="ListParagraph"/>
        <w:numPr>
          <w:ilvl w:val="0"/>
          <w:numId w:val="2"/>
        </w:numPr>
        <w:spacing w:line="360" w:lineRule="auto"/>
        <w:rPr>
          <w:rFonts w:ascii="Times New Roman" w:hAnsi="Times New Roman" w:cs="Times New Roman"/>
          <w:sz w:val="24"/>
          <w:szCs w:val="24"/>
        </w:rPr>
      </w:pPr>
      <w:r w:rsidRPr="00936DE1">
        <w:rPr>
          <w:rFonts w:ascii="Times New Roman" w:hAnsi="Times New Roman" w:cs="Times New Roman"/>
          <w:sz w:val="24"/>
          <w:szCs w:val="24"/>
        </w:rPr>
        <w:t>They provide the same services as commercial banks, including money market accounts and trading bonds and stocks.</w:t>
      </w:r>
    </w:p>
    <w:p w14:paraId="6A0CB986" w14:textId="77777777" w:rsidR="00843BFF" w:rsidRPr="00843BFF" w:rsidRDefault="00843BFF" w:rsidP="00843BFF">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82127E" wp14:editId="470C2492">
            <wp:extent cx="4671637" cy="2532497"/>
            <wp:effectExtent l="0" t="0" r="0" b="1270"/>
            <wp:docPr id="330216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16768" name="Picture 330216768"/>
                    <pic:cNvPicPr/>
                  </pic:nvPicPr>
                  <pic:blipFill>
                    <a:blip r:embed="rId13">
                      <a:extLst>
                        <a:ext uri="{28A0092B-C50C-407E-A947-70E740481C1C}">
                          <a14:useLocalDpi xmlns:a14="http://schemas.microsoft.com/office/drawing/2010/main" val="0"/>
                        </a:ext>
                      </a:extLst>
                    </a:blip>
                    <a:stretch>
                      <a:fillRect/>
                    </a:stretch>
                  </pic:blipFill>
                  <pic:spPr>
                    <a:xfrm>
                      <a:off x="0" y="0"/>
                      <a:ext cx="4692173" cy="2543629"/>
                    </a:xfrm>
                    <a:prstGeom prst="rect">
                      <a:avLst/>
                    </a:prstGeom>
                  </pic:spPr>
                </pic:pic>
              </a:graphicData>
            </a:graphic>
          </wp:inline>
        </w:drawing>
      </w:r>
    </w:p>
    <w:p w14:paraId="05363E32" w14:textId="77777777" w:rsidR="006223A0" w:rsidRPr="00077BFA" w:rsidRDefault="006223A0" w:rsidP="006223A0">
      <w:pPr>
        <w:spacing w:line="360" w:lineRule="auto"/>
        <w:rPr>
          <w:rFonts w:ascii="Times New Roman" w:hAnsi="Times New Roman" w:cs="Times New Roman"/>
          <w:b/>
          <w:bCs/>
          <w:sz w:val="28"/>
          <w:szCs w:val="28"/>
          <w:u w:val="single"/>
        </w:rPr>
      </w:pPr>
      <w:r w:rsidRPr="00077BFA">
        <w:rPr>
          <w:rFonts w:ascii="Times New Roman" w:hAnsi="Times New Roman" w:cs="Times New Roman"/>
          <w:b/>
          <w:bCs/>
          <w:sz w:val="28"/>
          <w:szCs w:val="28"/>
          <w:u w:val="single"/>
        </w:rPr>
        <w:t>Sources of revenue</w:t>
      </w:r>
    </w:p>
    <w:p w14:paraId="0CFCC8F4" w14:textId="77777777" w:rsidR="006223A0" w:rsidRPr="00936DE1" w:rsidRDefault="006223A0" w:rsidP="00936DE1">
      <w:pPr>
        <w:pStyle w:val="ListParagraph"/>
        <w:numPr>
          <w:ilvl w:val="0"/>
          <w:numId w:val="5"/>
        </w:numPr>
        <w:spacing w:after="0" w:line="360" w:lineRule="auto"/>
        <w:rPr>
          <w:rFonts w:ascii="Times New Roman" w:eastAsia="Times New Roman" w:hAnsi="Times New Roman" w:cs="Times New Roman"/>
          <w:kern w:val="0"/>
          <w:sz w:val="24"/>
          <w:szCs w:val="24"/>
          <w:lang w:eastAsia="en-IN"/>
          <w14:ligatures w14:val="none"/>
        </w:rPr>
      </w:pPr>
      <w:r w:rsidRPr="00936DE1">
        <w:rPr>
          <w:rFonts w:ascii="Times New Roman" w:eastAsia="Times New Roman" w:hAnsi="Times New Roman" w:cs="Times New Roman"/>
          <w:b/>
          <w:bCs/>
          <w:kern w:val="0"/>
          <w:sz w:val="24"/>
          <w:szCs w:val="24"/>
          <w:lang w:eastAsia="en-IN"/>
          <w14:ligatures w14:val="none"/>
        </w:rPr>
        <w:t>Interest on Securities</w:t>
      </w:r>
      <w:r w:rsidRPr="00936DE1">
        <w:rPr>
          <w:rFonts w:ascii="Times New Roman" w:eastAsia="Times New Roman" w:hAnsi="Times New Roman" w:cs="Times New Roman"/>
          <w:kern w:val="0"/>
          <w:sz w:val="24"/>
          <w:szCs w:val="24"/>
          <w:lang w:eastAsia="en-IN"/>
          <w14:ligatures w14:val="none"/>
        </w:rPr>
        <w:t xml:space="preserve">: The Fed earned approximately </w:t>
      </w:r>
      <w:r w:rsidRPr="00936DE1">
        <w:rPr>
          <w:rFonts w:ascii="Times New Roman" w:eastAsia="Times New Roman" w:hAnsi="Times New Roman" w:cs="Times New Roman"/>
          <w:b/>
          <w:bCs/>
          <w:kern w:val="0"/>
          <w:sz w:val="24"/>
          <w:szCs w:val="24"/>
          <w:lang w:eastAsia="en-IN"/>
          <w14:ligatures w14:val="none"/>
        </w:rPr>
        <w:t>$116 billion</w:t>
      </w:r>
      <w:r w:rsidRPr="00936DE1">
        <w:rPr>
          <w:rFonts w:ascii="Times New Roman" w:eastAsia="Times New Roman" w:hAnsi="Times New Roman" w:cs="Times New Roman"/>
          <w:kern w:val="0"/>
          <w:sz w:val="24"/>
          <w:szCs w:val="24"/>
          <w:lang w:eastAsia="en-IN"/>
          <w14:ligatures w14:val="none"/>
        </w:rPr>
        <w:t xml:space="preserve"> in interest on U.S. government securities.</w:t>
      </w:r>
    </w:p>
    <w:p w14:paraId="58B5E260" w14:textId="77777777" w:rsidR="006223A0" w:rsidRPr="00936DE1" w:rsidRDefault="006223A0" w:rsidP="00936DE1">
      <w:pPr>
        <w:pStyle w:val="ListParagraph"/>
        <w:numPr>
          <w:ilvl w:val="0"/>
          <w:numId w:val="5"/>
        </w:numPr>
        <w:spacing w:after="0" w:line="360" w:lineRule="auto"/>
        <w:rPr>
          <w:rFonts w:ascii="Times New Roman" w:eastAsia="Times New Roman" w:hAnsi="Times New Roman" w:cs="Times New Roman"/>
          <w:kern w:val="0"/>
          <w:sz w:val="24"/>
          <w:szCs w:val="24"/>
          <w:lang w:eastAsia="en-IN"/>
          <w14:ligatures w14:val="none"/>
        </w:rPr>
      </w:pPr>
      <w:r w:rsidRPr="00936DE1">
        <w:rPr>
          <w:rFonts w:ascii="Times New Roman" w:eastAsia="Times New Roman" w:hAnsi="Times New Roman" w:cs="Times New Roman"/>
          <w:b/>
          <w:bCs/>
          <w:kern w:val="0"/>
          <w:sz w:val="24"/>
          <w:szCs w:val="24"/>
          <w:lang w:eastAsia="en-IN"/>
          <w14:ligatures w14:val="none"/>
        </w:rPr>
        <w:t>Interest on Loans</w:t>
      </w:r>
      <w:r w:rsidRPr="00936DE1">
        <w:rPr>
          <w:rFonts w:ascii="Times New Roman" w:eastAsia="Times New Roman" w:hAnsi="Times New Roman" w:cs="Times New Roman"/>
          <w:kern w:val="0"/>
          <w:sz w:val="24"/>
          <w:szCs w:val="24"/>
          <w:lang w:eastAsia="en-IN"/>
          <w14:ligatures w14:val="none"/>
        </w:rPr>
        <w:t xml:space="preserve">: The revenue from interest on loans to depository institutions was about </w:t>
      </w:r>
      <w:r w:rsidRPr="00936DE1">
        <w:rPr>
          <w:rFonts w:ascii="Times New Roman" w:eastAsia="Times New Roman" w:hAnsi="Times New Roman" w:cs="Times New Roman"/>
          <w:b/>
          <w:bCs/>
          <w:kern w:val="0"/>
          <w:sz w:val="24"/>
          <w:szCs w:val="24"/>
          <w:lang w:eastAsia="en-IN"/>
          <w14:ligatures w14:val="none"/>
        </w:rPr>
        <w:t>$500 million.</w:t>
      </w:r>
    </w:p>
    <w:p w14:paraId="54BA5D62" w14:textId="77777777" w:rsidR="006223A0" w:rsidRPr="00936DE1" w:rsidRDefault="006223A0" w:rsidP="00936DE1">
      <w:pPr>
        <w:pStyle w:val="ListParagraph"/>
        <w:numPr>
          <w:ilvl w:val="0"/>
          <w:numId w:val="5"/>
        </w:numPr>
        <w:spacing w:line="360" w:lineRule="auto"/>
        <w:rPr>
          <w:rFonts w:ascii="Times New Roman" w:hAnsi="Times New Roman" w:cs="Times New Roman"/>
          <w:b/>
          <w:bCs/>
          <w:sz w:val="24"/>
          <w:szCs w:val="24"/>
        </w:rPr>
      </w:pPr>
      <w:r w:rsidRPr="00936DE1">
        <w:rPr>
          <w:rFonts w:ascii="Times New Roman" w:eastAsia="Times New Roman" w:hAnsi="Times New Roman" w:cs="Times New Roman"/>
          <w:b/>
          <w:bCs/>
          <w:kern w:val="0"/>
          <w:sz w:val="24"/>
          <w:szCs w:val="24"/>
          <w:lang w:eastAsia="en-IN"/>
          <w14:ligatures w14:val="none"/>
        </w:rPr>
        <w:t>Service Fees</w:t>
      </w:r>
      <w:r w:rsidRPr="00936DE1">
        <w:rPr>
          <w:rFonts w:ascii="Times New Roman" w:eastAsia="Times New Roman" w:hAnsi="Times New Roman" w:cs="Times New Roman"/>
          <w:kern w:val="0"/>
          <w:sz w:val="24"/>
          <w:szCs w:val="24"/>
          <w:lang w:eastAsia="en-IN"/>
          <w14:ligatures w14:val="none"/>
        </w:rPr>
        <w:t xml:space="preserve">: Revenue from financial services amounted to around </w:t>
      </w:r>
      <w:r w:rsidRPr="00936DE1">
        <w:rPr>
          <w:rFonts w:ascii="Times New Roman" w:eastAsia="Times New Roman" w:hAnsi="Times New Roman" w:cs="Times New Roman"/>
          <w:b/>
          <w:bCs/>
          <w:kern w:val="0"/>
          <w:sz w:val="24"/>
          <w:szCs w:val="24"/>
          <w:lang w:eastAsia="en-IN"/>
          <w14:ligatures w14:val="none"/>
        </w:rPr>
        <w:t>$450 million.</w:t>
      </w:r>
    </w:p>
    <w:p w14:paraId="0C9D50A5" w14:textId="77777777" w:rsidR="002409C6" w:rsidRPr="00077BFA" w:rsidRDefault="002409C6" w:rsidP="006223A0">
      <w:pPr>
        <w:spacing w:line="360" w:lineRule="auto"/>
        <w:rPr>
          <w:rFonts w:ascii="Times New Roman" w:hAnsi="Times New Roman" w:cs="Times New Roman"/>
          <w:b/>
          <w:bCs/>
          <w:sz w:val="28"/>
          <w:szCs w:val="28"/>
          <w:u w:val="single"/>
        </w:rPr>
      </w:pPr>
      <w:r w:rsidRPr="00077BFA">
        <w:rPr>
          <w:rFonts w:ascii="Times New Roman" w:hAnsi="Times New Roman" w:cs="Times New Roman"/>
          <w:b/>
          <w:bCs/>
          <w:sz w:val="28"/>
          <w:szCs w:val="28"/>
          <w:u w:val="single"/>
        </w:rPr>
        <w:t>Credit Unions</w:t>
      </w:r>
    </w:p>
    <w:p w14:paraId="0A2B8DD4" w14:textId="77777777" w:rsidR="002409C6" w:rsidRPr="00936DE1" w:rsidRDefault="002409C6" w:rsidP="00936DE1">
      <w:pPr>
        <w:pStyle w:val="ListParagraph"/>
        <w:numPr>
          <w:ilvl w:val="0"/>
          <w:numId w:val="3"/>
        </w:numPr>
        <w:spacing w:line="360" w:lineRule="auto"/>
        <w:rPr>
          <w:rFonts w:ascii="Times New Roman" w:hAnsi="Times New Roman" w:cs="Times New Roman"/>
          <w:sz w:val="24"/>
          <w:szCs w:val="24"/>
        </w:rPr>
      </w:pPr>
      <w:r w:rsidRPr="00936DE1">
        <w:rPr>
          <w:rFonts w:ascii="Times New Roman" w:hAnsi="Times New Roman" w:cs="Times New Roman"/>
          <w:sz w:val="24"/>
          <w:szCs w:val="24"/>
        </w:rPr>
        <w:t xml:space="preserve">These are not-for-profit organizations owned by members and overseen by a board of directors. </w:t>
      </w:r>
    </w:p>
    <w:p w14:paraId="43ECC738" w14:textId="77777777" w:rsidR="002409C6" w:rsidRPr="00936DE1" w:rsidRDefault="002409C6" w:rsidP="00936DE1">
      <w:pPr>
        <w:pStyle w:val="ListParagraph"/>
        <w:numPr>
          <w:ilvl w:val="0"/>
          <w:numId w:val="3"/>
        </w:numPr>
        <w:spacing w:line="360" w:lineRule="auto"/>
        <w:rPr>
          <w:rFonts w:ascii="Times New Roman" w:hAnsi="Times New Roman" w:cs="Times New Roman"/>
          <w:sz w:val="24"/>
          <w:szCs w:val="24"/>
        </w:rPr>
      </w:pPr>
      <w:r w:rsidRPr="00936DE1">
        <w:rPr>
          <w:rFonts w:ascii="Times New Roman" w:hAnsi="Times New Roman" w:cs="Times New Roman"/>
          <w:sz w:val="24"/>
          <w:szCs w:val="24"/>
        </w:rPr>
        <w:t xml:space="preserve">employees of certain companies, religious institutions, or school districts. </w:t>
      </w:r>
    </w:p>
    <w:p w14:paraId="6DA39AF0" w14:textId="77777777" w:rsidR="004208B7" w:rsidRDefault="002409C6" w:rsidP="004208B7">
      <w:pPr>
        <w:pStyle w:val="ListParagraph"/>
        <w:numPr>
          <w:ilvl w:val="0"/>
          <w:numId w:val="3"/>
        </w:numPr>
        <w:spacing w:line="360" w:lineRule="auto"/>
        <w:rPr>
          <w:rFonts w:ascii="Times New Roman" w:hAnsi="Times New Roman" w:cs="Times New Roman"/>
          <w:sz w:val="24"/>
          <w:szCs w:val="24"/>
        </w:rPr>
      </w:pPr>
      <w:r w:rsidRPr="00936DE1">
        <w:rPr>
          <w:rFonts w:ascii="Times New Roman" w:hAnsi="Times New Roman" w:cs="Times New Roman"/>
          <w:sz w:val="24"/>
          <w:szCs w:val="24"/>
        </w:rPr>
        <w:t xml:space="preserve">Credit unions offer similar services to commercial and national banks, with accounts up to </w:t>
      </w:r>
      <w:r w:rsidRPr="00936DE1">
        <w:rPr>
          <w:rFonts w:ascii="Times New Roman" w:hAnsi="Times New Roman" w:cs="Times New Roman"/>
          <w:b/>
          <w:bCs/>
          <w:sz w:val="24"/>
          <w:szCs w:val="24"/>
        </w:rPr>
        <w:t>$250,000</w:t>
      </w:r>
      <w:r w:rsidRPr="00936DE1">
        <w:rPr>
          <w:rFonts w:ascii="Times New Roman" w:hAnsi="Times New Roman" w:cs="Times New Roman"/>
          <w:sz w:val="24"/>
          <w:szCs w:val="24"/>
        </w:rPr>
        <w:t xml:space="preserve"> insured by the FDIC and the National Credit Union Share Insurance Fund (NCUSIF).</w:t>
      </w:r>
    </w:p>
    <w:p w14:paraId="387BE319" w14:textId="77777777" w:rsidR="004208B7" w:rsidRDefault="004208B7" w:rsidP="004208B7">
      <w:pPr>
        <w:spacing w:line="360" w:lineRule="auto"/>
        <w:rPr>
          <w:rFonts w:ascii="Times New Roman" w:hAnsi="Times New Roman" w:cs="Times New Roman"/>
          <w:sz w:val="24"/>
          <w:szCs w:val="24"/>
        </w:rPr>
      </w:pPr>
    </w:p>
    <w:p w14:paraId="03C3FDF1" w14:textId="77777777" w:rsidR="004208B7" w:rsidRDefault="004208B7" w:rsidP="004208B7">
      <w:pPr>
        <w:spacing w:line="360" w:lineRule="auto"/>
        <w:rPr>
          <w:rFonts w:ascii="Times New Roman" w:hAnsi="Times New Roman" w:cs="Times New Roman"/>
          <w:sz w:val="24"/>
          <w:szCs w:val="24"/>
        </w:rPr>
      </w:pPr>
    </w:p>
    <w:p w14:paraId="10F1C173" w14:textId="77777777" w:rsidR="004208B7" w:rsidRDefault="004208B7" w:rsidP="004208B7">
      <w:pPr>
        <w:spacing w:line="360" w:lineRule="auto"/>
        <w:rPr>
          <w:rFonts w:ascii="Times New Roman" w:hAnsi="Times New Roman" w:cs="Times New Roman"/>
          <w:sz w:val="24"/>
          <w:szCs w:val="24"/>
        </w:rPr>
      </w:pPr>
    </w:p>
    <w:p w14:paraId="2597036A" w14:textId="77777777" w:rsidR="004208B7" w:rsidRDefault="004208B7" w:rsidP="004208B7">
      <w:pPr>
        <w:spacing w:line="360" w:lineRule="auto"/>
        <w:rPr>
          <w:rFonts w:ascii="Times New Roman" w:hAnsi="Times New Roman" w:cs="Times New Roman"/>
          <w:sz w:val="24"/>
          <w:szCs w:val="24"/>
        </w:rPr>
      </w:pPr>
    </w:p>
    <w:p w14:paraId="2D6ABA8C" w14:textId="77777777" w:rsidR="004208B7" w:rsidRDefault="004208B7" w:rsidP="004208B7">
      <w:pPr>
        <w:spacing w:line="360" w:lineRule="auto"/>
        <w:rPr>
          <w:rFonts w:ascii="Times New Roman" w:hAnsi="Times New Roman" w:cs="Times New Roman"/>
          <w:sz w:val="24"/>
          <w:szCs w:val="24"/>
        </w:rPr>
      </w:pPr>
    </w:p>
    <w:p w14:paraId="728359CF" w14:textId="77777777" w:rsidR="004208B7" w:rsidRPr="004208B7" w:rsidRDefault="004208B7" w:rsidP="004208B7">
      <w:pPr>
        <w:spacing w:line="360" w:lineRule="auto"/>
        <w:rPr>
          <w:rFonts w:ascii="Times New Roman" w:hAnsi="Times New Roman" w:cs="Times New Roman"/>
          <w:sz w:val="24"/>
          <w:szCs w:val="24"/>
        </w:rPr>
      </w:pPr>
    </w:p>
    <w:p w14:paraId="341948F2" w14:textId="77777777" w:rsidR="004208B7" w:rsidRPr="00077BFA" w:rsidRDefault="004208B7" w:rsidP="004208B7">
      <w:pPr>
        <w:spacing w:line="360" w:lineRule="auto"/>
        <w:ind w:left="360"/>
        <w:rPr>
          <w:rFonts w:ascii="Times New Roman" w:hAnsi="Times New Roman" w:cs="Times New Roman"/>
          <w:b/>
          <w:bCs/>
          <w:sz w:val="28"/>
          <w:szCs w:val="28"/>
          <w:u w:val="single"/>
        </w:rPr>
      </w:pPr>
      <w:r w:rsidRPr="00077BFA">
        <w:rPr>
          <w:rFonts w:ascii="Times New Roman" w:hAnsi="Times New Roman" w:cs="Times New Roman"/>
          <w:b/>
          <w:bCs/>
          <w:sz w:val="28"/>
          <w:szCs w:val="28"/>
          <w:u w:val="single"/>
        </w:rPr>
        <w:lastRenderedPageBreak/>
        <w:t>Value of assets of credit unions in the United States from 2013 to 2022(in trillion U.S. dollars)</w:t>
      </w:r>
    </w:p>
    <w:p w14:paraId="4910315F" w14:textId="77777777" w:rsidR="004208B7" w:rsidRDefault="004208B7" w:rsidP="004208B7">
      <w:pPr>
        <w:spacing w:line="360" w:lineRule="auto"/>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7E3C2BE" wp14:editId="37B2B45D">
            <wp:extent cx="5731510" cy="3599815"/>
            <wp:effectExtent l="0" t="0" r="2540" b="635"/>
            <wp:docPr id="1634206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06136" name="Picture 1634206136"/>
                    <pic:cNvPicPr/>
                  </pic:nvPicPr>
                  <pic:blipFill>
                    <a:blip r:embed="rId14">
                      <a:extLst>
                        <a:ext uri="{28A0092B-C50C-407E-A947-70E740481C1C}">
                          <a14:useLocalDpi xmlns:a14="http://schemas.microsoft.com/office/drawing/2010/main" val="0"/>
                        </a:ext>
                      </a:extLst>
                    </a:blip>
                    <a:stretch>
                      <a:fillRect/>
                    </a:stretch>
                  </pic:blipFill>
                  <pic:spPr>
                    <a:xfrm>
                      <a:off x="0" y="0"/>
                      <a:ext cx="5731510" cy="3599815"/>
                    </a:xfrm>
                    <a:prstGeom prst="rect">
                      <a:avLst/>
                    </a:prstGeom>
                  </pic:spPr>
                </pic:pic>
              </a:graphicData>
            </a:graphic>
          </wp:inline>
        </w:drawing>
      </w:r>
    </w:p>
    <w:p w14:paraId="0D42F1F7" w14:textId="77777777" w:rsidR="00936DE1" w:rsidRPr="00077BFA" w:rsidRDefault="00936DE1" w:rsidP="00936DE1">
      <w:pPr>
        <w:spacing w:line="360" w:lineRule="auto"/>
        <w:rPr>
          <w:rFonts w:ascii="Times New Roman" w:hAnsi="Times New Roman" w:cs="Times New Roman"/>
          <w:b/>
          <w:bCs/>
          <w:sz w:val="28"/>
          <w:szCs w:val="28"/>
          <w:u w:val="single"/>
        </w:rPr>
      </w:pPr>
      <w:r w:rsidRPr="00077BFA">
        <w:rPr>
          <w:rFonts w:ascii="Times New Roman" w:hAnsi="Times New Roman" w:cs="Times New Roman"/>
          <w:b/>
          <w:bCs/>
          <w:sz w:val="28"/>
          <w:szCs w:val="28"/>
          <w:u w:val="single"/>
        </w:rPr>
        <w:t>Sources of revenue</w:t>
      </w:r>
    </w:p>
    <w:p w14:paraId="5C494C26" w14:textId="77777777" w:rsidR="00936DE1" w:rsidRPr="004208B7" w:rsidRDefault="00936DE1" w:rsidP="00936DE1">
      <w:pPr>
        <w:spacing w:line="360" w:lineRule="auto"/>
        <w:rPr>
          <w:rFonts w:ascii="Times New Roman" w:hAnsi="Times New Roman" w:cs="Times New Roman"/>
          <w:b/>
          <w:bCs/>
          <w:sz w:val="24"/>
          <w:szCs w:val="24"/>
        </w:rPr>
      </w:pPr>
      <w:r w:rsidRPr="004208B7">
        <w:rPr>
          <w:rFonts w:ascii="Times New Roman" w:hAnsi="Times New Roman" w:cs="Times New Roman"/>
          <w:b/>
          <w:bCs/>
          <w:sz w:val="24"/>
          <w:szCs w:val="24"/>
        </w:rPr>
        <w:t>Interest Income</w:t>
      </w:r>
    </w:p>
    <w:p w14:paraId="02FB2939" w14:textId="77777777" w:rsidR="00936DE1" w:rsidRPr="004208B7" w:rsidRDefault="00936DE1" w:rsidP="00936DE1">
      <w:pPr>
        <w:numPr>
          <w:ilvl w:val="0"/>
          <w:numId w:val="6"/>
        </w:numPr>
        <w:spacing w:before="100" w:beforeAutospacing="1" w:after="100" w:afterAutospacing="1" w:line="360" w:lineRule="auto"/>
        <w:rPr>
          <w:rFonts w:ascii="Times New Roman" w:hAnsi="Times New Roman" w:cs="Times New Roman"/>
          <w:sz w:val="24"/>
          <w:szCs w:val="24"/>
        </w:rPr>
      </w:pPr>
      <w:r w:rsidRPr="004208B7">
        <w:rPr>
          <w:rFonts w:ascii="Times New Roman" w:hAnsi="Times New Roman" w:cs="Times New Roman"/>
          <w:b/>
          <w:bCs/>
          <w:sz w:val="24"/>
          <w:szCs w:val="24"/>
        </w:rPr>
        <w:t>Loans to members</w:t>
      </w:r>
      <w:r w:rsidRPr="004208B7">
        <w:rPr>
          <w:rFonts w:ascii="Times New Roman" w:hAnsi="Times New Roman" w:cs="Times New Roman"/>
          <w:sz w:val="24"/>
          <w:szCs w:val="24"/>
        </w:rPr>
        <w:t>: This includes auto loans, mortgages, credit card loans, personal loans, and other consumer loans.</w:t>
      </w:r>
    </w:p>
    <w:p w14:paraId="786913E5" w14:textId="77777777" w:rsidR="00936DE1" w:rsidRPr="004208B7" w:rsidRDefault="00936DE1" w:rsidP="00936DE1">
      <w:pPr>
        <w:numPr>
          <w:ilvl w:val="0"/>
          <w:numId w:val="6"/>
        </w:numPr>
        <w:spacing w:before="100" w:beforeAutospacing="1" w:after="100" w:afterAutospacing="1" w:line="360" w:lineRule="auto"/>
        <w:rPr>
          <w:rFonts w:ascii="Times New Roman" w:hAnsi="Times New Roman" w:cs="Times New Roman"/>
          <w:sz w:val="24"/>
          <w:szCs w:val="24"/>
        </w:rPr>
      </w:pPr>
      <w:r w:rsidRPr="004208B7">
        <w:rPr>
          <w:rFonts w:ascii="Times New Roman" w:hAnsi="Times New Roman" w:cs="Times New Roman"/>
          <w:b/>
          <w:bCs/>
          <w:sz w:val="24"/>
          <w:szCs w:val="24"/>
        </w:rPr>
        <w:t>Investments</w:t>
      </w:r>
      <w:r w:rsidRPr="004208B7">
        <w:rPr>
          <w:rFonts w:ascii="Times New Roman" w:hAnsi="Times New Roman" w:cs="Times New Roman"/>
          <w:sz w:val="24"/>
          <w:szCs w:val="24"/>
        </w:rPr>
        <w:t>: Income from securities, government bonds, and other investment vehicles.</w:t>
      </w:r>
    </w:p>
    <w:p w14:paraId="722D2E21" w14:textId="77777777" w:rsidR="00936DE1" w:rsidRPr="004208B7" w:rsidRDefault="00936DE1" w:rsidP="00936DE1">
      <w:pPr>
        <w:pStyle w:val="NormalWeb"/>
        <w:spacing w:line="360" w:lineRule="auto"/>
        <w:rPr>
          <w:rFonts w:eastAsiaTheme="minorHAnsi"/>
          <w:kern w:val="2"/>
          <w:lang w:eastAsia="en-US"/>
          <w14:ligatures w14:val="standardContextual"/>
        </w:rPr>
      </w:pPr>
      <w:r w:rsidRPr="004208B7">
        <w:rPr>
          <w:rFonts w:eastAsiaTheme="minorHAnsi"/>
          <w:kern w:val="2"/>
          <w:lang w:eastAsia="en-US"/>
          <w14:ligatures w14:val="standardContextual"/>
        </w:rPr>
        <w:t xml:space="preserve">In 2023, interest income typically represented around </w:t>
      </w:r>
      <w:r w:rsidRPr="004208B7">
        <w:rPr>
          <w:rFonts w:eastAsiaTheme="minorHAnsi"/>
          <w:b/>
          <w:bCs/>
          <w:kern w:val="2"/>
          <w:lang w:eastAsia="en-US"/>
          <w14:ligatures w14:val="standardContextual"/>
        </w:rPr>
        <w:t>70-80%</w:t>
      </w:r>
      <w:r w:rsidRPr="004208B7">
        <w:rPr>
          <w:rFonts w:eastAsiaTheme="minorHAnsi"/>
          <w:kern w:val="2"/>
          <w:lang w:eastAsia="en-US"/>
          <w14:ligatures w14:val="standardContextual"/>
        </w:rPr>
        <w:t xml:space="preserve"> of total revenue for credit unions.</w:t>
      </w:r>
    </w:p>
    <w:p w14:paraId="4A4F9529" w14:textId="77777777" w:rsidR="00936DE1" w:rsidRDefault="00936DE1" w:rsidP="00936DE1">
      <w:p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b/>
          <w:bCs/>
          <w:sz w:val="24"/>
          <w:szCs w:val="24"/>
        </w:rPr>
        <w:t>Total interest income</w:t>
      </w:r>
      <w:r w:rsidRPr="00936DE1">
        <w:rPr>
          <w:rFonts w:ascii="Times New Roman" w:hAnsi="Times New Roman" w:cs="Times New Roman"/>
          <w:sz w:val="24"/>
          <w:szCs w:val="24"/>
        </w:rPr>
        <w:t xml:space="preserve">: $50 </w:t>
      </w:r>
      <w:proofErr w:type="spellStart"/>
      <w:r w:rsidRPr="00936DE1">
        <w:rPr>
          <w:rFonts w:ascii="Times New Roman" w:hAnsi="Times New Roman" w:cs="Times New Roman"/>
          <w:sz w:val="24"/>
          <w:szCs w:val="24"/>
        </w:rPr>
        <w:t>billion</w:t>
      </w:r>
      <w:proofErr w:type="spellEnd"/>
    </w:p>
    <w:p w14:paraId="6A1A1265" w14:textId="77777777" w:rsidR="00936DE1" w:rsidRPr="00936DE1" w:rsidRDefault="00936DE1" w:rsidP="00936DE1">
      <w:pPr>
        <w:pStyle w:val="ListParagraph"/>
        <w:numPr>
          <w:ilvl w:val="0"/>
          <w:numId w:val="15"/>
        </w:num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sz w:val="24"/>
          <w:szCs w:val="24"/>
        </w:rPr>
        <w:t>Loans to members: $40 billion</w:t>
      </w:r>
    </w:p>
    <w:p w14:paraId="054097FE" w14:textId="77777777" w:rsidR="00936DE1" w:rsidRPr="00936DE1" w:rsidRDefault="00936DE1" w:rsidP="00936DE1">
      <w:pPr>
        <w:pStyle w:val="ListParagraph"/>
        <w:numPr>
          <w:ilvl w:val="0"/>
          <w:numId w:val="15"/>
        </w:num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sz w:val="24"/>
          <w:szCs w:val="24"/>
        </w:rPr>
        <w:t>Investments: $10 billion</w:t>
      </w:r>
    </w:p>
    <w:p w14:paraId="1A13A2F3" w14:textId="77777777" w:rsidR="004208B7" w:rsidRDefault="004208B7" w:rsidP="00936DE1">
      <w:pPr>
        <w:spacing w:before="100" w:beforeAutospacing="1" w:after="100" w:afterAutospacing="1" w:line="360" w:lineRule="auto"/>
        <w:rPr>
          <w:rFonts w:ascii="Times New Roman" w:hAnsi="Times New Roman" w:cs="Times New Roman"/>
          <w:b/>
          <w:bCs/>
        </w:rPr>
      </w:pPr>
    </w:p>
    <w:p w14:paraId="7E5EF62D" w14:textId="77777777" w:rsidR="00936DE1" w:rsidRPr="004208B7" w:rsidRDefault="00936DE1" w:rsidP="00936DE1">
      <w:pPr>
        <w:spacing w:before="100" w:beforeAutospacing="1" w:after="100" w:afterAutospacing="1" w:line="360" w:lineRule="auto"/>
        <w:rPr>
          <w:rFonts w:ascii="Times New Roman" w:hAnsi="Times New Roman" w:cs="Times New Roman"/>
          <w:b/>
          <w:bCs/>
          <w:sz w:val="24"/>
          <w:szCs w:val="24"/>
        </w:rPr>
      </w:pPr>
      <w:r w:rsidRPr="004208B7">
        <w:rPr>
          <w:rFonts w:ascii="Times New Roman" w:hAnsi="Times New Roman" w:cs="Times New Roman"/>
          <w:b/>
          <w:bCs/>
          <w:sz w:val="24"/>
          <w:szCs w:val="24"/>
        </w:rPr>
        <w:lastRenderedPageBreak/>
        <w:t>Fee Income</w:t>
      </w:r>
    </w:p>
    <w:p w14:paraId="1C171B81" w14:textId="77777777" w:rsidR="00936DE1" w:rsidRPr="004208B7" w:rsidRDefault="00936DE1" w:rsidP="00936DE1">
      <w:pPr>
        <w:numPr>
          <w:ilvl w:val="0"/>
          <w:numId w:val="8"/>
        </w:numPr>
        <w:spacing w:before="100" w:beforeAutospacing="1" w:after="100" w:afterAutospacing="1" w:line="360" w:lineRule="auto"/>
        <w:rPr>
          <w:rFonts w:ascii="Times New Roman" w:hAnsi="Times New Roman" w:cs="Times New Roman"/>
          <w:sz w:val="24"/>
          <w:szCs w:val="24"/>
        </w:rPr>
      </w:pPr>
      <w:r w:rsidRPr="004208B7">
        <w:rPr>
          <w:rFonts w:ascii="Times New Roman" w:hAnsi="Times New Roman" w:cs="Times New Roman"/>
          <w:b/>
          <w:bCs/>
          <w:sz w:val="24"/>
          <w:szCs w:val="24"/>
        </w:rPr>
        <w:t>Service fees</w:t>
      </w:r>
      <w:r w:rsidRPr="004208B7">
        <w:rPr>
          <w:rFonts w:ascii="Times New Roman" w:hAnsi="Times New Roman" w:cs="Times New Roman"/>
          <w:sz w:val="24"/>
          <w:szCs w:val="24"/>
        </w:rPr>
        <w:t>: Charges for account maintenance, overdrafts, ATM usage, and other banking services.</w:t>
      </w:r>
    </w:p>
    <w:p w14:paraId="3D86E0C8" w14:textId="77777777" w:rsidR="00936DE1" w:rsidRPr="004208B7" w:rsidRDefault="00936DE1" w:rsidP="00936DE1">
      <w:pPr>
        <w:numPr>
          <w:ilvl w:val="0"/>
          <w:numId w:val="8"/>
        </w:numPr>
        <w:spacing w:before="100" w:beforeAutospacing="1" w:after="100" w:afterAutospacing="1" w:line="360" w:lineRule="auto"/>
        <w:rPr>
          <w:rFonts w:ascii="Times New Roman" w:hAnsi="Times New Roman" w:cs="Times New Roman"/>
          <w:sz w:val="24"/>
          <w:szCs w:val="24"/>
        </w:rPr>
      </w:pPr>
      <w:r w:rsidRPr="004208B7">
        <w:rPr>
          <w:rFonts w:ascii="Times New Roman" w:hAnsi="Times New Roman" w:cs="Times New Roman"/>
          <w:b/>
          <w:bCs/>
          <w:sz w:val="24"/>
          <w:szCs w:val="24"/>
        </w:rPr>
        <w:t>Transaction fees</w:t>
      </w:r>
      <w:r w:rsidRPr="004208B7">
        <w:rPr>
          <w:rFonts w:ascii="Times New Roman" w:hAnsi="Times New Roman" w:cs="Times New Roman"/>
          <w:sz w:val="24"/>
          <w:szCs w:val="24"/>
        </w:rPr>
        <w:t>: Fees associated with wire transfers, foreign transactions, and other similar services.</w:t>
      </w:r>
    </w:p>
    <w:p w14:paraId="7A6A25FB" w14:textId="77777777" w:rsidR="00936DE1" w:rsidRPr="004208B7" w:rsidRDefault="00936DE1" w:rsidP="00936DE1">
      <w:pPr>
        <w:pStyle w:val="NormalWeb"/>
        <w:spacing w:line="360" w:lineRule="auto"/>
        <w:rPr>
          <w:rFonts w:eastAsiaTheme="minorHAnsi"/>
          <w:kern w:val="2"/>
          <w:lang w:eastAsia="en-US"/>
          <w14:ligatures w14:val="standardContextual"/>
        </w:rPr>
      </w:pPr>
      <w:r w:rsidRPr="004208B7">
        <w:rPr>
          <w:rFonts w:eastAsiaTheme="minorHAnsi"/>
          <w:kern w:val="2"/>
          <w:lang w:eastAsia="en-US"/>
          <w14:ligatures w14:val="standardContextual"/>
        </w:rPr>
        <w:t xml:space="preserve">Fee income generally accounts for about </w:t>
      </w:r>
      <w:r w:rsidRPr="004208B7">
        <w:rPr>
          <w:rFonts w:eastAsiaTheme="minorHAnsi"/>
          <w:b/>
          <w:bCs/>
          <w:kern w:val="2"/>
          <w:lang w:eastAsia="en-US"/>
          <w14:ligatures w14:val="standardContextual"/>
        </w:rPr>
        <w:t>10-20%</w:t>
      </w:r>
      <w:r w:rsidRPr="004208B7">
        <w:rPr>
          <w:rFonts w:eastAsiaTheme="minorHAnsi"/>
          <w:kern w:val="2"/>
          <w:lang w:eastAsia="en-US"/>
          <w14:ligatures w14:val="standardContextual"/>
        </w:rPr>
        <w:t xml:space="preserve"> of the total revenue.</w:t>
      </w:r>
    </w:p>
    <w:p w14:paraId="553FF968" w14:textId="77777777" w:rsidR="00936DE1" w:rsidRPr="004208B7" w:rsidRDefault="00936DE1" w:rsidP="00936DE1">
      <w:pPr>
        <w:pStyle w:val="NormalWeb"/>
        <w:spacing w:line="360" w:lineRule="auto"/>
        <w:rPr>
          <w:rFonts w:eastAsiaTheme="minorHAnsi"/>
          <w:kern w:val="2"/>
          <w:lang w:eastAsia="en-US"/>
          <w14:ligatures w14:val="standardContextual"/>
        </w:rPr>
      </w:pPr>
      <w:r w:rsidRPr="004208B7">
        <w:rPr>
          <w:b/>
          <w:bCs/>
        </w:rPr>
        <w:t>Total fee income</w:t>
      </w:r>
      <w:r w:rsidRPr="004208B7">
        <w:t>: $10 billion</w:t>
      </w:r>
    </w:p>
    <w:p w14:paraId="124FE1ED" w14:textId="77777777" w:rsidR="00936DE1" w:rsidRPr="004208B7" w:rsidRDefault="00936DE1" w:rsidP="00936DE1">
      <w:pPr>
        <w:pStyle w:val="ListParagraph"/>
        <w:numPr>
          <w:ilvl w:val="0"/>
          <w:numId w:val="14"/>
        </w:numPr>
        <w:spacing w:before="100" w:beforeAutospacing="1" w:after="100" w:afterAutospacing="1" w:line="360" w:lineRule="auto"/>
        <w:rPr>
          <w:rFonts w:ascii="Times New Roman" w:hAnsi="Times New Roman" w:cs="Times New Roman"/>
          <w:sz w:val="24"/>
          <w:szCs w:val="24"/>
        </w:rPr>
      </w:pPr>
      <w:r w:rsidRPr="004208B7">
        <w:rPr>
          <w:rFonts w:ascii="Times New Roman" w:hAnsi="Times New Roman" w:cs="Times New Roman"/>
          <w:sz w:val="24"/>
          <w:szCs w:val="24"/>
        </w:rPr>
        <w:t>Service fees: $7 billion</w:t>
      </w:r>
    </w:p>
    <w:p w14:paraId="1D9AFE17" w14:textId="77777777" w:rsidR="00936DE1" w:rsidRPr="004208B7" w:rsidRDefault="00936DE1" w:rsidP="00936DE1">
      <w:pPr>
        <w:pStyle w:val="ListParagraph"/>
        <w:numPr>
          <w:ilvl w:val="0"/>
          <w:numId w:val="14"/>
        </w:numPr>
        <w:spacing w:before="100" w:beforeAutospacing="1" w:after="100" w:afterAutospacing="1" w:line="360" w:lineRule="auto"/>
        <w:rPr>
          <w:rFonts w:ascii="Times New Roman" w:hAnsi="Times New Roman" w:cs="Times New Roman"/>
          <w:sz w:val="24"/>
          <w:szCs w:val="24"/>
        </w:rPr>
      </w:pPr>
      <w:r w:rsidRPr="004208B7">
        <w:rPr>
          <w:rFonts w:ascii="Times New Roman" w:hAnsi="Times New Roman" w:cs="Times New Roman"/>
          <w:sz w:val="24"/>
          <w:szCs w:val="24"/>
        </w:rPr>
        <w:t>Transaction fees: $3 billion</w:t>
      </w:r>
    </w:p>
    <w:p w14:paraId="5E128CA6" w14:textId="77777777" w:rsidR="00936DE1" w:rsidRPr="004208B7" w:rsidRDefault="00936DE1" w:rsidP="00936DE1">
      <w:pPr>
        <w:spacing w:before="100" w:beforeAutospacing="1" w:after="100" w:afterAutospacing="1" w:line="360" w:lineRule="auto"/>
        <w:rPr>
          <w:rFonts w:ascii="Times New Roman" w:hAnsi="Times New Roman" w:cs="Times New Roman"/>
          <w:b/>
          <w:bCs/>
          <w:sz w:val="28"/>
          <w:szCs w:val="28"/>
        </w:rPr>
      </w:pPr>
      <w:r w:rsidRPr="004208B7">
        <w:rPr>
          <w:rFonts w:ascii="Times New Roman" w:hAnsi="Times New Roman" w:cs="Times New Roman"/>
          <w:b/>
          <w:bCs/>
          <w:sz w:val="24"/>
          <w:szCs w:val="24"/>
        </w:rPr>
        <w:t>Other Income</w:t>
      </w:r>
    </w:p>
    <w:p w14:paraId="08AAA369" w14:textId="77777777" w:rsidR="00936DE1" w:rsidRPr="00936DE1" w:rsidRDefault="00936DE1" w:rsidP="00936DE1">
      <w:pPr>
        <w:pStyle w:val="NormalWeb"/>
        <w:spacing w:line="360" w:lineRule="auto"/>
        <w:rPr>
          <w:rFonts w:eastAsiaTheme="minorHAnsi"/>
          <w:kern w:val="2"/>
          <w:lang w:eastAsia="en-US"/>
          <w14:ligatures w14:val="standardContextual"/>
        </w:rPr>
      </w:pPr>
      <w:r w:rsidRPr="00936DE1">
        <w:rPr>
          <w:rFonts w:eastAsiaTheme="minorHAnsi"/>
          <w:kern w:val="2"/>
          <w:lang w:eastAsia="en-US"/>
          <w14:ligatures w14:val="standardContextual"/>
        </w:rPr>
        <w:t>Other income includes miscellaneous sources such as:</w:t>
      </w:r>
    </w:p>
    <w:p w14:paraId="154BA43A" w14:textId="77777777" w:rsidR="00936DE1" w:rsidRPr="00936DE1" w:rsidRDefault="00936DE1" w:rsidP="00936DE1">
      <w:pPr>
        <w:numPr>
          <w:ilvl w:val="0"/>
          <w:numId w:val="10"/>
        </w:num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b/>
          <w:bCs/>
          <w:sz w:val="24"/>
          <w:szCs w:val="24"/>
        </w:rPr>
        <w:t>Non-interest income</w:t>
      </w:r>
      <w:r w:rsidRPr="00936DE1">
        <w:rPr>
          <w:rFonts w:ascii="Times New Roman" w:hAnsi="Times New Roman" w:cs="Times New Roman"/>
          <w:sz w:val="24"/>
          <w:szCs w:val="24"/>
        </w:rPr>
        <w:t>: Income from activities like insurance commissions, investment sales, and other non-traditional banking services.</w:t>
      </w:r>
    </w:p>
    <w:p w14:paraId="11E7F793" w14:textId="77777777" w:rsidR="00936DE1" w:rsidRPr="00936DE1" w:rsidRDefault="00936DE1" w:rsidP="00936DE1">
      <w:pPr>
        <w:numPr>
          <w:ilvl w:val="0"/>
          <w:numId w:val="10"/>
        </w:num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b/>
          <w:bCs/>
          <w:sz w:val="24"/>
          <w:szCs w:val="24"/>
        </w:rPr>
        <w:t>Gains on sales of assets</w:t>
      </w:r>
      <w:r w:rsidRPr="00936DE1">
        <w:rPr>
          <w:rFonts w:ascii="Times New Roman" w:hAnsi="Times New Roman" w:cs="Times New Roman"/>
          <w:sz w:val="24"/>
          <w:szCs w:val="24"/>
        </w:rPr>
        <w:t>: Profits from selling securities or other assets.</w:t>
      </w:r>
    </w:p>
    <w:p w14:paraId="0B118637" w14:textId="77777777" w:rsidR="00936DE1" w:rsidRPr="00936DE1" w:rsidRDefault="00936DE1" w:rsidP="00936DE1">
      <w:pPr>
        <w:numPr>
          <w:ilvl w:val="0"/>
          <w:numId w:val="10"/>
        </w:num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b/>
          <w:bCs/>
          <w:sz w:val="24"/>
          <w:szCs w:val="24"/>
        </w:rPr>
        <w:t>Miscellaneous income</w:t>
      </w:r>
      <w:r w:rsidRPr="00936DE1">
        <w:rPr>
          <w:rFonts w:ascii="Times New Roman" w:hAnsi="Times New Roman" w:cs="Times New Roman"/>
          <w:sz w:val="24"/>
          <w:szCs w:val="24"/>
        </w:rPr>
        <w:t>: Includes any other income not categorized above.</w:t>
      </w:r>
    </w:p>
    <w:p w14:paraId="3A56AE38" w14:textId="77777777" w:rsidR="00936DE1" w:rsidRPr="00936DE1" w:rsidRDefault="00936DE1" w:rsidP="00936DE1">
      <w:pPr>
        <w:pStyle w:val="NormalWeb"/>
        <w:spacing w:line="360" w:lineRule="auto"/>
        <w:rPr>
          <w:rFonts w:eastAsiaTheme="minorHAnsi"/>
          <w:kern w:val="2"/>
          <w:lang w:eastAsia="en-US"/>
          <w14:ligatures w14:val="standardContextual"/>
        </w:rPr>
      </w:pPr>
      <w:r w:rsidRPr="00936DE1">
        <w:rPr>
          <w:rFonts w:eastAsiaTheme="minorHAnsi"/>
          <w:kern w:val="2"/>
          <w:lang w:eastAsia="en-US"/>
          <w14:ligatures w14:val="standardContextual"/>
        </w:rPr>
        <w:t xml:space="preserve">Other income usually makes up about </w:t>
      </w:r>
      <w:r w:rsidRPr="00936DE1">
        <w:rPr>
          <w:rFonts w:eastAsiaTheme="minorHAnsi"/>
          <w:b/>
          <w:bCs/>
          <w:kern w:val="2"/>
          <w:lang w:eastAsia="en-US"/>
          <w14:ligatures w14:val="standardContextual"/>
        </w:rPr>
        <w:t>5-10%</w:t>
      </w:r>
      <w:r w:rsidRPr="00936DE1">
        <w:rPr>
          <w:rFonts w:eastAsiaTheme="minorHAnsi"/>
          <w:kern w:val="2"/>
          <w:lang w:eastAsia="en-US"/>
          <w14:ligatures w14:val="standardContextual"/>
        </w:rPr>
        <w:t xml:space="preserve"> of total revenue.</w:t>
      </w:r>
    </w:p>
    <w:p w14:paraId="2A6663B3" w14:textId="77777777" w:rsidR="00936DE1" w:rsidRPr="00936DE1" w:rsidRDefault="00936DE1" w:rsidP="00936DE1">
      <w:p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b/>
          <w:bCs/>
          <w:sz w:val="24"/>
          <w:szCs w:val="24"/>
        </w:rPr>
        <w:t>Total other income</w:t>
      </w:r>
      <w:r w:rsidRPr="00936DE1">
        <w:rPr>
          <w:rFonts w:ascii="Times New Roman" w:hAnsi="Times New Roman" w:cs="Times New Roman"/>
          <w:sz w:val="24"/>
          <w:szCs w:val="24"/>
        </w:rPr>
        <w:t>: $5 billion</w:t>
      </w:r>
    </w:p>
    <w:p w14:paraId="350B9D33" w14:textId="77777777" w:rsidR="00936DE1" w:rsidRPr="00936DE1" w:rsidRDefault="00936DE1" w:rsidP="00936DE1">
      <w:pPr>
        <w:pStyle w:val="ListParagraph"/>
        <w:numPr>
          <w:ilvl w:val="0"/>
          <w:numId w:val="16"/>
        </w:num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sz w:val="24"/>
          <w:szCs w:val="24"/>
        </w:rPr>
        <w:t>Non-interest income: $3 billion</w:t>
      </w:r>
    </w:p>
    <w:p w14:paraId="199A78D5" w14:textId="77777777" w:rsidR="00936DE1" w:rsidRPr="00936DE1" w:rsidRDefault="00936DE1" w:rsidP="00936DE1">
      <w:pPr>
        <w:pStyle w:val="ListParagraph"/>
        <w:numPr>
          <w:ilvl w:val="0"/>
          <w:numId w:val="16"/>
        </w:num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sz w:val="24"/>
          <w:szCs w:val="24"/>
        </w:rPr>
        <w:t>Gains on sales of assets: $1 billion</w:t>
      </w:r>
    </w:p>
    <w:p w14:paraId="561A4BE9" w14:textId="77777777" w:rsidR="00936DE1" w:rsidRPr="00936DE1" w:rsidRDefault="00936DE1" w:rsidP="00936DE1">
      <w:pPr>
        <w:pStyle w:val="ListParagraph"/>
        <w:numPr>
          <w:ilvl w:val="0"/>
          <w:numId w:val="16"/>
        </w:numPr>
        <w:spacing w:before="100" w:beforeAutospacing="1" w:after="100" w:afterAutospacing="1" w:line="360" w:lineRule="auto"/>
        <w:rPr>
          <w:rFonts w:ascii="Times New Roman" w:hAnsi="Times New Roman" w:cs="Times New Roman"/>
          <w:sz w:val="24"/>
          <w:szCs w:val="24"/>
        </w:rPr>
      </w:pPr>
      <w:r w:rsidRPr="00936DE1">
        <w:rPr>
          <w:rFonts w:ascii="Times New Roman" w:hAnsi="Times New Roman" w:cs="Times New Roman"/>
          <w:sz w:val="24"/>
          <w:szCs w:val="24"/>
        </w:rPr>
        <w:t>Miscellaneous income: $1 billion</w:t>
      </w:r>
    </w:p>
    <w:p w14:paraId="49DEFCE4" w14:textId="77777777" w:rsidR="002409C6" w:rsidRPr="00077BFA" w:rsidRDefault="002409C6" w:rsidP="006223A0">
      <w:pPr>
        <w:spacing w:line="360" w:lineRule="auto"/>
        <w:rPr>
          <w:rFonts w:ascii="Times New Roman" w:hAnsi="Times New Roman" w:cs="Times New Roman"/>
          <w:b/>
          <w:bCs/>
          <w:sz w:val="28"/>
          <w:szCs w:val="28"/>
          <w:u w:val="single"/>
        </w:rPr>
      </w:pPr>
      <w:r w:rsidRPr="00077BFA">
        <w:rPr>
          <w:rFonts w:ascii="Times New Roman" w:hAnsi="Times New Roman" w:cs="Times New Roman"/>
          <w:b/>
          <w:bCs/>
          <w:sz w:val="28"/>
          <w:szCs w:val="28"/>
          <w:u w:val="single"/>
        </w:rPr>
        <w:t>Investment Banks</w:t>
      </w:r>
    </w:p>
    <w:p w14:paraId="0A98891A" w14:textId="77777777" w:rsidR="00F459C6" w:rsidRDefault="002409C6" w:rsidP="006223A0">
      <w:pPr>
        <w:spacing w:line="360" w:lineRule="auto"/>
        <w:rPr>
          <w:rFonts w:ascii="Times New Roman" w:hAnsi="Times New Roman" w:cs="Times New Roman"/>
          <w:sz w:val="24"/>
          <w:szCs w:val="24"/>
        </w:rPr>
      </w:pPr>
      <w:r w:rsidRPr="00F459C6">
        <w:rPr>
          <w:rFonts w:ascii="Times New Roman" w:hAnsi="Times New Roman" w:cs="Times New Roman"/>
          <w:sz w:val="24"/>
          <w:szCs w:val="24"/>
        </w:rPr>
        <w:t>These banks are responsible for corporate-level investing activities, including handling commodities, foreign transactions, and securities. They may also be involved in acquisitions and mergers or trading derivatives. Investment banks must comply with consumer, federal, and state regulations.</w:t>
      </w:r>
    </w:p>
    <w:p w14:paraId="18D06EDC" w14:textId="77777777" w:rsidR="00BD6C4E" w:rsidRPr="00BD6C4E" w:rsidRDefault="00BD6C4E" w:rsidP="00BD6C4E">
      <w:pPr>
        <w:spacing w:line="360" w:lineRule="auto"/>
        <w:rPr>
          <w:rFonts w:ascii="Times New Roman" w:hAnsi="Times New Roman" w:cs="Times New Roman"/>
          <w:b/>
          <w:bCs/>
          <w:sz w:val="24"/>
          <w:szCs w:val="24"/>
        </w:rPr>
      </w:pPr>
      <w:r w:rsidRPr="00BD6C4E">
        <w:rPr>
          <w:rFonts w:ascii="Times New Roman" w:hAnsi="Times New Roman" w:cs="Times New Roman"/>
          <w:b/>
          <w:bCs/>
          <w:sz w:val="24"/>
          <w:szCs w:val="24"/>
        </w:rPr>
        <w:lastRenderedPageBreak/>
        <w:t>Advisory Fees (Mergers &amp; Acquisitions)</w:t>
      </w:r>
    </w:p>
    <w:p w14:paraId="0F399B2F" w14:textId="77777777" w:rsidR="00BD6C4E" w:rsidRPr="00BD6C4E" w:rsidRDefault="00BD6C4E" w:rsidP="00BD6C4E">
      <w:pPr>
        <w:spacing w:line="360" w:lineRule="auto"/>
        <w:rPr>
          <w:rFonts w:ascii="Times New Roman" w:hAnsi="Times New Roman" w:cs="Times New Roman"/>
          <w:sz w:val="24"/>
          <w:szCs w:val="24"/>
        </w:rPr>
      </w:pPr>
      <w:r w:rsidRPr="00BD6C4E">
        <w:rPr>
          <w:rFonts w:ascii="Times New Roman" w:hAnsi="Times New Roman" w:cs="Times New Roman"/>
          <w:sz w:val="24"/>
          <w:szCs w:val="24"/>
        </w:rPr>
        <w:t xml:space="preserve">Investment banks earn advisory fees by </w:t>
      </w:r>
      <w:r>
        <w:rPr>
          <w:rFonts w:ascii="Times New Roman" w:hAnsi="Times New Roman" w:cs="Times New Roman"/>
          <w:sz w:val="24"/>
          <w:szCs w:val="24"/>
        </w:rPr>
        <w:t>guiding</w:t>
      </w:r>
      <w:r w:rsidRPr="00BD6C4E">
        <w:rPr>
          <w:rFonts w:ascii="Times New Roman" w:hAnsi="Times New Roman" w:cs="Times New Roman"/>
          <w:sz w:val="24"/>
          <w:szCs w:val="24"/>
        </w:rPr>
        <w:t xml:space="preserve"> mergers, acquisitions, divestitures, and other financial transactions. This is a significant revenue stream, especially during periods of high M&amp;A activity.</w:t>
      </w:r>
    </w:p>
    <w:p w14:paraId="30030276" w14:textId="77777777" w:rsidR="00BD6C4E" w:rsidRPr="00BD6C4E" w:rsidRDefault="00BD6C4E" w:rsidP="00BD6C4E">
      <w:pPr>
        <w:spacing w:line="360" w:lineRule="auto"/>
        <w:rPr>
          <w:rFonts w:ascii="Times New Roman" w:hAnsi="Times New Roman" w:cs="Times New Roman"/>
          <w:sz w:val="24"/>
          <w:szCs w:val="24"/>
        </w:rPr>
      </w:pPr>
      <w:r w:rsidRPr="00BD6C4E">
        <w:rPr>
          <w:rFonts w:ascii="Times New Roman" w:hAnsi="Times New Roman" w:cs="Times New Roman"/>
          <w:b/>
          <w:bCs/>
          <w:sz w:val="24"/>
          <w:szCs w:val="24"/>
        </w:rPr>
        <w:t>Example:</w:t>
      </w:r>
      <w:r w:rsidRPr="00BD6C4E">
        <w:rPr>
          <w:rFonts w:ascii="Times New Roman" w:hAnsi="Times New Roman" w:cs="Times New Roman"/>
          <w:sz w:val="24"/>
          <w:szCs w:val="24"/>
        </w:rPr>
        <w:t xml:space="preserve"> In 2022, global M&amp;A advisory fees </w:t>
      </w:r>
      <w:proofErr w:type="spellStart"/>
      <w:r w:rsidR="00077BFA">
        <w:rPr>
          <w:rFonts w:ascii="Times New Roman" w:hAnsi="Times New Roman" w:cs="Times New Roman"/>
          <w:sz w:val="24"/>
          <w:szCs w:val="24"/>
        </w:rPr>
        <w:t>totaled</w:t>
      </w:r>
      <w:proofErr w:type="spellEnd"/>
      <w:r w:rsidRPr="00BD6C4E">
        <w:rPr>
          <w:rFonts w:ascii="Times New Roman" w:hAnsi="Times New Roman" w:cs="Times New Roman"/>
          <w:sz w:val="24"/>
          <w:szCs w:val="24"/>
        </w:rPr>
        <w:t xml:space="preserve"> approximately $46 billion, with U.S. banks like Goldman Sachs, JPMorgan Chase, and Morgan Stanley capturing a substantial portion of these fees.</w:t>
      </w:r>
    </w:p>
    <w:p w14:paraId="7E823F08" w14:textId="77777777" w:rsidR="00BD6C4E" w:rsidRPr="00BD6C4E" w:rsidRDefault="00BD6C4E" w:rsidP="00BD6C4E">
      <w:pPr>
        <w:spacing w:line="360" w:lineRule="auto"/>
        <w:rPr>
          <w:rFonts w:ascii="Times New Roman" w:hAnsi="Times New Roman" w:cs="Times New Roman"/>
          <w:b/>
          <w:bCs/>
          <w:sz w:val="24"/>
          <w:szCs w:val="24"/>
        </w:rPr>
      </w:pPr>
      <w:r w:rsidRPr="00BD6C4E">
        <w:rPr>
          <w:rFonts w:ascii="Times New Roman" w:hAnsi="Times New Roman" w:cs="Times New Roman"/>
          <w:b/>
          <w:bCs/>
          <w:sz w:val="24"/>
          <w:szCs w:val="24"/>
        </w:rPr>
        <w:t>Underwriting Fees (Equity and Debt Offerings)</w:t>
      </w:r>
    </w:p>
    <w:p w14:paraId="65B911C3" w14:textId="77777777" w:rsidR="00BD6C4E" w:rsidRPr="00BD6C4E" w:rsidRDefault="00BD6C4E" w:rsidP="00BD6C4E">
      <w:pPr>
        <w:spacing w:line="360" w:lineRule="auto"/>
        <w:rPr>
          <w:rFonts w:ascii="Times New Roman" w:hAnsi="Times New Roman" w:cs="Times New Roman"/>
          <w:sz w:val="24"/>
          <w:szCs w:val="24"/>
        </w:rPr>
      </w:pPr>
      <w:r w:rsidRPr="00BD6C4E">
        <w:rPr>
          <w:rFonts w:ascii="Times New Roman" w:hAnsi="Times New Roman" w:cs="Times New Roman"/>
          <w:sz w:val="24"/>
          <w:szCs w:val="24"/>
        </w:rPr>
        <w:t>Investment banks underwrite equity and debt offerings, earning fees for their services in raising capital for corporations through initial public offerings (IPOs), secondary offerings, and bond issuances.</w:t>
      </w:r>
    </w:p>
    <w:p w14:paraId="07EB496C" w14:textId="77777777" w:rsidR="00077BFA" w:rsidRPr="00BD6C4E" w:rsidRDefault="00BD6C4E" w:rsidP="00BD6C4E">
      <w:pPr>
        <w:spacing w:line="360" w:lineRule="auto"/>
        <w:rPr>
          <w:rFonts w:ascii="Times New Roman" w:hAnsi="Times New Roman" w:cs="Times New Roman"/>
          <w:sz w:val="24"/>
          <w:szCs w:val="24"/>
        </w:rPr>
      </w:pPr>
      <w:r w:rsidRPr="00BD6C4E">
        <w:rPr>
          <w:rFonts w:ascii="Times New Roman" w:hAnsi="Times New Roman" w:cs="Times New Roman"/>
          <w:b/>
          <w:bCs/>
          <w:sz w:val="24"/>
          <w:szCs w:val="24"/>
        </w:rPr>
        <w:t>Example:</w:t>
      </w:r>
      <w:r w:rsidRPr="00BD6C4E">
        <w:rPr>
          <w:rFonts w:ascii="Times New Roman" w:hAnsi="Times New Roman" w:cs="Times New Roman"/>
          <w:sz w:val="24"/>
          <w:szCs w:val="24"/>
        </w:rPr>
        <w:t xml:space="preserve"> In 2022, the underwriting fees for IPOs in the U.S. amounted to around $7 billion. Despite a slower IPO market in some years, debt underwriting remains robust, contributing several billion dollars annually.</w:t>
      </w:r>
    </w:p>
    <w:p w14:paraId="686C7711" w14:textId="77777777" w:rsidR="00BD6C4E" w:rsidRPr="00BD6C4E" w:rsidRDefault="00BD6C4E" w:rsidP="00BD6C4E">
      <w:pPr>
        <w:spacing w:line="360" w:lineRule="auto"/>
        <w:rPr>
          <w:rFonts w:ascii="Times New Roman" w:hAnsi="Times New Roman" w:cs="Times New Roman"/>
          <w:b/>
          <w:bCs/>
          <w:sz w:val="24"/>
          <w:szCs w:val="24"/>
        </w:rPr>
      </w:pPr>
      <w:r w:rsidRPr="00BD6C4E">
        <w:rPr>
          <w:rFonts w:ascii="Times New Roman" w:hAnsi="Times New Roman" w:cs="Times New Roman"/>
          <w:b/>
          <w:bCs/>
          <w:sz w:val="24"/>
          <w:szCs w:val="24"/>
        </w:rPr>
        <w:t>Trading Revenues</w:t>
      </w:r>
    </w:p>
    <w:p w14:paraId="2420C847" w14:textId="77777777" w:rsidR="00BD6C4E" w:rsidRPr="00BD6C4E" w:rsidRDefault="00BD6C4E" w:rsidP="00BD6C4E">
      <w:pPr>
        <w:spacing w:line="360" w:lineRule="auto"/>
        <w:rPr>
          <w:rFonts w:ascii="Times New Roman" w:hAnsi="Times New Roman" w:cs="Times New Roman"/>
          <w:sz w:val="24"/>
          <w:szCs w:val="24"/>
        </w:rPr>
      </w:pPr>
      <w:r w:rsidRPr="00BD6C4E">
        <w:rPr>
          <w:rFonts w:ascii="Times New Roman" w:hAnsi="Times New Roman" w:cs="Times New Roman"/>
          <w:sz w:val="24"/>
          <w:szCs w:val="24"/>
        </w:rPr>
        <w:t>Revenues from trading activities, including market-making, proprietary trading, and trading on behalf of clients, form a significant part of an investment bank's income. This includes equities, fixed income, currencies, and commodities (FICC).</w:t>
      </w:r>
    </w:p>
    <w:p w14:paraId="18B0245C" w14:textId="77777777" w:rsidR="00BD6C4E" w:rsidRPr="00BD6C4E" w:rsidRDefault="00BD6C4E" w:rsidP="00BD6C4E">
      <w:pPr>
        <w:spacing w:line="360" w:lineRule="auto"/>
        <w:rPr>
          <w:rFonts w:ascii="Times New Roman" w:hAnsi="Times New Roman" w:cs="Times New Roman"/>
          <w:sz w:val="24"/>
          <w:szCs w:val="24"/>
        </w:rPr>
      </w:pPr>
      <w:r w:rsidRPr="00BD6C4E">
        <w:rPr>
          <w:rFonts w:ascii="Times New Roman" w:hAnsi="Times New Roman" w:cs="Times New Roman"/>
          <w:b/>
          <w:bCs/>
          <w:sz w:val="24"/>
          <w:szCs w:val="24"/>
        </w:rPr>
        <w:t>Example:</w:t>
      </w:r>
      <w:r w:rsidRPr="00BD6C4E">
        <w:rPr>
          <w:rFonts w:ascii="Times New Roman" w:hAnsi="Times New Roman" w:cs="Times New Roman"/>
          <w:sz w:val="24"/>
          <w:szCs w:val="24"/>
        </w:rPr>
        <w:t xml:space="preserve"> In 2022, the top five U.S. investment banks (Goldman Sachs, Morgan Stanley, JPMorgan Chase, Bank of America, and Citigroup) collectively generated around $85 billion in trading revenues.</w:t>
      </w:r>
    </w:p>
    <w:p w14:paraId="386FABB9" w14:textId="77777777" w:rsidR="00BD6C4E" w:rsidRPr="00BD6C4E" w:rsidRDefault="00BD6C4E" w:rsidP="00BD6C4E">
      <w:pPr>
        <w:spacing w:line="360" w:lineRule="auto"/>
        <w:rPr>
          <w:rFonts w:ascii="Times New Roman" w:hAnsi="Times New Roman" w:cs="Times New Roman"/>
          <w:b/>
          <w:bCs/>
          <w:sz w:val="24"/>
          <w:szCs w:val="24"/>
        </w:rPr>
      </w:pPr>
      <w:r w:rsidRPr="00BD6C4E">
        <w:rPr>
          <w:rFonts w:ascii="Times New Roman" w:hAnsi="Times New Roman" w:cs="Times New Roman"/>
          <w:b/>
          <w:bCs/>
          <w:sz w:val="24"/>
          <w:szCs w:val="24"/>
        </w:rPr>
        <w:t>Asset Management Fees</w:t>
      </w:r>
    </w:p>
    <w:p w14:paraId="2F1BAAEE" w14:textId="77777777" w:rsidR="00BD6C4E" w:rsidRPr="00BD6C4E" w:rsidRDefault="00BD6C4E" w:rsidP="00BD6C4E">
      <w:pPr>
        <w:spacing w:line="360" w:lineRule="auto"/>
        <w:rPr>
          <w:rFonts w:ascii="Times New Roman" w:hAnsi="Times New Roman" w:cs="Times New Roman"/>
          <w:sz w:val="24"/>
          <w:szCs w:val="24"/>
        </w:rPr>
      </w:pPr>
      <w:r w:rsidRPr="00BD6C4E">
        <w:rPr>
          <w:rFonts w:ascii="Times New Roman" w:hAnsi="Times New Roman" w:cs="Times New Roman"/>
          <w:sz w:val="24"/>
          <w:szCs w:val="24"/>
        </w:rPr>
        <w:t>Investment banks with asset management divisions earn fees by managing assets for institutional and retail clients. This includes mutual funds, hedge funds, private equity, and wealth management services.</w:t>
      </w:r>
    </w:p>
    <w:p w14:paraId="53793451" w14:textId="77777777" w:rsidR="00BD6C4E" w:rsidRPr="00BD6C4E" w:rsidRDefault="00BD6C4E" w:rsidP="00BD6C4E">
      <w:pPr>
        <w:spacing w:line="360" w:lineRule="auto"/>
        <w:rPr>
          <w:rFonts w:ascii="Times New Roman" w:hAnsi="Times New Roman" w:cs="Times New Roman"/>
          <w:sz w:val="24"/>
          <w:szCs w:val="24"/>
        </w:rPr>
      </w:pPr>
      <w:r w:rsidRPr="00BD6C4E">
        <w:rPr>
          <w:rFonts w:ascii="Times New Roman" w:hAnsi="Times New Roman" w:cs="Times New Roman"/>
          <w:b/>
          <w:bCs/>
          <w:sz w:val="24"/>
          <w:szCs w:val="24"/>
        </w:rPr>
        <w:t>Example:</w:t>
      </w:r>
      <w:r>
        <w:rPr>
          <w:rFonts w:ascii="Times New Roman" w:hAnsi="Times New Roman" w:cs="Times New Roman"/>
          <w:sz w:val="24"/>
          <w:szCs w:val="24"/>
        </w:rPr>
        <w:t xml:space="preserve"> </w:t>
      </w:r>
      <w:r w:rsidRPr="00BD6C4E">
        <w:rPr>
          <w:rFonts w:ascii="Times New Roman" w:hAnsi="Times New Roman" w:cs="Times New Roman"/>
          <w:sz w:val="24"/>
          <w:szCs w:val="24"/>
        </w:rPr>
        <w:t>In 2022, asset management fees for major U.S. investment banks contributed approximately $30 billion in revenues.</w:t>
      </w:r>
    </w:p>
    <w:p w14:paraId="6BD8E8AE" w14:textId="77777777" w:rsidR="00077BFA" w:rsidRDefault="00077BFA" w:rsidP="00BD6C4E">
      <w:pPr>
        <w:spacing w:line="360" w:lineRule="auto"/>
        <w:rPr>
          <w:rFonts w:ascii="Times New Roman" w:hAnsi="Times New Roman" w:cs="Times New Roman"/>
          <w:b/>
          <w:bCs/>
          <w:sz w:val="24"/>
          <w:szCs w:val="24"/>
        </w:rPr>
      </w:pPr>
    </w:p>
    <w:p w14:paraId="7B635292" w14:textId="77777777" w:rsidR="00077BFA" w:rsidRDefault="00077BFA" w:rsidP="00BD6C4E">
      <w:pPr>
        <w:spacing w:line="360" w:lineRule="auto"/>
        <w:rPr>
          <w:rFonts w:ascii="Times New Roman" w:hAnsi="Times New Roman" w:cs="Times New Roman"/>
          <w:b/>
          <w:bCs/>
          <w:sz w:val="24"/>
          <w:szCs w:val="24"/>
        </w:rPr>
      </w:pPr>
    </w:p>
    <w:p w14:paraId="2C639284" w14:textId="77777777" w:rsidR="00BD6C4E" w:rsidRPr="00BD6C4E" w:rsidRDefault="00BD6C4E" w:rsidP="00BD6C4E">
      <w:pPr>
        <w:spacing w:line="360" w:lineRule="auto"/>
        <w:rPr>
          <w:rFonts w:ascii="Times New Roman" w:hAnsi="Times New Roman" w:cs="Times New Roman"/>
          <w:b/>
          <w:bCs/>
          <w:sz w:val="24"/>
          <w:szCs w:val="24"/>
        </w:rPr>
      </w:pPr>
      <w:r w:rsidRPr="00BD6C4E">
        <w:rPr>
          <w:rFonts w:ascii="Times New Roman" w:hAnsi="Times New Roman" w:cs="Times New Roman"/>
          <w:b/>
          <w:bCs/>
          <w:sz w:val="24"/>
          <w:szCs w:val="24"/>
        </w:rPr>
        <w:lastRenderedPageBreak/>
        <w:t>Principal Investments</w:t>
      </w:r>
    </w:p>
    <w:p w14:paraId="02F8A5F4" w14:textId="77777777" w:rsidR="00BD6C4E" w:rsidRDefault="00BD6C4E" w:rsidP="00BD6C4E">
      <w:pPr>
        <w:spacing w:line="360" w:lineRule="auto"/>
        <w:rPr>
          <w:rFonts w:ascii="Times New Roman" w:hAnsi="Times New Roman" w:cs="Times New Roman"/>
          <w:sz w:val="24"/>
          <w:szCs w:val="24"/>
        </w:rPr>
      </w:pPr>
      <w:r w:rsidRPr="00BD6C4E">
        <w:rPr>
          <w:rFonts w:ascii="Times New Roman" w:hAnsi="Times New Roman" w:cs="Times New Roman"/>
          <w:sz w:val="24"/>
          <w:szCs w:val="24"/>
        </w:rPr>
        <w:t>Revenue from principal investments includes profits from the bank's own investments in various financial instruments, real estate, private equity, and other assets. This source can be volatile, depending on market conditions.</w:t>
      </w:r>
    </w:p>
    <w:p w14:paraId="18032682" w14:textId="77777777" w:rsidR="00BD6C4E" w:rsidRDefault="00BD6C4E" w:rsidP="00077BFA">
      <w:pPr>
        <w:pStyle w:val="NormalWeb"/>
      </w:pPr>
      <w:r w:rsidRPr="00BD6C4E">
        <w:rPr>
          <w:b/>
          <w:bCs/>
        </w:rPr>
        <w:t>Example:</w:t>
      </w:r>
      <w:r w:rsidRPr="00BD6C4E">
        <w:t xml:space="preserve"> Principal investment revenues can vary widely; however, in good years, it can contribute several billion dollars to a bank's total revenue.</w:t>
      </w:r>
    </w:p>
    <w:p w14:paraId="4BE90ACA" w14:textId="77777777" w:rsidR="00077BFA" w:rsidRDefault="00077BFA" w:rsidP="00077BFA">
      <w:pPr>
        <w:pStyle w:val="NormalWeb"/>
      </w:pPr>
    </w:p>
    <w:p w14:paraId="464FD5C1" w14:textId="77777777" w:rsidR="00077BFA" w:rsidRDefault="00077BFA" w:rsidP="00077BFA">
      <w:pPr>
        <w:pStyle w:val="NormalWeb"/>
        <w:jc w:val="center"/>
        <w:rPr>
          <w:b/>
          <w:bCs/>
        </w:rPr>
      </w:pPr>
      <w:r>
        <w:rPr>
          <w:noProof/>
        </w:rPr>
        <w:drawing>
          <wp:inline distT="0" distB="0" distL="0" distR="0" wp14:anchorId="5DBE163F" wp14:editId="60684D25">
            <wp:extent cx="3719945" cy="4411345"/>
            <wp:effectExtent l="0" t="0" r="0" b="8255"/>
            <wp:docPr id="6361681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4574" t="39784" r="4438" b="10433"/>
                    <a:stretch/>
                  </pic:blipFill>
                  <pic:spPr bwMode="auto">
                    <a:xfrm>
                      <a:off x="0" y="0"/>
                      <a:ext cx="3720870" cy="4412442"/>
                    </a:xfrm>
                    <a:prstGeom prst="rect">
                      <a:avLst/>
                    </a:prstGeom>
                    <a:noFill/>
                    <a:ln>
                      <a:noFill/>
                    </a:ln>
                    <a:extLst>
                      <a:ext uri="{53640926-AAD7-44D8-BBD7-CCE9431645EC}">
                        <a14:shadowObscured xmlns:a14="http://schemas.microsoft.com/office/drawing/2010/main"/>
                      </a:ext>
                    </a:extLst>
                  </pic:spPr>
                </pic:pic>
              </a:graphicData>
            </a:graphic>
          </wp:inline>
        </w:drawing>
      </w:r>
    </w:p>
    <w:p w14:paraId="7FC815F1" w14:textId="77777777" w:rsidR="00BD6C4E" w:rsidRPr="00077BFA" w:rsidRDefault="00BD6C4E" w:rsidP="00077BFA">
      <w:pPr>
        <w:pStyle w:val="NormalWeb"/>
        <w:rPr>
          <w:b/>
          <w:bCs/>
          <w:noProof/>
          <w:sz w:val="28"/>
          <w:szCs w:val="28"/>
          <w:u w:val="single"/>
        </w:rPr>
      </w:pPr>
      <w:r w:rsidRPr="00077BFA">
        <w:rPr>
          <w:b/>
          <w:bCs/>
          <w:sz w:val="28"/>
          <w:szCs w:val="28"/>
          <w:u w:val="single"/>
        </w:rPr>
        <w:t>Breakdown of Revenue Sources for Leading U.S. Investment Banks (2022)</w:t>
      </w:r>
    </w:p>
    <w:p w14:paraId="39FEADAC" w14:textId="77777777" w:rsidR="00BD6C4E" w:rsidRDefault="00BD6C4E" w:rsidP="00BD6C4E">
      <w:pPr>
        <w:spacing w:line="360" w:lineRule="auto"/>
        <w:rPr>
          <w:rFonts w:ascii="Times New Roman" w:hAnsi="Times New Roman" w:cs="Times New Roman"/>
          <w:b/>
          <w:bCs/>
          <w:sz w:val="24"/>
          <w:szCs w:val="24"/>
        </w:rPr>
      </w:pPr>
      <w:r w:rsidRPr="00BD6C4E">
        <w:rPr>
          <w:rFonts w:ascii="Times New Roman" w:hAnsi="Times New Roman" w:cs="Times New Roman"/>
          <w:b/>
          <w:bCs/>
          <w:sz w:val="24"/>
          <w:szCs w:val="24"/>
        </w:rPr>
        <w:t>Goldman Sachs (2022)</w:t>
      </w:r>
    </w:p>
    <w:p w14:paraId="7A596158" w14:textId="77777777" w:rsidR="00BD6C4E" w:rsidRPr="00BD6C4E" w:rsidRDefault="00BD6C4E" w:rsidP="00BD6C4E">
      <w:pPr>
        <w:pStyle w:val="ListParagraph"/>
        <w:numPr>
          <w:ilvl w:val="0"/>
          <w:numId w:val="17"/>
        </w:numPr>
        <w:spacing w:line="360" w:lineRule="auto"/>
        <w:rPr>
          <w:rFonts w:ascii="Times New Roman" w:hAnsi="Times New Roman" w:cs="Times New Roman"/>
          <w:b/>
          <w:bCs/>
          <w:sz w:val="24"/>
          <w:szCs w:val="24"/>
        </w:rPr>
      </w:pPr>
      <w:r w:rsidRPr="00BD6C4E">
        <w:rPr>
          <w:rFonts w:ascii="Times New Roman" w:hAnsi="Times New Roman" w:cs="Times New Roman"/>
          <w:sz w:val="24"/>
          <w:szCs w:val="24"/>
        </w:rPr>
        <w:t>Advisory Fees: $5 billion</w:t>
      </w:r>
    </w:p>
    <w:p w14:paraId="51F86035" w14:textId="77777777" w:rsidR="00BD6C4E" w:rsidRPr="00BD6C4E" w:rsidRDefault="00BD6C4E" w:rsidP="00BD6C4E">
      <w:pPr>
        <w:pStyle w:val="ListParagraph"/>
        <w:numPr>
          <w:ilvl w:val="0"/>
          <w:numId w:val="17"/>
        </w:numPr>
        <w:spacing w:line="360" w:lineRule="auto"/>
        <w:rPr>
          <w:rFonts w:ascii="Times New Roman" w:hAnsi="Times New Roman" w:cs="Times New Roman"/>
          <w:b/>
          <w:bCs/>
          <w:sz w:val="24"/>
          <w:szCs w:val="24"/>
        </w:rPr>
      </w:pPr>
      <w:r w:rsidRPr="00BD6C4E">
        <w:rPr>
          <w:rFonts w:ascii="Times New Roman" w:hAnsi="Times New Roman" w:cs="Times New Roman"/>
          <w:sz w:val="24"/>
          <w:szCs w:val="24"/>
        </w:rPr>
        <w:t>Underwriting Fees: $3 billion</w:t>
      </w:r>
    </w:p>
    <w:p w14:paraId="408FB92E" w14:textId="77777777" w:rsidR="00BD6C4E" w:rsidRPr="00BD6C4E" w:rsidRDefault="00BD6C4E" w:rsidP="00BD6C4E">
      <w:pPr>
        <w:pStyle w:val="ListParagraph"/>
        <w:numPr>
          <w:ilvl w:val="0"/>
          <w:numId w:val="17"/>
        </w:numPr>
        <w:spacing w:line="360" w:lineRule="auto"/>
        <w:rPr>
          <w:rFonts w:ascii="Times New Roman" w:hAnsi="Times New Roman" w:cs="Times New Roman"/>
          <w:sz w:val="24"/>
          <w:szCs w:val="24"/>
        </w:rPr>
      </w:pPr>
      <w:r w:rsidRPr="00BD6C4E">
        <w:rPr>
          <w:rFonts w:ascii="Times New Roman" w:hAnsi="Times New Roman" w:cs="Times New Roman"/>
          <w:sz w:val="24"/>
          <w:szCs w:val="24"/>
        </w:rPr>
        <w:t>Trading Revenues: $25 billion</w:t>
      </w:r>
    </w:p>
    <w:p w14:paraId="64BFF113" w14:textId="77777777" w:rsidR="00BD6C4E" w:rsidRPr="00BD6C4E" w:rsidRDefault="00BD6C4E" w:rsidP="00BD6C4E">
      <w:pPr>
        <w:pStyle w:val="ListParagraph"/>
        <w:numPr>
          <w:ilvl w:val="0"/>
          <w:numId w:val="17"/>
        </w:numPr>
        <w:spacing w:line="360" w:lineRule="auto"/>
        <w:rPr>
          <w:rFonts w:ascii="Times New Roman" w:hAnsi="Times New Roman" w:cs="Times New Roman"/>
          <w:sz w:val="24"/>
          <w:szCs w:val="24"/>
        </w:rPr>
      </w:pPr>
      <w:r w:rsidRPr="00BD6C4E">
        <w:rPr>
          <w:rFonts w:ascii="Times New Roman" w:hAnsi="Times New Roman" w:cs="Times New Roman"/>
          <w:sz w:val="24"/>
          <w:szCs w:val="24"/>
        </w:rPr>
        <w:t>Asset Management Fees: $8 billion</w:t>
      </w:r>
    </w:p>
    <w:p w14:paraId="32905E2A" w14:textId="77777777" w:rsidR="00BD6C4E" w:rsidRPr="00BD6C4E" w:rsidRDefault="00BD6C4E" w:rsidP="00BD6C4E">
      <w:pPr>
        <w:pStyle w:val="ListParagraph"/>
        <w:numPr>
          <w:ilvl w:val="0"/>
          <w:numId w:val="17"/>
        </w:numPr>
        <w:spacing w:line="360" w:lineRule="auto"/>
        <w:rPr>
          <w:rFonts w:ascii="Times New Roman" w:hAnsi="Times New Roman" w:cs="Times New Roman"/>
          <w:sz w:val="24"/>
          <w:szCs w:val="24"/>
        </w:rPr>
      </w:pPr>
      <w:r w:rsidRPr="00BD6C4E">
        <w:rPr>
          <w:rFonts w:ascii="Times New Roman" w:hAnsi="Times New Roman" w:cs="Times New Roman"/>
          <w:sz w:val="24"/>
          <w:szCs w:val="24"/>
        </w:rPr>
        <w:t>Principal Investments: $2 billion</w:t>
      </w:r>
    </w:p>
    <w:p w14:paraId="67793930" w14:textId="77777777" w:rsidR="00BD6C4E" w:rsidRPr="00BD6C4E" w:rsidRDefault="00BD6C4E" w:rsidP="00BD6C4E">
      <w:pPr>
        <w:pStyle w:val="ListParagraph"/>
        <w:numPr>
          <w:ilvl w:val="0"/>
          <w:numId w:val="17"/>
        </w:numPr>
        <w:spacing w:line="360" w:lineRule="auto"/>
        <w:rPr>
          <w:rFonts w:ascii="Times New Roman" w:hAnsi="Times New Roman" w:cs="Times New Roman"/>
          <w:sz w:val="24"/>
          <w:szCs w:val="24"/>
        </w:rPr>
      </w:pPr>
      <w:r w:rsidRPr="00BD6C4E">
        <w:rPr>
          <w:rFonts w:ascii="Times New Roman" w:hAnsi="Times New Roman" w:cs="Times New Roman"/>
          <w:sz w:val="24"/>
          <w:szCs w:val="24"/>
        </w:rPr>
        <w:lastRenderedPageBreak/>
        <w:t>Total Revenue: $43 billion</w:t>
      </w:r>
    </w:p>
    <w:p w14:paraId="3093CEAA" w14:textId="77777777" w:rsidR="00BD6C4E" w:rsidRDefault="00BD6C4E" w:rsidP="00BD6C4E">
      <w:pPr>
        <w:spacing w:line="360" w:lineRule="auto"/>
        <w:rPr>
          <w:rFonts w:ascii="Times New Roman" w:hAnsi="Times New Roman" w:cs="Times New Roman"/>
          <w:b/>
          <w:bCs/>
          <w:sz w:val="24"/>
          <w:szCs w:val="24"/>
        </w:rPr>
      </w:pPr>
      <w:r w:rsidRPr="00BD6C4E">
        <w:rPr>
          <w:rFonts w:ascii="Times New Roman" w:hAnsi="Times New Roman" w:cs="Times New Roman"/>
          <w:b/>
          <w:bCs/>
          <w:sz w:val="24"/>
          <w:szCs w:val="24"/>
        </w:rPr>
        <w:t>JPMorgan Chase (Investment Banking Division, 2022)</w:t>
      </w:r>
    </w:p>
    <w:p w14:paraId="316C1CA3" w14:textId="77777777" w:rsidR="00BD6C4E" w:rsidRPr="00BD6C4E" w:rsidRDefault="00BD6C4E" w:rsidP="00BD6C4E">
      <w:pPr>
        <w:pStyle w:val="ListParagraph"/>
        <w:numPr>
          <w:ilvl w:val="0"/>
          <w:numId w:val="18"/>
        </w:numPr>
        <w:spacing w:line="360" w:lineRule="auto"/>
        <w:rPr>
          <w:rFonts w:ascii="Times New Roman" w:hAnsi="Times New Roman" w:cs="Times New Roman"/>
          <w:b/>
          <w:bCs/>
          <w:sz w:val="24"/>
          <w:szCs w:val="24"/>
        </w:rPr>
      </w:pPr>
      <w:r w:rsidRPr="00BD6C4E">
        <w:rPr>
          <w:rFonts w:ascii="Times New Roman" w:hAnsi="Times New Roman" w:cs="Times New Roman"/>
          <w:sz w:val="24"/>
          <w:szCs w:val="24"/>
        </w:rPr>
        <w:t>Advisory Fees: $4 billion</w:t>
      </w:r>
    </w:p>
    <w:p w14:paraId="1B935AA1" w14:textId="77777777" w:rsidR="00BD6C4E" w:rsidRPr="00BD6C4E" w:rsidRDefault="00BD6C4E" w:rsidP="00BD6C4E">
      <w:pPr>
        <w:pStyle w:val="ListParagraph"/>
        <w:numPr>
          <w:ilvl w:val="0"/>
          <w:numId w:val="18"/>
        </w:numPr>
        <w:spacing w:line="360" w:lineRule="auto"/>
        <w:rPr>
          <w:rFonts w:ascii="Times New Roman" w:hAnsi="Times New Roman" w:cs="Times New Roman"/>
          <w:sz w:val="24"/>
          <w:szCs w:val="24"/>
        </w:rPr>
      </w:pPr>
      <w:r w:rsidRPr="00BD6C4E">
        <w:rPr>
          <w:rFonts w:ascii="Times New Roman" w:hAnsi="Times New Roman" w:cs="Times New Roman"/>
          <w:sz w:val="24"/>
          <w:szCs w:val="24"/>
        </w:rPr>
        <w:t>Underwriting Fees: $2.5 billion</w:t>
      </w:r>
    </w:p>
    <w:p w14:paraId="7F089BEA" w14:textId="77777777" w:rsidR="00BD6C4E" w:rsidRPr="00BD6C4E" w:rsidRDefault="00BD6C4E" w:rsidP="00BD6C4E">
      <w:pPr>
        <w:pStyle w:val="ListParagraph"/>
        <w:numPr>
          <w:ilvl w:val="0"/>
          <w:numId w:val="18"/>
        </w:numPr>
        <w:spacing w:line="360" w:lineRule="auto"/>
        <w:rPr>
          <w:rFonts w:ascii="Times New Roman" w:hAnsi="Times New Roman" w:cs="Times New Roman"/>
          <w:sz w:val="24"/>
          <w:szCs w:val="24"/>
        </w:rPr>
      </w:pPr>
      <w:r w:rsidRPr="00BD6C4E">
        <w:rPr>
          <w:rFonts w:ascii="Times New Roman" w:hAnsi="Times New Roman" w:cs="Times New Roman"/>
          <w:sz w:val="24"/>
          <w:szCs w:val="24"/>
        </w:rPr>
        <w:t>Trading Revenues: $20 billion</w:t>
      </w:r>
    </w:p>
    <w:p w14:paraId="08526083" w14:textId="77777777" w:rsidR="00BD6C4E" w:rsidRPr="00BD6C4E" w:rsidRDefault="00BD6C4E" w:rsidP="00BD6C4E">
      <w:pPr>
        <w:pStyle w:val="ListParagraph"/>
        <w:numPr>
          <w:ilvl w:val="0"/>
          <w:numId w:val="18"/>
        </w:numPr>
        <w:spacing w:line="360" w:lineRule="auto"/>
        <w:rPr>
          <w:rFonts w:ascii="Times New Roman" w:hAnsi="Times New Roman" w:cs="Times New Roman"/>
          <w:sz w:val="24"/>
          <w:szCs w:val="24"/>
        </w:rPr>
      </w:pPr>
      <w:r w:rsidRPr="00BD6C4E">
        <w:rPr>
          <w:rFonts w:ascii="Times New Roman" w:hAnsi="Times New Roman" w:cs="Times New Roman"/>
          <w:sz w:val="24"/>
          <w:szCs w:val="24"/>
        </w:rPr>
        <w:t>Asset Management Fees: $6 billion</w:t>
      </w:r>
    </w:p>
    <w:p w14:paraId="5B4D48D8" w14:textId="77777777" w:rsidR="00BD6C4E" w:rsidRPr="00BD6C4E" w:rsidRDefault="00BD6C4E" w:rsidP="00BD6C4E">
      <w:pPr>
        <w:pStyle w:val="ListParagraph"/>
        <w:numPr>
          <w:ilvl w:val="0"/>
          <w:numId w:val="18"/>
        </w:numPr>
        <w:spacing w:line="360" w:lineRule="auto"/>
        <w:rPr>
          <w:rFonts w:ascii="Times New Roman" w:hAnsi="Times New Roman" w:cs="Times New Roman"/>
          <w:sz w:val="24"/>
          <w:szCs w:val="24"/>
        </w:rPr>
      </w:pPr>
      <w:r w:rsidRPr="00BD6C4E">
        <w:rPr>
          <w:rFonts w:ascii="Times New Roman" w:hAnsi="Times New Roman" w:cs="Times New Roman"/>
          <w:sz w:val="24"/>
          <w:szCs w:val="24"/>
        </w:rPr>
        <w:t>Principal Investments: $1.5 billion</w:t>
      </w:r>
    </w:p>
    <w:p w14:paraId="3EF07CB5" w14:textId="77777777" w:rsidR="00077BFA" w:rsidRPr="00077BFA" w:rsidRDefault="00BD6C4E" w:rsidP="00077BFA">
      <w:pPr>
        <w:pStyle w:val="ListParagraph"/>
        <w:numPr>
          <w:ilvl w:val="0"/>
          <w:numId w:val="18"/>
        </w:numPr>
        <w:spacing w:line="360" w:lineRule="auto"/>
        <w:rPr>
          <w:rFonts w:ascii="Times New Roman" w:hAnsi="Times New Roman" w:cs="Times New Roman"/>
          <w:sz w:val="24"/>
          <w:szCs w:val="24"/>
        </w:rPr>
      </w:pPr>
      <w:r w:rsidRPr="00BD6C4E">
        <w:rPr>
          <w:rFonts w:ascii="Times New Roman" w:hAnsi="Times New Roman" w:cs="Times New Roman"/>
          <w:sz w:val="24"/>
          <w:szCs w:val="24"/>
        </w:rPr>
        <w:t>Total Revenue: $34 billion</w:t>
      </w:r>
    </w:p>
    <w:p w14:paraId="2AECF75C" w14:textId="77777777" w:rsidR="00077BFA" w:rsidRPr="00077BFA" w:rsidRDefault="00077BFA" w:rsidP="00077BFA">
      <w:pPr>
        <w:spacing w:line="360" w:lineRule="auto"/>
        <w:rPr>
          <w:rFonts w:ascii="Times New Roman" w:hAnsi="Times New Roman" w:cs="Times New Roman"/>
          <w:b/>
          <w:bCs/>
          <w:sz w:val="28"/>
          <w:szCs w:val="28"/>
          <w:u w:val="single"/>
        </w:rPr>
      </w:pPr>
      <w:r w:rsidRPr="00077BFA">
        <w:rPr>
          <w:rFonts w:ascii="Times New Roman" w:hAnsi="Times New Roman" w:cs="Times New Roman"/>
          <w:b/>
          <w:bCs/>
          <w:sz w:val="28"/>
          <w:szCs w:val="28"/>
          <w:u w:val="single"/>
        </w:rPr>
        <w:t>Savings Banks</w:t>
      </w:r>
    </w:p>
    <w:p w14:paraId="5FDA4276" w14:textId="77777777" w:rsidR="00077BFA" w:rsidRPr="00F459C6" w:rsidRDefault="00077BFA" w:rsidP="00077BFA">
      <w:pPr>
        <w:spacing w:line="360" w:lineRule="auto"/>
        <w:rPr>
          <w:rFonts w:ascii="Times New Roman" w:hAnsi="Times New Roman" w:cs="Times New Roman"/>
          <w:sz w:val="24"/>
          <w:szCs w:val="24"/>
        </w:rPr>
      </w:pPr>
      <w:r w:rsidRPr="00F459C6">
        <w:rPr>
          <w:rFonts w:ascii="Times New Roman" w:hAnsi="Times New Roman" w:cs="Times New Roman"/>
          <w:sz w:val="24"/>
          <w:szCs w:val="24"/>
        </w:rPr>
        <w:t>These banks were initially established to provide services for lower-income workers, offering higher interest rates than commercial banks but fewer services.</w:t>
      </w:r>
    </w:p>
    <w:p w14:paraId="533491FE" w14:textId="77777777" w:rsidR="00077BFA" w:rsidRPr="00077BFA" w:rsidRDefault="00077BFA" w:rsidP="00077BFA">
      <w:pPr>
        <w:spacing w:line="360" w:lineRule="auto"/>
        <w:rPr>
          <w:rFonts w:ascii="Times New Roman" w:hAnsi="Times New Roman" w:cs="Times New Roman"/>
          <w:sz w:val="24"/>
          <w:szCs w:val="24"/>
        </w:rPr>
      </w:pPr>
      <w:r w:rsidRPr="00F459C6">
        <w:rPr>
          <w:rFonts w:ascii="Times New Roman" w:hAnsi="Times New Roman" w:cs="Times New Roman"/>
          <w:sz w:val="24"/>
          <w:szCs w:val="24"/>
        </w:rPr>
        <w:t>They have become more like commercial banks in recent years, offering a wider range of services.</w:t>
      </w:r>
    </w:p>
    <w:p w14:paraId="22D1910C" w14:textId="77777777" w:rsidR="00F459C6" w:rsidRPr="00077BFA" w:rsidRDefault="002409C6" w:rsidP="006223A0">
      <w:pPr>
        <w:spacing w:line="360" w:lineRule="auto"/>
        <w:rPr>
          <w:rFonts w:ascii="Times New Roman" w:hAnsi="Times New Roman" w:cs="Times New Roman"/>
          <w:b/>
          <w:bCs/>
          <w:sz w:val="28"/>
          <w:szCs w:val="28"/>
          <w:u w:val="single"/>
        </w:rPr>
      </w:pPr>
      <w:r w:rsidRPr="00077BFA">
        <w:rPr>
          <w:rFonts w:ascii="Times New Roman" w:hAnsi="Times New Roman" w:cs="Times New Roman"/>
          <w:b/>
          <w:bCs/>
          <w:sz w:val="28"/>
          <w:szCs w:val="28"/>
          <w:u w:val="single"/>
        </w:rPr>
        <w:t>Savings and Loans</w:t>
      </w:r>
    </w:p>
    <w:p w14:paraId="5CB62FAE" w14:textId="77777777" w:rsidR="00F459C6" w:rsidRPr="00F459C6" w:rsidRDefault="002409C6" w:rsidP="006223A0">
      <w:pPr>
        <w:spacing w:line="360" w:lineRule="auto"/>
        <w:rPr>
          <w:rFonts w:ascii="Times New Roman" w:hAnsi="Times New Roman" w:cs="Times New Roman"/>
          <w:sz w:val="24"/>
          <w:szCs w:val="24"/>
        </w:rPr>
      </w:pPr>
      <w:r w:rsidRPr="00F459C6">
        <w:rPr>
          <w:rFonts w:ascii="Times New Roman" w:hAnsi="Times New Roman" w:cs="Times New Roman"/>
          <w:sz w:val="24"/>
          <w:szCs w:val="24"/>
        </w:rPr>
        <w:t xml:space="preserve">These institutions were established to make it possible for lower-income workers to buy homes. </w:t>
      </w:r>
    </w:p>
    <w:p w14:paraId="54501A80" w14:textId="77777777" w:rsidR="003F6806" w:rsidRDefault="002409C6" w:rsidP="006223A0">
      <w:pPr>
        <w:spacing w:line="360" w:lineRule="auto"/>
        <w:rPr>
          <w:rFonts w:ascii="Times New Roman" w:hAnsi="Times New Roman" w:cs="Times New Roman"/>
          <w:sz w:val="24"/>
          <w:szCs w:val="24"/>
        </w:rPr>
      </w:pPr>
      <w:r w:rsidRPr="00F459C6">
        <w:rPr>
          <w:rFonts w:ascii="Times New Roman" w:hAnsi="Times New Roman" w:cs="Times New Roman"/>
          <w:sz w:val="24"/>
          <w:szCs w:val="24"/>
        </w:rPr>
        <w:t>They offered savings accounts and made loans for home purchases. Many of these institutions became insolvent and were bailed out by the government in the 1980s.</w:t>
      </w:r>
    </w:p>
    <w:p w14:paraId="201576BF" w14:textId="77777777" w:rsidR="00BD6C4E" w:rsidRDefault="00BD6C4E" w:rsidP="006223A0">
      <w:pPr>
        <w:spacing w:line="360" w:lineRule="auto"/>
        <w:rPr>
          <w:rFonts w:ascii="Times New Roman" w:hAnsi="Times New Roman" w:cs="Times New Roman"/>
          <w:b/>
          <w:bCs/>
          <w:sz w:val="24"/>
          <w:szCs w:val="24"/>
        </w:rPr>
      </w:pPr>
      <w:r w:rsidRPr="00BD6C4E">
        <w:rPr>
          <w:rFonts w:ascii="Times New Roman" w:hAnsi="Times New Roman" w:cs="Times New Roman"/>
          <w:b/>
          <w:bCs/>
          <w:sz w:val="24"/>
          <w:szCs w:val="24"/>
        </w:rPr>
        <w:t>Sources of Revenue</w:t>
      </w:r>
    </w:p>
    <w:p w14:paraId="7279337B" w14:textId="77777777" w:rsidR="00BD6C4E" w:rsidRDefault="00BD6C4E" w:rsidP="00BD6C4E">
      <w:pPr>
        <w:pStyle w:val="NormalWeb"/>
      </w:pPr>
      <w:r>
        <w:rPr>
          <w:rStyle w:val="Strong"/>
        </w:rPr>
        <w:t>Interest Income</w:t>
      </w:r>
    </w:p>
    <w:p w14:paraId="2EB8FB6F" w14:textId="77777777" w:rsidR="00BD6C4E" w:rsidRPr="00BD6C4E" w:rsidRDefault="00BD6C4E" w:rsidP="00BD6C4E">
      <w:pPr>
        <w:pStyle w:val="ListParagraph"/>
        <w:numPr>
          <w:ilvl w:val="0"/>
          <w:numId w:val="22"/>
        </w:numPr>
        <w:spacing w:before="100" w:beforeAutospacing="1" w:after="100" w:afterAutospacing="1" w:line="360" w:lineRule="auto"/>
        <w:rPr>
          <w:rFonts w:ascii="Times New Roman" w:hAnsi="Times New Roman" w:cs="Times New Roman"/>
          <w:sz w:val="24"/>
          <w:szCs w:val="24"/>
        </w:rPr>
      </w:pPr>
      <w:r w:rsidRPr="00BD6C4E">
        <w:rPr>
          <w:rStyle w:val="Strong"/>
          <w:rFonts w:ascii="Times New Roman" w:hAnsi="Times New Roman" w:cs="Times New Roman"/>
          <w:sz w:val="24"/>
          <w:szCs w:val="24"/>
        </w:rPr>
        <w:t>Mortgage Loans:</w:t>
      </w:r>
      <w:r w:rsidRPr="00BD6C4E">
        <w:rPr>
          <w:rFonts w:ascii="Times New Roman" w:hAnsi="Times New Roman" w:cs="Times New Roman"/>
          <w:sz w:val="24"/>
          <w:szCs w:val="24"/>
        </w:rPr>
        <w:t xml:space="preserve"> The primary source of revenue is the interest earned on mortgage loans. S&amp;Ls typically offer long-term, fixed-rate mortgages to homeowners.</w:t>
      </w:r>
    </w:p>
    <w:p w14:paraId="09928DA5" w14:textId="77777777" w:rsidR="00BD6C4E" w:rsidRPr="00BD6C4E" w:rsidRDefault="00BD6C4E" w:rsidP="00BD6C4E">
      <w:pPr>
        <w:pStyle w:val="ListParagraph"/>
        <w:numPr>
          <w:ilvl w:val="0"/>
          <w:numId w:val="22"/>
        </w:numPr>
        <w:spacing w:before="100" w:beforeAutospacing="1" w:after="100" w:afterAutospacing="1" w:line="360" w:lineRule="auto"/>
        <w:rPr>
          <w:rFonts w:ascii="Times New Roman" w:hAnsi="Times New Roman" w:cs="Times New Roman"/>
          <w:sz w:val="24"/>
          <w:szCs w:val="24"/>
        </w:rPr>
      </w:pPr>
      <w:r w:rsidRPr="00BD6C4E">
        <w:rPr>
          <w:rStyle w:val="Strong"/>
          <w:rFonts w:ascii="Times New Roman" w:hAnsi="Times New Roman" w:cs="Times New Roman"/>
          <w:sz w:val="24"/>
          <w:szCs w:val="24"/>
        </w:rPr>
        <w:t>Consumer Loans:</w:t>
      </w:r>
      <w:r w:rsidRPr="00BD6C4E">
        <w:rPr>
          <w:rFonts w:ascii="Times New Roman" w:hAnsi="Times New Roman" w:cs="Times New Roman"/>
          <w:sz w:val="24"/>
          <w:szCs w:val="24"/>
        </w:rPr>
        <w:t xml:space="preserve"> In addition to mortgages, S&amp;Ls also generate revenue from other types of consumer loans, including auto loans and personal loans.</w:t>
      </w:r>
    </w:p>
    <w:p w14:paraId="5650AEE2" w14:textId="77777777" w:rsidR="00077BFA" w:rsidRDefault="00BD6C4E" w:rsidP="00077BFA">
      <w:pPr>
        <w:pStyle w:val="ListParagraph"/>
        <w:numPr>
          <w:ilvl w:val="0"/>
          <w:numId w:val="22"/>
        </w:numPr>
        <w:spacing w:before="100" w:beforeAutospacing="1" w:after="100" w:afterAutospacing="1" w:line="360" w:lineRule="auto"/>
        <w:rPr>
          <w:rFonts w:ascii="Times New Roman" w:hAnsi="Times New Roman" w:cs="Times New Roman"/>
          <w:sz w:val="24"/>
          <w:szCs w:val="24"/>
        </w:rPr>
      </w:pPr>
      <w:r w:rsidRPr="00BD6C4E">
        <w:rPr>
          <w:rStyle w:val="Strong"/>
          <w:rFonts w:ascii="Times New Roman" w:hAnsi="Times New Roman" w:cs="Times New Roman"/>
          <w:sz w:val="24"/>
          <w:szCs w:val="24"/>
        </w:rPr>
        <w:t>Investment Securities:</w:t>
      </w:r>
      <w:r w:rsidRPr="00BD6C4E">
        <w:rPr>
          <w:rFonts w:ascii="Times New Roman" w:hAnsi="Times New Roman" w:cs="Times New Roman"/>
          <w:sz w:val="24"/>
          <w:szCs w:val="24"/>
        </w:rPr>
        <w:t xml:space="preserve"> Interest earned from investment in government and corporate securities.</w:t>
      </w:r>
    </w:p>
    <w:p w14:paraId="7051F9ED" w14:textId="77777777" w:rsidR="00077BFA" w:rsidRPr="00077BFA" w:rsidRDefault="00077BFA" w:rsidP="00077BFA">
      <w:pPr>
        <w:spacing w:before="100" w:beforeAutospacing="1" w:after="100" w:afterAutospacing="1" w:line="360" w:lineRule="auto"/>
        <w:rPr>
          <w:rFonts w:ascii="Times New Roman" w:hAnsi="Times New Roman" w:cs="Times New Roman"/>
          <w:sz w:val="24"/>
          <w:szCs w:val="24"/>
        </w:rPr>
      </w:pPr>
    </w:p>
    <w:p w14:paraId="13EDF389" w14:textId="77777777" w:rsidR="00BD6C4E" w:rsidRPr="00BD6C4E" w:rsidRDefault="00BD6C4E" w:rsidP="00BD6C4E">
      <w:pPr>
        <w:spacing w:before="100" w:beforeAutospacing="1" w:after="100" w:afterAutospacing="1" w:line="360" w:lineRule="auto"/>
        <w:rPr>
          <w:rFonts w:ascii="Times New Roman" w:hAnsi="Times New Roman" w:cs="Times New Roman"/>
          <w:sz w:val="24"/>
          <w:szCs w:val="24"/>
        </w:rPr>
      </w:pPr>
      <w:r w:rsidRPr="00BD6C4E">
        <w:rPr>
          <w:rStyle w:val="Strong"/>
          <w:rFonts w:ascii="Times New Roman" w:hAnsi="Times New Roman" w:cs="Times New Roman"/>
          <w:sz w:val="24"/>
          <w:szCs w:val="24"/>
        </w:rPr>
        <w:lastRenderedPageBreak/>
        <w:t>Fees and Service Charges</w:t>
      </w:r>
    </w:p>
    <w:p w14:paraId="2AA47AC1" w14:textId="77777777" w:rsidR="00BD6C4E" w:rsidRPr="00BD6C4E" w:rsidRDefault="00BD6C4E" w:rsidP="00BD6C4E">
      <w:pPr>
        <w:pStyle w:val="ListParagraph"/>
        <w:numPr>
          <w:ilvl w:val="0"/>
          <w:numId w:val="24"/>
        </w:numPr>
        <w:spacing w:before="100" w:beforeAutospacing="1" w:after="100" w:afterAutospacing="1" w:line="360" w:lineRule="auto"/>
        <w:rPr>
          <w:rFonts w:ascii="Times New Roman" w:hAnsi="Times New Roman" w:cs="Times New Roman"/>
          <w:sz w:val="24"/>
          <w:szCs w:val="24"/>
        </w:rPr>
      </w:pPr>
      <w:r w:rsidRPr="00BD6C4E">
        <w:rPr>
          <w:rStyle w:val="Strong"/>
          <w:rFonts w:ascii="Times New Roman" w:hAnsi="Times New Roman" w:cs="Times New Roman"/>
          <w:sz w:val="24"/>
          <w:szCs w:val="24"/>
        </w:rPr>
        <w:t>Loan Origination Fees:</w:t>
      </w:r>
      <w:r w:rsidRPr="00BD6C4E">
        <w:rPr>
          <w:rFonts w:ascii="Times New Roman" w:hAnsi="Times New Roman" w:cs="Times New Roman"/>
          <w:sz w:val="24"/>
          <w:szCs w:val="24"/>
        </w:rPr>
        <w:t xml:space="preserve"> Fees charged to borrowers for processing new loans.</w:t>
      </w:r>
    </w:p>
    <w:p w14:paraId="0306097F" w14:textId="77777777" w:rsidR="00BD6C4E" w:rsidRPr="00BD6C4E" w:rsidRDefault="00BD6C4E" w:rsidP="00BD6C4E">
      <w:pPr>
        <w:pStyle w:val="ListParagraph"/>
        <w:numPr>
          <w:ilvl w:val="0"/>
          <w:numId w:val="24"/>
        </w:numPr>
        <w:spacing w:before="100" w:beforeAutospacing="1" w:after="100" w:afterAutospacing="1" w:line="360" w:lineRule="auto"/>
        <w:rPr>
          <w:rFonts w:ascii="Times New Roman" w:hAnsi="Times New Roman" w:cs="Times New Roman"/>
          <w:sz w:val="24"/>
          <w:szCs w:val="24"/>
        </w:rPr>
      </w:pPr>
      <w:r w:rsidRPr="00BD6C4E">
        <w:rPr>
          <w:rStyle w:val="Strong"/>
          <w:rFonts w:ascii="Times New Roman" w:hAnsi="Times New Roman" w:cs="Times New Roman"/>
          <w:sz w:val="24"/>
          <w:szCs w:val="24"/>
        </w:rPr>
        <w:t>Account Maintenance Fees:</w:t>
      </w:r>
      <w:r w:rsidRPr="00BD6C4E">
        <w:rPr>
          <w:rFonts w:ascii="Times New Roman" w:hAnsi="Times New Roman" w:cs="Times New Roman"/>
          <w:sz w:val="24"/>
          <w:szCs w:val="24"/>
        </w:rPr>
        <w:t xml:space="preserve"> Monthly or annual fees for maintaining accounts.</w:t>
      </w:r>
    </w:p>
    <w:p w14:paraId="19A6F646" w14:textId="77777777" w:rsidR="00BD6C4E" w:rsidRPr="00BD6C4E" w:rsidRDefault="00BD6C4E" w:rsidP="00BD6C4E">
      <w:pPr>
        <w:pStyle w:val="ListParagraph"/>
        <w:numPr>
          <w:ilvl w:val="0"/>
          <w:numId w:val="24"/>
        </w:numPr>
        <w:spacing w:before="100" w:beforeAutospacing="1" w:after="100" w:afterAutospacing="1" w:line="360" w:lineRule="auto"/>
        <w:rPr>
          <w:rFonts w:ascii="Times New Roman" w:hAnsi="Times New Roman" w:cs="Times New Roman"/>
          <w:sz w:val="24"/>
          <w:szCs w:val="24"/>
        </w:rPr>
      </w:pPr>
      <w:r w:rsidRPr="00BD6C4E">
        <w:rPr>
          <w:rStyle w:val="Strong"/>
          <w:rFonts w:ascii="Times New Roman" w:hAnsi="Times New Roman" w:cs="Times New Roman"/>
          <w:sz w:val="24"/>
          <w:szCs w:val="24"/>
        </w:rPr>
        <w:t>Late Payment Fees:</w:t>
      </w:r>
      <w:r w:rsidRPr="00BD6C4E">
        <w:rPr>
          <w:rFonts w:ascii="Times New Roman" w:hAnsi="Times New Roman" w:cs="Times New Roman"/>
          <w:sz w:val="24"/>
          <w:szCs w:val="24"/>
        </w:rPr>
        <w:t xml:space="preserve"> Fees collected for late payments on loans and mortgages.</w:t>
      </w:r>
    </w:p>
    <w:p w14:paraId="3542AA8F" w14:textId="77777777" w:rsidR="00BD6C4E" w:rsidRPr="00BD6C4E" w:rsidRDefault="00BD6C4E" w:rsidP="00BD6C4E">
      <w:pPr>
        <w:pStyle w:val="NormalWeb"/>
        <w:spacing w:line="360" w:lineRule="auto"/>
      </w:pPr>
      <w:r w:rsidRPr="00BD6C4E">
        <w:rPr>
          <w:rStyle w:val="Strong"/>
        </w:rPr>
        <w:t>Other Income</w:t>
      </w:r>
    </w:p>
    <w:p w14:paraId="5995F33C" w14:textId="77777777" w:rsidR="00BD6C4E" w:rsidRPr="00BD6C4E" w:rsidRDefault="00BD6C4E" w:rsidP="00BD6C4E">
      <w:pPr>
        <w:pStyle w:val="ListParagraph"/>
        <w:numPr>
          <w:ilvl w:val="0"/>
          <w:numId w:val="25"/>
        </w:numPr>
        <w:spacing w:before="100" w:beforeAutospacing="1" w:after="100" w:afterAutospacing="1" w:line="360" w:lineRule="auto"/>
        <w:rPr>
          <w:rFonts w:ascii="Times New Roman" w:hAnsi="Times New Roman" w:cs="Times New Roman"/>
          <w:sz w:val="24"/>
          <w:szCs w:val="24"/>
        </w:rPr>
      </w:pPr>
      <w:r w:rsidRPr="00BD6C4E">
        <w:rPr>
          <w:rStyle w:val="Strong"/>
          <w:rFonts w:ascii="Times New Roman" w:hAnsi="Times New Roman" w:cs="Times New Roman"/>
          <w:sz w:val="24"/>
          <w:szCs w:val="24"/>
        </w:rPr>
        <w:t>Real Estate Owned (REO):</w:t>
      </w:r>
      <w:r w:rsidRPr="00BD6C4E">
        <w:rPr>
          <w:rFonts w:ascii="Times New Roman" w:hAnsi="Times New Roman" w:cs="Times New Roman"/>
          <w:sz w:val="24"/>
          <w:szCs w:val="24"/>
        </w:rPr>
        <w:t xml:space="preserve"> Income from the sale of properties owned by the institution due to foreclosure.</w:t>
      </w:r>
    </w:p>
    <w:p w14:paraId="68A122FB" w14:textId="77777777" w:rsidR="00BD6C4E" w:rsidRPr="00BD6C4E" w:rsidRDefault="00BD6C4E" w:rsidP="00BD6C4E">
      <w:pPr>
        <w:pStyle w:val="ListParagraph"/>
        <w:numPr>
          <w:ilvl w:val="0"/>
          <w:numId w:val="25"/>
        </w:numPr>
        <w:spacing w:before="100" w:beforeAutospacing="1" w:after="100" w:afterAutospacing="1" w:line="360" w:lineRule="auto"/>
        <w:rPr>
          <w:rFonts w:ascii="Times New Roman" w:hAnsi="Times New Roman" w:cs="Times New Roman"/>
          <w:sz w:val="24"/>
          <w:szCs w:val="24"/>
        </w:rPr>
      </w:pPr>
      <w:r w:rsidRPr="00BD6C4E">
        <w:rPr>
          <w:rStyle w:val="Strong"/>
          <w:rFonts w:ascii="Times New Roman" w:hAnsi="Times New Roman" w:cs="Times New Roman"/>
          <w:sz w:val="24"/>
          <w:szCs w:val="24"/>
        </w:rPr>
        <w:t>Commissions and Other Financial Services:</w:t>
      </w:r>
      <w:r w:rsidRPr="00BD6C4E">
        <w:rPr>
          <w:rFonts w:ascii="Times New Roman" w:hAnsi="Times New Roman" w:cs="Times New Roman"/>
          <w:sz w:val="24"/>
          <w:szCs w:val="24"/>
        </w:rPr>
        <w:t xml:space="preserve"> Revenue from offering various financial services, such as insurance and investment products.</w:t>
      </w:r>
    </w:p>
    <w:p w14:paraId="08C7DD64" w14:textId="77777777" w:rsidR="00BD6C4E" w:rsidRPr="00077BFA" w:rsidRDefault="00843BFF" w:rsidP="00BD6C4E">
      <w:pPr>
        <w:pStyle w:val="NormalWeb"/>
        <w:spacing w:line="360" w:lineRule="auto"/>
        <w:rPr>
          <w:b/>
          <w:bCs/>
          <w:u w:val="single"/>
        </w:rPr>
      </w:pPr>
      <w:r w:rsidRPr="00077BFA">
        <w:rPr>
          <w:b/>
          <w:bCs/>
          <w:sz w:val="28"/>
          <w:szCs w:val="28"/>
          <w:u w:val="single"/>
        </w:rPr>
        <w:t>F</w:t>
      </w:r>
      <w:r w:rsidR="00BD6C4E" w:rsidRPr="00077BFA">
        <w:rPr>
          <w:b/>
          <w:bCs/>
          <w:sz w:val="28"/>
          <w:szCs w:val="28"/>
          <w:u w:val="single"/>
        </w:rPr>
        <w:t>inancial figures from the S&amp;L industry based on data from recent years</w:t>
      </w:r>
    </w:p>
    <w:p w14:paraId="7684EF82" w14:textId="77777777" w:rsidR="00BD6C4E" w:rsidRPr="00BD6C4E" w:rsidRDefault="00BD6C4E" w:rsidP="00843BFF">
      <w:pPr>
        <w:pStyle w:val="NormalWeb"/>
        <w:spacing w:line="360" w:lineRule="auto"/>
      </w:pPr>
      <w:r w:rsidRPr="00BD6C4E">
        <w:rPr>
          <w:rStyle w:val="Strong"/>
        </w:rPr>
        <w:t>Total Assets:</w:t>
      </w:r>
    </w:p>
    <w:p w14:paraId="64E5588B" w14:textId="77777777" w:rsidR="00BD6C4E" w:rsidRPr="00843BFF" w:rsidRDefault="00BD6C4E" w:rsidP="00843BFF">
      <w:pPr>
        <w:pStyle w:val="ListParagraph"/>
        <w:numPr>
          <w:ilvl w:val="0"/>
          <w:numId w:val="26"/>
        </w:numPr>
        <w:spacing w:before="100" w:beforeAutospacing="1" w:after="100" w:afterAutospacing="1" w:line="360" w:lineRule="auto"/>
        <w:rPr>
          <w:rFonts w:ascii="Times New Roman" w:hAnsi="Times New Roman" w:cs="Times New Roman"/>
          <w:sz w:val="24"/>
          <w:szCs w:val="24"/>
        </w:rPr>
      </w:pPr>
      <w:r w:rsidRPr="00843BFF">
        <w:rPr>
          <w:rFonts w:ascii="Times New Roman" w:hAnsi="Times New Roman" w:cs="Times New Roman"/>
          <w:sz w:val="24"/>
          <w:szCs w:val="24"/>
        </w:rPr>
        <w:t>As of the end of 2022, S&amp;Ls in the United States held approximately $1.2 trillion in total assets.</w:t>
      </w:r>
    </w:p>
    <w:p w14:paraId="4D82B253" w14:textId="77777777" w:rsidR="00BD6C4E" w:rsidRPr="00BD6C4E" w:rsidRDefault="00BD6C4E" w:rsidP="00843BFF">
      <w:pPr>
        <w:pStyle w:val="NormalWeb"/>
        <w:spacing w:line="360" w:lineRule="auto"/>
      </w:pPr>
      <w:r w:rsidRPr="00BD6C4E">
        <w:rPr>
          <w:rStyle w:val="Strong"/>
        </w:rPr>
        <w:t>Net Interest Income:</w:t>
      </w:r>
    </w:p>
    <w:p w14:paraId="29FFEE39" w14:textId="77777777" w:rsidR="00BD6C4E" w:rsidRPr="00843BFF" w:rsidRDefault="00BD6C4E" w:rsidP="00843BFF">
      <w:pPr>
        <w:pStyle w:val="ListParagraph"/>
        <w:numPr>
          <w:ilvl w:val="0"/>
          <w:numId w:val="26"/>
        </w:numPr>
        <w:spacing w:before="100" w:beforeAutospacing="1" w:after="100" w:afterAutospacing="1" w:line="360" w:lineRule="auto"/>
        <w:rPr>
          <w:rFonts w:ascii="Times New Roman" w:hAnsi="Times New Roman" w:cs="Times New Roman"/>
          <w:sz w:val="24"/>
          <w:szCs w:val="24"/>
        </w:rPr>
      </w:pPr>
      <w:r w:rsidRPr="00843BFF">
        <w:rPr>
          <w:rFonts w:ascii="Times New Roman" w:hAnsi="Times New Roman" w:cs="Times New Roman"/>
          <w:sz w:val="24"/>
          <w:szCs w:val="24"/>
        </w:rPr>
        <w:t>In 2022, the net interest income (the difference between interest earned on assets and interest paid on liabilities) for S&amp;Ls was around $40 billion.</w:t>
      </w:r>
    </w:p>
    <w:p w14:paraId="5A62D2E7" w14:textId="77777777" w:rsidR="00BD6C4E" w:rsidRPr="00BD6C4E" w:rsidRDefault="00BD6C4E" w:rsidP="00843BFF">
      <w:pPr>
        <w:pStyle w:val="NormalWeb"/>
        <w:spacing w:line="360" w:lineRule="auto"/>
      </w:pPr>
      <w:r w:rsidRPr="00BD6C4E">
        <w:rPr>
          <w:rStyle w:val="Strong"/>
        </w:rPr>
        <w:t>Fee Income:</w:t>
      </w:r>
    </w:p>
    <w:p w14:paraId="1C41CBBA" w14:textId="77777777" w:rsidR="00BD6C4E" w:rsidRPr="00843BFF" w:rsidRDefault="00BD6C4E" w:rsidP="00843BFF">
      <w:pPr>
        <w:pStyle w:val="ListParagraph"/>
        <w:numPr>
          <w:ilvl w:val="0"/>
          <w:numId w:val="26"/>
        </w:numPr>
        <w:spacing w:before="100" w:beforeAutospacing="1" w:after="100" w:afterAutospacing="1" w:line="360" w:lineRule="auto"/>
        <w:rPr>
          <w:rFonts w:ascii="Times New Roman" w:hAnsi="Times New Roman" w:cs="Times New Roman"/>
          <w:sz w:val="24"/>
          <w:szCs w:val="24"/>
        </w:rPr>
      </w:pPr>
      <w:r w:rsidRPr="00843BFF">
        <w:rPr>
          <w:rFonts w:ascii="Times New Roman" w:hAnsi="Times New Roman" w:cs="Times New Roman"/>
          <w:sz w:val="24"/>
          <w:szCs w:val="24"/>
        </w:rPr>
        <w:t>Fee and service charge income accounted for about $5 billion in 2022.</w:t>
      </w:r>
    </w:p>
    <w:p w14:paraId="23314FF3" w14:textId="77777777" w:rsidR="00BD6C4E" w:rsidRPr="00BD6C4E" w:rsidRDefault="00BD6C4E" w:rsidP="00843BFF">
      <w:pPr>
        <w:pStyle w:val="NormalWeb"/>
        <w:spacing w:line="360" w:lineRule="auto"/>
      </w:pPr>
      <w:r w:rsidRPr="00BD6C4E">
        <w:rPr>
          <w:rStyle w:val="Strong"/>
        </w:rPr>
        <w:t>Net Income:</w:t>
      </w:r>
    </w:p>
    <w:p w14:paraId="35D4EBA7" w14:textId="77777777" w:rsidR="00843BFF" w:rsidRDefault="00BD6C4E" w:rsidP="00077BFA">
      <w:pPr>
        <w:pStyle w:val="ListParagraph"/>
        <w:numPr>
          <w:ilvl w:val="0"/>
          <w:numId w:val="26"/>
        </w:numPr>
        <w:spacing w:before="100" w:beforeAutospacing="1" w:after="100" w:afterAutospacing="1" w:line="360" w:lineRule="auto"/>
        <w:rPr>
          <w:rFonts w:ascii="Times New Roman" w:hAnsi="Times New Roman" w:cs="Times New Roman"/>
          <w:sz w:val="24"/>
          <w:szCs w:val="24"/>
        </w:rPr>
      </w:pPr>
      <w:r w:rsidRPr="00843BFF">
        <w:rPr>
          <w:rFonts w:ascii="Times New Roman" w:hAnsi="Times New Roman" w:cs="Times New Roman"/>
          <w:sz w:val="24"/>
          <w:szCs w:val="24"/>
        </w:rPr>
        <w:t>The aggregate net income for the S&amp;L industry in 2022 was approximately $10 billion.</w:t>
      </w:r>
    </w:p>
    <w:p w14:paraId="44613F5B" w14:textId="77777777" w:rsidR="00077BFA" w:rsidRDefault="00077BFA" w:rsidP="00077BFA">
      <w:pPr>
        <w:spacing w:before="100" w:beforeAutospacing="1" w:after="100" w:afterAutospacing="1" w:line="360" w:lineRule="auto"/>
        <w:rPr>
          <w:rFonts w:ascii="Times New Roman" w:hAnsi="Times New Roman" w:cs="Times New Roman"/>
          <w:sz w:val="24"/>
          <w:szCs w:val="24"/>
        </w:rPr>
      </w:pPr>
    </w:p>
    <w:p w14:paraId="61C87028" w14:textId="77777777" w:rsidR="00077BFA" w:rsidRPr="00077BFA" w:rsidRDefault="00077BFA" w:rsidP="00077BFA">
      <w:pPr>
        <w:spacing w:before="100" w:beforeAutospacing="1" w:after="100" w:afterAutospacing="1" w:line="360" w:lineRule="auto"/>
        <w:rPr>
          <w:rFonts w:ascii="Times New Roman" w:hAnsi="Times New Roman" w:cs="Times New Roman"/>
          <w:sz w:val="24"/>
          <w:szCs w:val="24"/>
        </w:rPr>
      </w:pPr>
    </w:p>
    <w:p w14:paraId="61839029" w14:textId="77777777" w:rsidR="00BD6C4E" w:rsidRPr="00BD6C4E" w:rsidRDefault="00BD6C4E" w:rsidP="00843BFF">
      <w:pPr>
        <w:pStyle w:val="NormalWeb"/>
        <w:spacing w:line="360" w:lineRule="auto"/>
      </w:pPr>
      <w:r w:rsidRPr="00BD6C4E">
        <w:rPr>
          <w:rStyle w:val="Strong"/>
        </w:rPr>
        <w:lastRenderedPageBreak/>
        <w:t>Loan Portfolios:</w:t>
      </w:r>
    </w:p>
    <w:p w14:paraId="0F3E68BD" w14:textId="77777777" w:rsidR="00843BFF" w:rsidRDefault="00BD6C4E" w:rsidP="00843BFF">
      <w:pPr>
        <w:pStyle w:val="ListParagraph"/>
        <w:numPr>
          <w:ilvl w:val="0"/>
          <w:numId w:val="26"/>
        </w:numPr>
        <w:spacing w:before="100" w:beforeAutospacing="1" w:after="100" w:afterAutospacing="1" w:line="360" w:lineRule="auto"/>
        <w:rPr>
          <w:rFonts w:ascii="Times New Roman" w:hAnsi="Times New Roman" w:cs="Times New Roman"/>
          <w:sz w:val="24"/>
          <w:szCs w:val="24"/>
        </w:rPr>
      </w:pPr>
      <w:r w:rsidRPr="00843BFF">
        <w:rPr>
          <w:rFonts w:ascii="Times New Roman" w:hAnsi="Times New Roman" w:cs="Times New Roman"/>
          <w:sz w:val="24"/>
          <w:szCs w:val="24"/>
        </w:rPr>
        <w:t>S&amp;Ls held around $900 billion in mortgage loans as part of their portfolios at the end of 2022.</w:t>
      </w:r>
    </w:p>
    <w:p w14:paraId="6844C717" w14:textId="77777777" w:rsidR="00BD6C4E" w:rsidRPr="00843BFF" w:rsidRDefault="00BD6C4E" w:rsidP="00843BFF">
      <w:pPr>
        <w:spacing w:before="100" w:beforeAutospacing="1" w:after="100" w:afterAutospacing="1" w:line="360" w:lineRule="auto"/>
        <w:rPr>
          <w:rFonts w:ascii="Times New Roman" w:hAnsi="Times New Roman" w:cs="Times New Roman"/>
          <w:sz w:val="24"/>
          <w:szCs w:val="24"/>
        </w:rPr>
      </w:pPr>
      <w:r w:rsidRPr="00843BFF">
        <w:rPr>
          <w:rStyle w:val="Strong"/>
          <w:rFonts w:ascii="Times New Roman" w:hAnsi="Times New Roman" w:cs="Times New Roman"/>
          <w:sz w:val="24"/>
          <w:szCs w:val="24"/>
        </w:rPr>
        <w:t>Interest Rates:</w:t>
      </w:r>
    </w:p>
    <w:p w14:paraId="3196B28B" w14:textId="77777777" w:rsidR="00BD6C4E" w:rsidRPr="00843BFF" w:rsidRDefault="00BD6C4E" w:rsidP="00843BFF">
      <w:pPr>
        <w:pStyle w:val="ListParagraph"/>
        <w:numPr>
          <w:ilvl w:val="0"/>
          <w:numId w:val="26"/>
        </w:numPr>
        <w:spacing w:before="100" w:beforeAutospacing="1" w:after="100" w:afterAutospacing="1" w:line="360" w:lineRule="auto"/>
        <w:rPr>
          <w:rFonts w:ascii="Times New Roman" w:hAnsi="Times New Roman" w:cs="Times New Roman"/>
          <w:sz w:val="24"/>
          <w:szCs w:val="24"/>
        </w:rPr>
      </w:pPr>
      <w:r w:rsidRPr="00843BFF">
        <w:rPr>
          <w:rFonts w:ascii="Times New Roman" w:hAnsi="Times New Roman" w:cs="Times New Roman"/>
          <w:sz w:val="24"/>
          <w:szCs w:val="24"/>
        </w:rPr>
        <w:t>The average interest rate on a 30-year fixed-rate mortgage offered by S&amp;Ls was approximately 3.5% in 2022, though this rate has likely varied with market conditions.</w:t>
      </w:r>
    </w:p>
    <w:p w14:paraId="7D4C5BA1" w14:textId="77777777" w:rsidR="00BD6C4E" w:rsidRPr="00BD6C4E" w:rsidRDefault="00BD6C4E" w:rsidP="00BD6C4E">
      <w:pPr>
        <w:spacing w:line="360" w:lineRule="auto"/>
        <w:rPr>
          <w:rFonts w:ascii="Times New Roman" w:hAnsi="Times New Roman" w:cs="Times New Roman"/>
          <w:b/>
          <w:bCs/>
          <w:sz w:val="24"/>
          <w:szCs w:val="24"/>
        </w:rPr>
      </w:pPr>
    </w:p>
    <w:p w14:paraId="75642739" w14:textId="77777777" w:rsidR="003F6806" w:rsidRPr="00BD6C4E" w:rsidRDefault="003F6806" w:rsidP="00BD6C4E">
      <w:pPr>
        <w:spacing w:line="360" w:lineRule="auto"/>
        <w:rPr>
          <w:rFonts w:ascii="Times New Roman" w:hAnsi="Times New Roman" w:cs="Times New Roman"/>
          <w:sz w:val="24"/>
          <w:szCs w:val="24"/>
        </w:rPr>
      </w:pPr>
    </w:p>
    <w:p w14:paraId="1E4199BD" w14:textId="77777777" w:rsidR="002409C6" w:rsidRPr="00BD6C4E" w:rsidRDefault="002409C6" w:rsidP="00BD6C4E">
      <w:pPr>
        <w:spacing w:line="360" w:lineRule="auto"/>
        <w:jc w:val="center"/>
        <w:rPr>
          <w:rFonts w:ascii="Times New Roman" w:hAnsi="Times New Roman" w:cs="Times New Roman"/>
          <w:sz w:val="24"/>
          <w:szCs w:val="24"/>
        </w:rPr>
      </w:pPr>
    </w:p>
    <w:p w14:paraId="55B3AE04" w14:textId="77777777" w:rsidR="003F6806" w:rsidRPr="00BD6C4E" w:rsidRDefault="003F6806" w:rsidP="00BD6C4E">
      <w:pPr>
        <w:spacing w:line="360" w:lineRule="auto"/>
        <w:jc w:val="center"/>
        <w:rPr>
          <w:rFonts w:ascii="Times New Roman" w:hAnsi="Times New Roman" w:cs="Times New Roman"/>
          <w:sz w:val="24"/>
          <w:szCs w:val="24"/>
        </w:rPr>
      </w:pPr>
    </w:p>
    <w:p w14:paraId="6927BECB" w14:textId="77777777" w:rsidR="003F6806" w:rsidRPr="00BD6C4E" w:rsidRDefault="003F6806" w:rsidP="00BD6C4E">
      <w:pPr>
        <w:spacing w:line="360" w:lineRule="auto"/>
        <w:rPr>
          <w:rFonts w:ascii="Times New Roman" w:hAnsi="Times New Roman" w:cs="Times New Roman"/>
          <w:sz w:val="24"/>
          <w:szCs w:val="24"/>
        </w:rPr>
      </w:pPr>
    </w:p>
    <w:sectPr w:rsidR="003F6806" w:rsidRPr="00BD6C4E" w:rsidSect="00843BF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551"/>
    <w:multiLevelType w:val="hybridMultilevel"/>
    <w:tmpl w:val="F1EC8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A4B2B"/>
    <w:multiLevelType w:val="hybridMultilevel"/>
    <w:tmpl w:val="FC5C0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85326"/>
    <w:multiLevelType w:val="multilevel"/>
    <w:tmpl w:val="6088B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9784F"/>
    <w:multiLevelType w:val="hybridMultilevel"/>
    <w:tmpl w:val="27126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179AE"/>
    <w:multiLevelType w:val="multilevel"/>
    <w:tmpl w:val="A1C48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5154B"/>
    <w:multiLevelType w:val="multilevel"/>
    <w:tmpl w:val="2948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10128"/>
    <w:multiLevelType w:val="hybridMultilevel"/>
    <w:tmpl w:val="B7EA2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EB0734"/>
    <w:multiLevelType w:val="hybridMultilevel"/>
    <w:tmpl w:val="FB0EF7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B654A49"/>
    <w:multiLevelType w:val="multilevel"/>
    <w:tmpl w:val="46D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74CE6"/>
    <w:multiLevelType w:val="hybridMultilevel"/>
    <w:tmpl w:val="A48E6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344010"/>
    <w:multiLevelType w:val="multilevel"/>
    <w:tmpl w:val="C5DE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713E9"/>
    <w:multiLevelType w:val="hybridMultilevel"/>
    <w:tmpl w:val="001EE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DC6941"/>
    <w:multiLevelType w:val="hybridMultilevel"/>
    <w:tmpl w:val="70EEB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D55CD3"/>
    <w:multiLevelType w:val="multilevel"/>
    <w:tmpl w:val="893A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B38D0"/>
    <w:multiLevelType w:val="multilevel"/>
    <w:tmpl w:val="9F1ED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753B8"/>
    <w:multiLevelType w:val="hybridMultilevel"/>
    <w:tmpl w:val="287C6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4B68EE"/>
    <w:multiLevelType w:val="multilevel"/>
    <w:tmpl w:val="662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A4E55"/>
    <w:multiLevelType w:val="hybridMultilevel"/>
    <w:tmpl w:val="1B2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1B348A"/>
    <w:multiLevelType w:val="hybridMultilevel"/>
    <w:tmpl w:val="14E01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E14E74"/>
    <w:multiLevelType w:val="hybridMultilevel"/>
    <w:tmpl w:val="11E016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6F064C4"/>
    <w:multiLevelType w:val="hybridMultilevel"/>
    <w:tmpl w:val="F9829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AC6E82"/>
    <w:multiLevelType w:val="hybridMultilevel"/>
    <w:tmpl w:val="E4E48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035F28"/>
    <w:multiLevelType w:val="hybridMultilevel"/>
    <w:tmpl w:val="AB1CF2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2D64580"/>
    <w:multiLevelType w:val="hybridMultilevel"/>
    <w:tmpl w:val="BCAC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1F2B61"/>
    <w:multiLevelType w:val="multilevel"/>
    <w:tmpl w:val="A240F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5213F"/>
    <w:multiLevelType w:val="hybridMultilevel"/>
    <w:tmpl w:val="31B8E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3324684">
    <w:abstractNumId w:val="21"/>
  </w:num>
  <w:num w:numId="2" w16cid:durableId="806045289">
    <w:abstractNumId w:val="18"/>
  </w:num>
  <w:num w:numId="3" w16cid:durableId="2112891225">
    <w:abstractNumId w:val="1"/>
  </w:num>
  <w:num w:numId="4" w16cid:durableId="2066709764">
    <w:abstractNumId w:val="11"/>
  </w:num>
  <w:num w:numId="5" w16cid:durableId="186990135">
    <w:abstractNumId w:val="0"/>
  </w:num>
  <w:num w:numId="6" w16cid:durableId="697656396">
    <w:abstractNumId w:val="10"/>
  </w:num>
  <w:num w:numId="7" w16cid:durableId="1674186457">
    <w:abstractNumId w:val="2"/>
  </w:num>
  <w:num w:numId="8" w16cid:durableId="555048844">
    <w:abstractNumId w:val="8"/>
  </w:num>
  <w:num w:numId="9" w16cid:durableId="1012219476">
    <w:abstractNumId w:val="13"/>
  </w:num>
  <w:num w:numId="10" w16cid:durableId="1939363350">
    <w:abstractNumId w:val="16"/>
  </w:num>
  <w:num w:numId="11" w16cid:durableId="1233810342">
    <w:abstractNumId w:val="14"/>
  </w:num>
  <w:num w:numId="12" w16cid:durableId="995261497">
    <w:abstractNumId w:val="24"/>
  </w:num>
  <w:num w:numId="13" w16cid:durableId="803038542">
    <w:abstractNumId w:val="6"/>
  </w:num>
  <w:num w:numId="14" w16cid:durableId="2005549683">
    <w:abstractNumId w:val="23"/>
  </w:num>
  <w:num w:numId="15" w16cid:durableId="2015036180">
    <w:abstractNumId w:val="15"/>
  </w:num>
  <w:num w:numId="16" w16cid:durableId="496769905">
    <w:abstractNumId w:val="22"/>
  </w:num>
  <w:num w:numId="17" w16cid:durableId="357320516">
    <w:abstractNumId w:val="12"/>
  </w:num>
  <w:num w:numId="18" w16cid:durableId="1845050567">
    <w:abstractNumId w:val="20"/>
  </w:num>
  <w:num w:numId="19" w16cid:durableId="867913353">
    <w:abstractNumId w:val="4"/>
  </w:num>
  <w:num w:numId="20" w16cid:durableId="1390113613">
    <w:abstractNumId w:val="5"/>
  </w:num>
  <w:num w:numId="21" w16cid:durableId="689260907">
    <w:abstractNumId w:val="19"/>
  </w:num>
  <w:num w:numId="22" w16cid:durableId="2096510427">
    <w:abstractNumId w:val="17"/>
  </w:num>
  <w:num w:numId="23" w16cid:durableId="265814196">
    <w:abstractNumId w:val="7"/>
  </w:num>
  <w:num w:numId="24" w16cid:durableId="26950417">
    <w:abstractNumId w:val="9"/>
  </w:num>
  <w:num w:numId="25" w16cid:durableId="633488985">
    <w:abstractNumId w:val="25"/>
  </w:num>
  <w:num w:numId="26" w16cid:durableId="841120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B8"/>
    <w:rsid w:val="00077BFA"/>
    <w:rsid w:val="00153A5A"/>
    <w:rsid w:val="002409C6"/>
    <w:rsid w:val="003F6806"/>
    <w:rsid w:val="004208B7"/>
    <w:rsid w:val="006223A0"/>
    <w:rsid w:val="00843BFF"/>
    <w:rsid w:val="00936DE1"/>
    <w:rsid w:val="00BD6C4E"/>
    <w:rsid w:val="00D773B8"/>
    <w:rsid w:val="00DB07C7"/>
    <w:rsid w:val="00F36571"/>
    <w:rsid w:val="00F45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7AF56"/>
  <w15:chartTrackingRefBased/>
  <w15:docId w15:val="{0DA3B79B-EC4A-4A2D-843E-694EA06E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68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36D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6D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73B8"/>
    <w:rPr>
      <w:b/>
      <w:bCs/>
    </w:rPr>
  </w:style>
  <w:style w:type="character" w:customStyle="1" w:styleId="Heading2Char">
    <w:name w:val="Heading 2 Char"/>
    <w:basedOn w:val="DefaultParagraphFont"/>
    <w:link w:val="Heading2"/>
    <w:uiPriority w:val="9"/>
    <w:rsid w:val="003F6806"/>
    <w:rPr>
      <w:rFonts w:ascii="Times New Roman" w:eastAsia="Times New Roman" w:hAnsi="Times New Roman" w:cs="Times New Roman"/>
      <w:b/>
      <w:bCs/>
      <w:kern w:val="0"/>
      <w:sz w:val="36"/>
      <w:szCs w:val="36"/>
      <w:lang w:eastAsia="en-IN"/>
      <w14:ligatures w14:val="none"/>
    </w:rPr>
  </w:style>
  <w:style w:type="character" w:customStyle="1" w:styleId="display-block">
    <w:name w:val="display-block"/>
    <w:basedOn w:val="DefaultParagraphFont"/>
    <w:rsid w:val="003F6806"/>
  </w:style>
  <w:style w:type="paragraph" w:styleId="ListParagraph">
    <w:name w:val="List Paragraph"/>
    <w:basedOn w:val="Normal"/>
    <w:uiPriority w:val="34"/>
    <w:qFormat/>
    <w:rsid w:val="006223A0"/>
    <w:pPr>
      <w:ind w:left="720"/>
      <w:contextualSpacing/>
    </w:pPr>
  </w:style>
  <w:style w:type="character" w:customStyle="1" w:styleId="Heading3Char">
    <w:name w:val="Heading 3 Char"/>
    <w:basedOn w:val="DefaultParagraphFont"/>
    <w:link w:val="Heading3"/>
    <w:uiPriority w:val="9"/>
    <w:semiHidden/>
    <w:rsid w:val="00936D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6DE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36D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624">
      <w:bodyDiv w:val="1"/>
      <w:marLeft w:val="0"/>
      <w:marRight w:val="0"/>
      <w:marTop w:val="0"/>
      <w:marBottom w:val="0"/>
      <w:divBdr>
        <w:top w:val="none" w:sz="0" w:space="0" w:color="auto"/>
        <w:left w:val="none" w:sz="0" w:space="0" w:color="auto"/>
        <w:bottom w:val="none" w:sz="0" w:space="0" w:color="auto"/>
        <w:right w:val="none" w:sz="0" w:space="0" w:color="auto"/>
      </w:divBdr>
    </w:div>
    <w:div w:id="38674594">
      <w:bodyDiv w:val="1"/>
      <w:marLeft w:val="0"/>
      <w:marRight w:val="0"/>
      <w:marTop w:val="0"/>
      <w:marBottom w:val="0"/>
      <w:divBdr>
        <w:top w:val="none" w:sz="0" w:space="0" w:color="auto"/>
        <w:left w:val="none" w:sz="0" w:space="0" w:color="auto"/>
        <w:bottom w:val="none" w:sz="0" w:space="0" w:color="auto"/>
        <w:right w:val="none" w:sz="0" w:space="0" w:color="auto"/>
      </w:divBdr>
    </w:div>
    <w:div w:id="626862988">
      <w:bodyDiv w:val="1"/>
      <w:marLeft w:val="0"/>
      <w:marRight w:val="0"/>
      <w:marTop w:val="0"/>
      <w:marBottom w:val="0"/>
      <w:divBdr>
        <w:top w:val="none" w:sz="0" w:space="0" w:color="auto"/>
        <w:left w:val="none" w:sz="0" w:space="0" w:color="auto"/>
        <w:bottom w:val="none" w:sz="0" w:space="0" w:color="auto"/>
        <w:right w:val="none" w:sz="0" w:space="0" w:color="auto"/>
      </w:divBdr>
    </w:div>
    <w:div w:id="996226026">
      <w:bodyDiv w:val="1"/>
      <w:marLeft w:val="0"/>
      <w:marRight w:val="0"/>
      <w:marTop w:val="0"/>
      <w:marBottom w:val="0"/>
      <w:divBdr>
        <w:top w:val="none" w:sz="0" w:space="0" w:color="auto"/>
        <w:left w:val="none" w:sz="0" w:space="0" w:color="auto"/>
        <w:bottom w:val="none" w:sz="0" w:space="0" w:color="auto"/>
        <w:right w:val="none" w:sz="0" w:space="0" w:color="auto"/>
      </w:divBdr>
    </w:div>
    <w:div w:id="1257205036">
      <w:bodyDiv w:val="1"/>
      <w:marLeft w:val="0"/>
      <w:marRight w:val="0"/>
      <w:marTop w:val="0"/>
      <w:marBottom w:val="0"/>
      <w:divBdr>
        <w:top w:val="none" w:sz="0" w:space="0" w:color="auto"/>
        <w:left w:val="none" w:sz="0" w:space="0" w:color="auto"/>
        <w:bottom w:val="none" w:sz="0" w:space="0" w:color="auto"/>
        <w:right w:val="none" w:sz="0" w:space="0" w:color="auto"/>
      </w:divBdr>
    </w:div>
    <w:div w:id="1539388774">
      <w:bodyDiv w:val="1"/>
      <w:marLeft w:val="0"/>
      <w:marRight w:val="0"/>
      <w:marTop w:val="0"/>
      <w:marBottom w:val="0"/>
      <w:divBdr>
        <w:top w:val="none" w:sz="0" w:space="0" w:color="auto"/>
        <w:left w:val="none" w:sz="0" w:space="0" w:color="auto"/>
        <w:bottom w:val="none" w:sz="0" w:space="0" w:color="auto"/>
        <w:right w:val="none" w:sz="0" w:space="0" w:color="auto"/>
      </w:divBdr>
    </w:div>
    <w:div w:id="2016568592">
      <w:bodyDiv w:val="1"/>
      <w:marLeft w:val="0"/>
      <w:marRight w:val="0"/>
      <w:marTop w:val="0"/>
      <w:marBottom w:val="0"/>
      <w:divBdr>
        <w:top w:val="none" w:sz="0" w:space="0" w:color="auto"/>
        <w:left w:val="none" w:sz="0" w:space="0" w:color="auto"/>
        <w:bottom w:val="none" w:sz="0" w:space="0" w:color="auto"/>
        <w:right w:val="none" w:sz="0" w:space="0" w:color="auto"/>
      </w:divBdr>
    </w:div>
    <w:div w:id="20249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86317-A4BF-43A2-A505-EFE55EDB754D}" type="doc">
      <dgm:prSet loTypeId="urn:microsoft.com/office/officeart/2005/8/layout/default" loCatId="list" qsTypeId="urn:microsoft.com/office/officeart/2005/8/quickstyle/simple1" qsCatId="simple" csTypeId="urn:microsoft.com/office/officeart/2005/8/colors/accent3_5" csCatId="accent3" phldr="1"/>
      <dgm:spPr/>
      <dgm:t>
        <a:bodyPr/>
        <a:lstStyle/>
        <a:p>
          <a:endParaRPr lang="en-IN"/>
        </a:p>
      </dgm:t>
    </dgm:pt>
    <dgm:pt modelId="{8C9869D5-49CC-4E9C-811F-16B9E1569E8C}">
      <dgm:prSet phldrT="[Text]" custT="1"/>
      <dgm:spPr/>
      <dgm:t>
        <a:bodyPr/>
        <a:lstStyle/>
        <a:p>
          <a:r>
            <a:rPr lang="en-IN" sz="1600" b="0" i="0">
              <a:solidFill>
                <a:sysClr val="windowText" lastClr="000000"/>
              </a:solidFill>
              <a:latin typeface="Times New Roman" panose="02020603050405020304" pitchFamily="18" charset="0"/>
              <a:cs typeface="Times New Roman" panose="02020603050405020304" pitchFamily="18" charset="0"/>
            </a:rPr>
            <a:t>Commercial Banks (National Banks)</a:t>
          </a:r>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EE15DC6F-F939-43FC-9C33-CAD2A8CDDE83}" type="parTrans" cxnId="{739C1F25-52A3-4861-BCBB-0B57B8AC995F}">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8965B7FD-093B-438E-B4CC-E3154C0C23E6}" type="sibTrans" cxnId="{739C1F25-52A3-4861-BCBB-0B57B8AC995F}">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2002BD24-1AD8-46FA-9168-DFE49A9FEACA}">
      <dgm:prSet phldrT="[Text]" custT="1"/>
      <dgm:spPr/>
      <dgm:t>
        <a:bodyPr/>
        <a:lstStyle/>
        <a:p>
          <a:r>
            <a:rPr lang="en-IN" sz="1600" b="0" i="0">
              <a:solidFill>
                <a:sysClr val="windowText" lastClr="000000"/>
              </a:solidFill>
              <a:latin typeface="Times New Roman" panose="02020603050405020304" pitchFamily="18" charset="0"/>
              <a:cs typeface="Times New Roman" panose="02020603050405020304" pitchFamily="18" charset="0"/>
            </a:rPr>
            <a:t>Central Banks </a:t>
          </a:r>
          <a:r>
            <a:rPr lang="en-IN" sz="1600" b="0">
              <a:solidFill>
                <a:sysClr val="windowText" lastClr="000000"/>
              </a:solidFill>
              <a:latin typeface="Times New Roman" panose="02020603050405020304" pitchFamily="18" charset="0"/>
              <a:cs typeface="Times New Roman" panose="02020603050405020304" pitchFamily="18" charset="0"/>
            </a:rPr>
            <a:t>(Federal Reserve System)</a:t>
          </a:r>
        </a:p>
      </dgm:t>
    </dgm:pt>
    <dgm:pt modelId="{0F0FEE01-D1C7-4361-993C-288F367A5D7C}" type="parTrans" cxnId="{C1C3AE49-27A3-4B69-AAEE-2FC8EA63933A}">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41883B59-677D-4974-ADA5-830C8EF710DA}" type="sibTrans" cxnId="{C1C3AE49-27A3-4B69-AAEE-2FC8EA63933A}">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C330A7E7-CBCC-4EC4-9EF7-14BBB7F37391}">
      <dgm:prSet phldrT="[Text]" custT="1"/>
      <dgm:spPr/>
      <dgm:t>
        <a:bodyPr/>
        <a:lstStyle/>
        <a:p>
          <a:r>
            <a:rPr lang="en-IN" sz="1600" b="0" i="0">
              <a:solidFill>
                <a:sysClr val="windowText" lastClr="000000"/>
              </a:solidFill>
              <a:latin typeface="Times New Roman" panose="02020603050405020304" pitchFamily="18" charset="0"/>
              <a:cs typeface="Times New Roman" panose="02020603050405020304" pitchFamily="18" charset="0"/>
            </a:rPr>
            <a:t>Credit Unions</a:t>
          </a:r>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9792C692-E5FC-4EE4-A09E-E2040350EF59}" type="parTrans" cxnId="{E1C52F69-CD7F-4142-9F57-78CC70997AD9}">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6C1D1E09-EF0E-4082-8999-3388FA54585E}" type="sibTrans" cxnId="{E1C52F69-CD7F-4142-9F57-78CC70997AD9}">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CC64C896-88AE-4558-8B0F-E475C82D3903}">
      <dgm:prSet phldrT="[Text]" custT="1"/>
      <dgm:spPr/>
      <dgm:t>
        <a:bodyPr/>
        <a:lstStyle/>
        <a:p>
          <a:r>
            <a:rPr lang="en-IN" sz="1600" b="0" i="0">
              <a:solidFill>
                <a:sysClr val="windowText" lastClr="000000"/>
              </a:solidFill>
              <a:latin typeface="Times New Roman" panose="02020603050405020304" pitchFamily="18" charset="0"/>
              <a:cs typeface="Times New Roman" panose="02020603050405020304" pitchFamily="18" charset="0"/>
            </a:rPr>
            <a:t>Investment Banks</a:t>
          </a:r>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B0324AAB-783C-4E59-83A7-EA7F0844E506}" type="parTrans" cxnId="{51A90DEE-80FB-4A39-AF26-3914385DA52F}">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AE3CB93D-FC97-492C-BFD8-AAC5E7C345E3}" type="sibTrans" cxnId="{51A90DEE-80FB-4A39-AF26-3914385DA52F}">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74F69522-2715-4259-8B94-FFD1021CB4F9}">
      <dgm:prSet phldrT="[Text]" custT="1"/>
      <dgm:spPr/>
      <dgm:t>
        <a:bodyPr/>
        <a:lstStyle/>
        <a:p>
          <a:r>
            <a:rPr lang="en-IN" sz="1600" b="0" i="0">
              <a:solidFill>
                <a:sysClr val="windowText" lastClr="000000"/>
              </a:solidFill>
              <a:latin typeface="Times New Roman" panose="02020603050405020304" pitchFamily="18" charset="0"/>
              <a:cs typeface="Times New Roman" panose="02020603050405020304" pitchFamily="18" charset="0"/>
            </a:rPr>
            <a:t>Savings Banks</a:t>
          </a:r>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94386E0D-9C4E-4952-A4FF-A3BF30149427}" type="parTrans" cxnId="{8395C85B-86DE-47F6-8A6B-9C2F984B08A8}">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4BEC1A23-6B10-4D8A-9E8B-9B852B4AB879}" type="sibTrans" cxnId="{8395C85B-86DE-47F6-8A6B-9C2F984B08A8}">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F5067541-949E-4BD4-AB36-5C68FF37A0A9}">
      <dgm:prSet phldrT="[Text]" custT="1"/>
      <dgm:spPr/>
      <dgm:t>
        <a:bodyPr/>
        <a:lstStyle/>
        <a:p>
          <a:r>
            <a:rPr lang="en-IN" sz="1600" b="0" i="0">
              <a:solidFill>
                <a:sysClr val="windowText" lastClr="000000"/>
              </a:solidFill>
              <a:latin typeface="Times New Roman" panose="02020603050405020304" pitchFamily="18" charset="0"/>
              <a:cs typeface="Times New Roman" panose="02020603050405020304" pitchFamily="18" charset="0"/>
            </a:rPr>
            <a:t>Savings and Loans</a:t>
          </a:r>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6274C777-A9D8-484B-B76A-D9A20A6ACD0A}" type="parTrans" cxnId="{BC343449-092F-4220-BAE4-293BC0B165A9}">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C00BC91F-B9E4-49F2-937D-5C3E1CCA358E}" type="sibTrans" cxnId="{BC343449-092F-4220-BAE4-293BC0B165A9}">
      <dgm:prSet/>
      <dgm:spPr/>
      <dgm:t>
        <a:bodyPr/>
        <a:lstStyle/>
        <a:p>
          <a:endParaRPr lang="en-IN" sz="1600">
            <a:solidFill>
              <a:sysClr val="windowText" lastClr="000000"/>
            </a:solidFill>
            <a:latin typeface="Times New Roman" panose="02020603050405020304" pitchFamily="18" charset="0"/>
            <a:cs typeface="Times New Roman" panose="02020603050405020304" pitchFamily="18" charset="0"/>
          </a:endParaRPr>
        </a:p>
      </dgm:t>
    </dgm:pt>
    <dgm:pt modelId="{9F19D417-4008-4979-B36A-0D118EAB01E8}" type="pres">
      <dgm:prSet presAssocID="{9A986317-A4BF-43A2-A505-EFE55EDB754D}" presName="diagram" presStyleCnt="0">
        <dgm:presLayoutVars>
          <dgm:dir/>
          <dgm:resizeHandles val="exact"/>
        </dgm:presLayoutVars>
      </dgm:prSet>
      <dgm:spPr/>
    </dgm:pt>
    <dgm:pt modelId="{F577C6CC-B3C6-4F22-B520-F687303F21AA}" type="pres">
      <dgm:prSet presAssocID="{8C9869D5-49CC-4E9C-811F-16B9E1569E8C}" presName="node" presStyleLbl="node1" presStyleIdx="0" presStyleCnt="6">
        <dgm:presLayoutVars>
          <dgm:bulletEnabled val="1"/>
        </dgm:presLayoutVars>
      </dgm:prSet>
      <dgm:spPr/>
    </dgm:pt>
    <dgm:pt modelId="{63684710-1288-4236-B44C-6B5111995992}" type="pres">
      <dgm:prSet presAssocID="{8965B7FD-093B-438E-B4CC-E3154C0C23E6}" presName="sibTrans" presStyleCnt="0"/>
      <dgm:spPr/>
    </dgm:pt>
    <dgm:pt modelId="{69F6655F-C706-4D49-A273-D76D20590E65}" type="pres">
      <dgm:prSet presAssocID="{2002BD24-1AD8-46FA-9168-DFE49A9FEACA}" presName="node" presStyleLbl="node1" presStyleIdx="1" presStyleCnt="6">
        <dgm:presLayoutVars>
          <dgm:bulletEnabled val="1"/>
        </dgm:presLayoutVars>
      </dgm:prSet>
      <dgm:spPr/>
    </dgm:pt>
    <dgm:pt modelId="{35F1B632-1D20-459E-AEB3-65E89AB4EBF4}" type="pres">
      <dgm:prSet presAssocID="{41883B59-677D-4974-ADA5-830C8EF710DA}" presName="sibTrans" presStyleCnt="0"/>
      <dgm:spPr/>
    </dgm:pt>
    <dgm:pt modelId="{9240DBB1-C4FE-41EE-863B-C8A6A76423B5}" type="pres">
      <dgm:prSet presAssocID="{C330A7E7-CBCC-4EC4-9EF7-14BBB7F37391}" presName="node" presStyleLbl="node1" presStyleIdx="2" presStyleCnt="6">
        <dgm:presLayoutVars>
          <dgm:bulletEnabled val="1"/>
        </dgm:presLayoutVars>
      </dgm:prSet>
      <dgm:spPr/>
    </dgm:pt>
    <dgm:pt modelId="{910B95B1-68E1-4B60-8E14-8D8EC82D39C8}" type="pres">
      <dgm:prSet presAssocID="{6C1D1E09-EF0E-4082-8999-3388FA54585E}" presName="sibTrans" presStyleCnt="0"/>
      <dgm:spPr/>
    </dgm:pt>
    <dgm:pt modelId="{AC6083F7-BEA0-4DC3-9FC3-C1AC0CE01D0D}" type="pres">
      <dgm:prSet presAssocID="{CC64C896-88AE-4558-8B0F-E475C82D3903}" presName="node" presStyleLbl="node1" presStyleIdx="3" presStyleCnt="6">
        <dgm:presLayoutVars>
          <dgm:bulletEnabled val="1"/>
        </dgm:presLayoutVars>
      </dgm:prSet>
      <dgm:spPr/>
    </dgm:pt>
    <dgm:pt modelId="{8878AA18-38D2-458F-BEA1-2BC7078A1431}" type="pres">
      <dgm:prSet presAssocID="{AE3CB93D-FC97-492C-BFD8-AAC5E7C345E3}" presName="sibTrans" presStyleCnt="0"/>
      <dgm:spPr/>
    </dgm:pt>
    <dgm:pt modelId="{6395A6F6-EC02-4A47-9001-6266CBE1508D}" type="pres">
      <dgm:prSet presAssocID="{74F69522-2715-4259-8B94-FFD1021CB4F9}" presName="node" presStyleLbl="node1" presStyleIdx="4" presStyleCnt="6">
        <dgm:presLayoutVars>
          <dgm:bulletEnabled val="1"/>
        </dgm:presLayoutVars>
      </dgm:prSet>
      <dgm:spPr/>
    </dgm:pt>
    <dgm:pt modelId="{481C9AAF-C996-4E11-B7E1-975E114C2AD6}" type="pres">
      <dgm:prSet presAssocID="{4BEC1A23-6B10-4D8A-9E8B-9B852B4AB879}" presName="sibTrans" presStyleCnt="0"/>
      <dgm:spPr/>
    </dgm:pt>
    <dgm:pt modelId="{CCAC8D5A-E0B5-4E12-A88F-F7CEBA1DF57F}" type="pres">
      <dgm:prSet presAssocID="{F5067541-949E-4BD4-AB36-5C68FF37A0A9}" presName="node" presStyleLbl="node1" presStyleIdx="5" presStyleCnt="6">
        <dgm:presLayoutVars>
          <dgm:bulletEnabled val="1"/>
        </dgm:presLayoutVars>
      </dgm:prSet>
      <dgm:spPr/>
    </dgm:pt>
  </dgm:ptLst>
  <dgm:cxnLst>
    <dgm:cxn modelId="{739C1F25-52A3-4861-BCBB-0B57B8AC995F}" srcId="{9A986317-A4BF-43A2-A505-EFE55EDB754D}" destId="{8C9869D5-49CC-4E9C-811F-16B9E1569E8C}" srcOrd="0" destOrd="0" parTransId="{EE15DC6F-F939-43FC-9C33-CAD2A8CDDE83}" sibTransId="{8965B7FD-093B-438E-B4CC-E3154C0C23E6}"/>
    <dgm:cxn modelId="{2530AF40-3ACD-4D0F-A31B-E4EF101ADE6A}" type="presOf" srcId="{CC64C896-88AE-4558-8B0F-E475C82D3903}" destId="{AC6083F7-BEA0-4DC3-9FC3-C1AC0CE01D0D}" srcOrd="0" destOrd="0" presId="urn:microsoft.com/office/officeart/2005/8/layout/default"/>
    <dgm:cxn modelId="{8395C85B-86DE-47F6-8A6B-9C2F984B08A8}" srcId="{9A986317-A4BF-43A2-A505-EFE55EDB754D}" destId="{74F69522-2715-4259-8B94-FFD1021CB4F9}" srcOrd="4" destOrd="0" parTransId="{94386E0D-9C4E-4952-A4FF-A3BF30149427}" sibTransId="{4BEC1A23-6B10-4D8A-9E8B-9B852B4AB879}"/>
    <dgm:cxn modelId="{0189C160-FEE9-451F-B4C8-AAAEA6BB013A}" type="presOf" srcId="{8C9869D5-49CC-4E9C-811F-16B9E1569E8C}" destId="{F577C6CC-B3C6-4F22-B520-F687303F21AA}" srcOrd="0" destOrd="0" presId="urn:microsoft.com/office/officeart/2005/8/layout/default"/>
    <dgm:cxn modelId="{E1C52F69-CD7F-4142-9F57-78CC70997AD9}" srcId="{9A986317-A4BF-43A2-A505-EFE55EDB754D}" destId="{C330A7E7-CBCC-4EC4-9EF7-14BBB7F37391}" srcOrd="2" destOrd="0" parTransId="{9792C692-E5FC-4EE4-A09E-E2040350EF59}" sibTransId="{6C1D1E09-EF0E-4082-8999-3388FA54585E}"/>
    <dgm:cxn modelId="{BC343449-092F-4220-BAE4-293BC0B165A9}" srcId="{9A986317-A4BF-43A2-A505-EFE55EDB754D}" destId="{F5067541-949E-4BD4-AB36-5C68FF37A0A9}" srcOrd="5" destOrd="0" parTransId="{6274C777-A9D8-484B-B76A-D9A20A6ACD0A}" sibTransId="{C00BC91F-B9E4-49F2-937D-5C3E1CCA358E}"/>
    <dgm:cxn modelId="{C1C3AE49-27A3-4B69-AAEE-2FC8EA63933A}" srcId="{9A986317-A4BF-43A2-A505-EFE55EDB754D}" destId="{2002BD24-1AD8-46FA-9168-DFE49A9FEACA}" srcOrd="1" destOrd="0" parTransId="{0F0FEE01-D1C7-4361-993C-288F367A5D7C}" sibTransId="{41883B59-677D-4974-ADA5-830C8EF710DA}"/>
    <dgm:cxn modelId="{114A6055-1A10-4FE4-8089-87B5556C3186}" type="presOf" srcId="{2002BD24-1AD8-46FA-9168-DFE49A9FEACA}" destId="{69F6655F-C706-4D49-A273-D76D20590E65}" srcOrd="0" destOrd="0" presId="urn:microsoft.com/office/officeart/2005/8/layout/default"/>
    <dgm:cxn modelId="{5247C981-5339-4C23-A0E4-4EC2B9F12881}" type="presOf" srcId="{F5067541-949E-4BD4-AB36-5C68FF37A0A9}" destId="{CCAC8D5A-E0B5-4E12-A88F-F7CEBA1DF57F}" srcOrd="0" destOrd="0" presId="urn:microsoft.com/office/officeart/2005/8/layout/default"/>
    <dgm:cxn modelId="{3B08E684-AD75-4E9D-B02C-ED20FB785DCD}" type="presOf" srcId="{C330A7E7-CBCC-4EC4-9EF7-14BBB7F37391}" destId="{9240DBB1-C4FE-41EE-863B-C8A6A76423B5}" srcOrd="0" destOrd="0" presId="urn:microsoft.com/office/officeart/2005/8/layout/default"/>
    <dgm:cxn modelId="{1DE32E94-D99F-4912-A3AD-6FEAB8DA82D0}" type="presOf" srcId="{9A986317-A4BF-43A2-A505-EFE55EDB754D}" destId="{9F19D417-4008-4979-B36A-0D118EAB01E8}" srcOrd="0" destOrd="0" presId="urn:microsoft.com/office/officeart/2005/8/layout/default"/>
    <dgm:cxn modelId="{51A90DEE-80FB-4A39-AF26-3914385DA52F}" srcId="{9A986317-A4BF-43A2-A505-EFE55EDB754D}" destId="{CC64C896-88AE-4558-8B0F-E475C82D3903}" srcOrd="3" destOrd="0" parTransId="{B0324AAB-783C-4E59-83A7-EA7F0844E506}" sibTransId="{AE3CB93D-FC97-492C-BFD8-AAC5E7C345E3}"/>
    <dgm:cxn modelId="{50EFB5EE-40A4-4A09-A4C8-9473604A8A2B}" type="presOf" srcId="{74F69522-2715-4259-8B94-FFD1021CB4F9}" destId="{6395A6F6-EC02-4A47-9001-6266CBE1508D}" srcOrd="0" destOrd="0" presId="urn:microsoft.com/office/officeart/2005/8/layout/default"/>
    <dgm:cxn modelId="{FBF33C3C-C15D-4E95-8C7C-1F7BFEEB203F}" type="presParOf" srcId="{9F19D417-4008-4979-B36A-0D118EAB01E8}" destId="{F577C6CC-B3C6-4F22-B520-F687303F21AA}" srcOrd="0" destOrd="0" presId="urn:microsoft.com/office/officeart/2005/8/layout/default"/>
    <dgm:cxn modelId="{FC80D5CF-2455-4E9C-9DE5-29B914932176}" type="presParOf" srcId="{9F19D417-4008-4979-B36A-0D118EAB01E8}" destId="{63684710-1288-4236-B44C-6B5111995992}" srcOrd="1" destOrd="0" presId="urn:microsoft.com/office/officeart/2005/8/layout/default"/>
    <dgm:cxn modelId="{C9F57E72-D76E-4885-94C5-5F1E84D867A9}" type="presParOf" srcId="{9F19D417-4008-4979-B36A-0D118EAB01E8}" destId="{69F6655F-C706-4D49-A273-D76D20590E65}" srcOrd="2" destOrd="0" presId="urn:microsoft.com/office/officeart/2005/8/layout/default"/>
    <dgm:cxn modelId="{6AB2B102-4C6D-49D2-AB9F-D93B12ABE1B7}" type="presParOf" srcId="{9F19D417-4008-4979-B36A-0D118EAB01E8}" destId="{35F1B632-1D20-459E-AEB3-65E89AB4EBF4}" srcOrd="3" destOrd="0" presId="urn:microsoft.com/office/officeart/2005/8/layout/default"/>
    <dgm:cxn modelId="{5E234755-E838-492C-8E83-E845DE0E1E83}" type="presParOf" srcId="{9F19D417-4008-4979-B36A-0D118EAB01E8}" destId="{9240DBB1-C4FE-41EE-863B-C8A6A76423B5}" srcOrd="4" destOrd="0" presId="urn:microsoft.com/office/officeart/2005/8/layout/default"/>
    <dgm:cxn modelId="{9AA43DE3-DD47-43E8-AE36-EC9B413BE1ED}" type="presParOf" srcId="{9F19D417-4008-4979-B36A-0D118EAB01E8}" destId="{910B95B1-68E1-4B60-8E14-8D8EC82D39C8}" srcOrd="5" destOrd="0" presId="urn:microsoft.com/office/officeart/2005/8/layout/default"/>
    <dgm:cxn modelId="{2AC07FF2-5292-40D6-9E02-A3B309028789}" type="presParOf" srcId="{9F19D417-4008-4979-B36A-0D118EAB01E8}" destId="{AC6083F7-BEA0-4DC3-9FC3-C1AC0CE01D0D}" srcOrd="6" destOrd="0" presId="urn:microsoft.com/office/officeart/2005/8/layout/default"/>
    <dgm:cxn modelId="{241D8B7A-28F6-4374-B9E3-C0BD5F47F83C}" type="presParOf" srcId="{9F19D417-4008-4979-B36A-0D118EAB01E8}" destId="{8878AA18-38D2-458F-BEA1-2BC7078A1431}" srcOrd="7" destOrd="0" presId="urn:microsoft.com/office/officeart/2005/8/layout/default"/>
    <dgm:cxn modelId="{8A5FBDD2-FCCF-42AD-B6D1-7660B923DE23}" type="presParOf" srcId="{9F19D417-4008-4979-B36A-0D118EAB01E8}" destId="{6395A6F6-EC02-4A47-9001-6266CBE1508D}" srcOrd="8" destOrd="0" presId="urn:microsoft.com/office/officeart/2005/8/layout/default"/>
    <dgm:cxn modelId="{D9B4FE77-0C13-4749-9160-D71687343F98}" type="presParOf" srcId="{9F19D417-4008-4979-B36A-0D118EAB01E8}" destId="{481C9AAF-C996-4E11-B7E1-975E114C2AD6}" srcOrd="9" destOrd="0" presId="urn:microsoft.com/office/officeart/2005/8/layout/default"/>
    <dgm:cxn modelId="{E79A45AC-020C-4C4A-AD33-62F258C5374F}" type="presParOf" srcId="{9F19D417-4008-4979-B36A-0D118EAB01E8}" destId="{CCAC8D5A-E0B5-4E12-A88F-F7CEBA1DF57F}" srcOrd="10" destOrd="0" presId="urn:microsoft.com/office/officeart/2005/8/layout/defaul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77C6CC-B3C6-4F22-B520-F687303F21AA}">
      <dsp:nvSpPr>
        <dsp:cNvPr id="0" name=""/>
        <dsp:cNvSpPr/>
      </dsp:nvSpPr>
      <dsp:spPr>
        <a:xfrm>
          <a:off x="0" y="558998"/>
          <a:ext cx="1707356" cy="1024413"/>
        </a:xfrm>
        <a:prstGeom prst="rect">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0" i="0" kern="1200">
              <a:solidFill>
                <a:sysClr val="windowText" lastClr="000000"/>
              </a:solidFill>
              <a:latin typeface="Times New Roman" panose="02020603050405020304" pitchFamily="18" charset="0"/>
              <a:cs typeface="Times New Roman" panose="02020603050405020304" pitchFamily="18" charset="0"/>
            </a:rPr>
            <a:t>Commercial Banks (National Banks)</a:t>
          </a:r>
          <a:endParaRPr lang="en-IN" sz="1600" kern="1200">
            <a:solidFill>
              <a:sysClr val="windowText" lastClr="000000"/>
            </a:solidFill>
            <a:latin typeface="Times New Roman" panose="02020603050405020304" pitchFamily="18" charset="0"/>
            <a:cs typeface="Times New Roman" panose="02020603050405020304" pitchFamily="18" charset="0"/>
          </a:endParaRPr>
        </a:p>
      </dsp:txBody>
      <dsp:txXfrm>
        <a:off x="0" y="558998"/>
        <a:ext cx="1707356" cy="1024413"/>
      </dsp:txXfrm>
    </dsp:sp>
    <dsp:sp modelId="{69F6655F-C706-4D49-A273-D76D20590E65}">
      <dsp:nvSpPr>
        <dsp:cNvPr id="0" name=""/>
        <dsp:cNvSpPr/>
      </dsp:nvSpPr>
      <dsp:spPr>
        <a:xfrm>
          <a:off x="1878091" y="558998"/>
          <a:ext cx="1707356" cy="1024413"/>
        </a:xfrm>
        <a:prstGeom prst="rect">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0" i="0" kern="1200">
              <a:solidFill>
                <a:sysClr val="windowText" lastClr="000000"/>
              </a:solidFill>
              <a:latin typeface="Times New Roman" panose="02020603050405020304" pitchFamily="18" charset="0"/>
              <a:cs typeface="Times New Roman" panose="02020603050405020304" pitchFamily="18" charset="0"/>
            </a:rPr>
            <a:t>Central Banks </a:t>
          </a:r>
          <a:r>
            <a:rPr lang="en-IN" sz="1600" b="0" kern="1200">
              <a:solidFill>
                <a:sysClr val="windowText" lastClr="000000"/>
              </a:solidFill>
              <a:latin typeface="Times New Roman" panose="02020603050405020304" pitchFamily="18" charset="0"/>
              <a:cs typeface="Times New Roman" panose="02020603050405020304" pitchFamily="18" charset="0"/>
            </a:rPr>
            <a:t>(Federal Reserve System)</a:t>
          </a:r>
        </a:p>
      </dsp:txBody>
      <dsp:txXfrm>
        <a:off x="1878091" y="558998"/>
        <a:ext cx="1707356" cy="1024413"/>
      </dsp:txXfrm>
    </dsp:sp>
    <dsp:sp modelId="{9240DBB1-C4FE-41EE-863B-C8A6A76423B5}">
      <dsp:nvSpPr>
        <dsp:cNvPr id="0" name=""/>
        <dsp:cNvSpPr/>
      </dsp:nvSpPr>
      <dsp:spPr>
        <a:xfrm>
          <a:off x="3756183" y="558998"/>
          <a:ext cx="1707356" cy="1024413"/>
        </a:xfrm>
        <a:prstGeom prst="rect">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0" i="0" kern="1200">
              <a:solidFill>
                <a:sysClr val="windowText" lastClr="000000"/>
              </a:solidFill>
              <a:latin typeface="Times New Roman" panose="02020603050405020304" pitchFamily="18" charset="0"/>
              <a:cs typeface="Times New Roman" panose="02020603050405020304" pitchFamily="18" charset="0"/>
            </a:rPr>
            <a:t>Credit Unions</a:t>
          </a:r>
          <a:endParaRPr lang="en-IN" sz="1600" kern="1200">
            <a:solidFill>
              <a:sysClr val="windowText" lastClr="000000"/>
            </a:solidFill>
            <a:latin typeface="Times New Roman" panose="02020603050405020304" pitchFamily="18" charset="0"/>
            <a:cs typeface="Times New Roman" panose="02020603050405020304" pitchFamily="18" charset="0"/>
          </a:endParaRPr>
        </a:p>
      </dsp:txBody>
      <dsp:txXfrm>
        <a:off x="3756183" y="558998"/>
        <a:ext cx="1707356" cy="1024413"/>
      </dsp:txXfrm>
    </dsp:sp>
    <dsp:sp modelId="{AC6083F7-BEA0-4DC3-9FC3-C1AC0CE01D0D}">
      <dsp:nvSpPr>
        <dsp:cNvPr id="0" name=""/>
        <dsp:cNvSpPr/>
      </dsp:nvSpPr>
      <dsp:spPr>
        <a:xfrm>
          <a:off x="0" y="1754147"/>
          <a:ext cx="1707356" cy="1024413"/>
        </a:xfrm>
        <a:prstGeom prst="rect">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0" i="0" kern="1200">
              <a:solidFill>
                <a:sysClr val="windowText" lastClr="000000"/>
              </a:solidFill>
              <a:latin typeface="Times New Roman" panose="02020603050405020304" pitchFamily="18" charset="0"/>
              <a:cs typeface="Times New Roman" panose="02020603050405020304" pitchFamily="18" charset="0"/>
            </a:rPr>
            <a:t>Investment Banks</a:t>
          </a:r>
          <a:endParaRPr lang="en-IN" sz="1600" kern="1200">
            <a:solidFill>
              <a:sysClr val="windowText" lastClr="000000"/>
            </a:solidFill>
            <a:latin typeface="Times New Roman" panose="02020603050405020304" pitchFamily="18" charset="0"/>
            <a:cs typeface="Times New Roman" panose="02020603050405020304" pitchFamily="18" charset="0"/>
          </a:endParaRPr>
        </a:p>
      </dsp:txBody>
      <dsp:txXfrm>
        <a:off x="0" y="1754147"/>
        <a:ext cx="1707356" cy="1024413"/>
      </dsp:txXfrm>
    </dsp:sp>
    <dsp:sp modelId="{6395A6F6-EC02-4A47-9001-6266CBE1508D}">
      <dsp:nvSpPr>
        <dsp:cNvPr id="0" name=""/>
        <dsp:cNvSpPr/>
      </dsp:nvSpPr>
      <dsp:spPr>
        <a:xfrm>
          <a:off x="1878091" y="1754147"/>
          <a:ext cx="1707356" cy="1024413"/>
        </a:xfrm>
        <a:prstGeom prst="rect">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0" i="0" kern="1200">
              <a:solidFill>
                <a:sysClr val="windowText" lastClr="000000"/>
              </a:solidFill>
              <a:latin typeface="Times New Roman" panose="02020603050405020304" pitchFamily="18" charset="0"/>
              <a:cs typeface="Times New Roman" panose="02020603050405020304" pitchFamily="18" charset="0"/>
            </a:rPr>
            <a:t>Savings Banks</a:t>
          </a:r>
          <a:endParaRPr lang="en-IN" sz="1600" kern="1200">
            <a:solidFill>
              <a:sysClr val="windowText" lastClr="000000"/>
            </a:solidFill>
            <a:latin typeface="Times New Roman" panose="02020603050405020304" pitchFamily="18" charset="0"/>
            <a:cs typeface="Times New Roman" panose="02020603050405020304" pitchFamily="18" charset="0"/>
          </a:endParaRPr>
        </a:p>
      </dsp:txBody>
      <dsp:txXfrm>
        <a:off x="1878091" y="1754147"/>
        <a:ext cx="1707356" cy="1024413"/>
      </dsp:txXfrm>
    </dsp:sp>
    <dsp:sp modelId="{CCAC8D5A-E0B5-4E12-A88F-F7CEBA1DF57F}">
      <dsp:nvSpPr>
        <dsp:cNvPr id="0" name=""/>
        <dsp:cNvSpPr/>
      </dsp:nvSpPr>
      <dsp:spPr>
        <a:xfrm>
          <a:off x="3756183" y="1754147"/>
          <a:ext cx="1707356" cy="1024413"/>
        </a:xfrm>
        <a:prstGeom prst="rect">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0" i="0" kern="1200">
              <a:solidFill>
                <a:sysClr val="windowText" lastClr="000000"/>
              </a:solidFill>
              <a:latin typeface="Times New Roman" panose="02020603050405020304" pitchFamily="18" charset="0"/>
              <a:cs typeface="Times New Roman" panose="02020603050405020304" pitchFamily="18" charset="0"/>
            </a:rPr>
            <a:t>Savings and Loans</a:t>
          </a:r>
          <a:endParaRPr lang="en-IN" sz="1600" kern="1200">
            <a:solidFill>
              <a:sysClr val="windowText" lastClr="000000"/>
            </a:solidFill>
            <a:latin typeface="Times New Roman" panose="02020603050405020304" pitchFamily="18" charset="0"/>
            <a:cs typeface="Times New Roman" panose="02020603050405020304" pitchFamily="18" charset="0"/>
          </a:endParaRPr>
        </a:p>
      </dsp:txBody>
      <dsp:txXfrm>
        <a:off x="3756183" y="1754147"/>
        <a:ext cx="1707356" cy="102441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19F3-8A1F-4B2C-890A-1D5BB2FC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1237</Words>
  <Characters>7383</Characters>
  <Application>Microsoft Office Word</Application>
  <DocSecurity>0</DocSecurity>
  <Lines>195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2024-06-05T17:52:00Z</dcterms:created>
  <dcterms:modified xsi:type="dcterms:W3CDTF">2024-06-05T20:01:00Z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1d3a3c87-f630-4daa-8f0b-1fcd6d109174</vt:lpwstr>
  </property>
</Properties>
</file>