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Aptos Display" w:hAnsi="Aptos Display"/>
          <w:b/>
          <w:color w:val="000000"/>
          <w:sz w:val="48"/>
        </w:rPr>
        <w:t>Relatório de Modelagem e Engenharia de Dados do Venus</w:t>
      </w:r>
    </w:p>
    <w:p>
      <w:pPr>
        <w:pStyle w:val="Subtitle"/>
      </w:pPr>
      <w:r>
        <w:rPr>
          <w:rFonts w:ascii="Aptos" w:hAnsi="Aptos"/>
          <w:color w:val="595959"/>
          <w:sz w:val="26"/>
        </w:rPr>
        <w:t>Atendimento aos requisitos do Projeto Interdisciplinar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448"/>
            <w:shd w:fill="17365D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/>
                <w:color w:val="FFFFFF"/>
                <w:sz w:val="17"/>
              </w:rPr>
              <w:t>Item</w:t>
            </w:r>
          </w:p>
        </w:tc>
        <w:tc>
          <w:tcPr>
            <w:tcW w:type="dxa" w:w="7920"/>
            <w:shd w:fill="17365D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/>
                <w:color w:val="FFFFFF"/>
                <w:sz w:val="17"/>
              </w:rPr>
              <w:t>Informação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7"/>
              </w:rPr>
              <w:t>Projeto</w:t>
            </w:r>
          </w:p>
        </w:tc>
        <w:tc>
          <w:tcPr>
            <w:tcW w:type="dxa" w:w="79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7"/>
              </w:rPr>
              <w:t>Venus-Banco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7"/>
              </w:rPr>
              <w:t>Escopo</w:t>
            </w:r>
          </w:p>
        </w:tc>
        <w:tc>
          <w:tcPr>
            <w:tcW w:type="dxa" w:w="79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7"/>
              </w:rPr>
              <w:t>Modelos lógicos, PostgreSQL, ETL/RPA, BI, governança e operação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7"/>
              </w:rPr>
              <w:t>Base de validação</w:t>
            </w:r>
          </w:p>
        </w:tc>
        <w:tc>
          <w:tcPr>
            <w:tcW w:type="dxa" w:w="79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7"/>
              </w:rPr>
              <w:t>PostgreSQL Venus-qa, PostgreSQL 17.11, leitura READ ONLY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7"/>
              </w:rPr>
              <w:t>Data de referência</w:t>
            </w:r>
          </w:p>
        </w:tc>
        <w:tc>
          <w:tcPr>
            <w:tcW w:type="dxa" w:w="79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7"/>
              </w:rPr>
              <w:t>26/10/2026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7"/>
              </w:rPr>
              <w:t>Documentos de modelo</w:t>
            </w:r>
          </w:p>
        </w:tc>
        <w:tc>
          <w:tcPr>
            <w:tcW w:type="dxa" w:w="79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7"/>
              </w:rPr>
              <w:t>Schema-Venus-Logico.brM3, Schema-Venus_Audit-Logico.brM3 e Schema-Venus_RPA-Logico.brM3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Aptos Display" w:hAnsi="Aptos Display"/>
          <w:b/>
          <w:color w:val="000000"/>
          <w:sz w:val="32"/>
        </w:rPr>
        <w:t>Conclusão executiva</w:t>
      </w:r>
    </w:p>
    <w:p>
      <w:pPr>
        <w:spacing w:before="0" w:after="120" w:line="259" w:lineRule="auto"/>
      </w:pPr>
      <w:r>
        <w:rPr>
          <w:rFonts w:ascii="Aptos" w:hAnsi="Aptos"/>
          <w:color w:val="000000"/>
          <w:sz w:val="20"/>
        </w:rPr>
        <w:t>O repositório apresenta uma implementação consistente do núcleo relacional PostgreSQL e documentação dos fluxos de captura, OCR, RPA, BI e governança. Os modelos lógicos em brModelo estão organizados por schema e são complementados pelo snapshot físico gerado a partir do banco de QA.</w:t>
      </w:r>
    </w:p>
    <w:p>
      <w:pPr>
        <w:spacing w:before="0" w:after="120" w:line="259" w:lineRule="auto"/>
      </w:pPr>
      <w:r>
        <w:rPr>
          <w:rFonts w:ascii="Aptos" w:hAnsi="Aptos"/>
          <w:color w:val="000000"/>
          <w:sz w:val="20"/>
        </w:rPr>
        <w:t>Para fins de avaliação, a maior parte dos requisitos possui evidência diretamente versionada. As ressalvas são objetivas: a comprovação formal de 3FN não está automatizada, a contagem de 500 registros deve ser confirmada após a carga no ambiente avaliado e os resultados de EXPLAIN ANALYZE não estão armazenados como relatório de execução.</w:t>
      </w:r>
    </w:p>
    <w:p>
      <w:pPr>
        <w:spacing w:before="0" w:after="140" w:line="259" w:lineRule="auto"/>
      </w:pPr>
      <w:r>
        <w:rPr>
          <w:rFonts w:ascii="Aptos" w:hAnsi="Aptos"/>
          <w:b/>
          <w:color w:val="000000"/>
          <w:sz w:val="20"/>
        </w:rPr>
        <w:t xml:space="preserve">Status: Atendido com ressalvas controláveis. </w:t>
      </w:r>
      <w:r>
        <w:rPr>
          <w:rFonts w:ascii="Aptos" w:hAnsi="Aptos"/>
          <w:color w:val="000000"/>
          <w:sz w:val="20"/>
        </w:rPr>
        <w:t>o material já suporta a entrega técnica, mas os três itens acima devem ser fechados com evidência de execução para eliminar dúvidas na banca.</w:t>
      </w:r>
    </w:p>
    <w:p>
      <w:pPr>
        <w:pStyle w:val="Heading1"/>
      </w:pPr>
      <w:r>
        <w:rPr>
          <w:rFonts w:ascii="Aptos Display" w:hAnsi="Aptos Display"/>
          <w:b/>
          <w:color w:val="000000"/>
          <w:sz w:val="32"/>
        </w:rPr>
        <w:t>Como ler este documento</w:t>
      </w:r>
    </w:p>
    <w:p>
      <w:pPr>
        <w:spacing w:before="0" w:after="120" w:line="259" w:lineRule="auto"/>
      </w:pPr>
      <w:r>
        <w:rPr>
          <w:rFonts w:ascii="Aptos" w:hAnsi="Aptos"/>
          <w:color w:val="000000"/>
          <w:sz w:val="20"/>
        </w:rPr>
        <w:t>Cada requisito é descrito com objetivo, evidência, interpretação e recomendação de fechamento. Os caminhos citados são relativos à raiz do repositório Venus-Banco.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592"/>
            <w:shd w:fill="17365D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/>
                <w:color w:val="FFFFFF"/>
                <w:sz w:val="17"/>
              </w:rPr>
              <w:t>Status</w:t>
            </w:r>
          </w:p>
        </w:tc>
        <w:tc>
          <w:tcPr>
            <w:tcW w:type="dxa" w:w="7776"/>
            <w:shd w:fill="17365D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/>
                <w:color w:val="FFFFFF"/>
                <w:sz w:val="17"/>
              </w:rPr>
              <w:t>Interpretação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2F0D9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/>
                <w:color w:val="000000"/>
                <w:sz w:val="17"/>
              </w:rPr>
              <w:t>Atendido</w:t>
            </w:r>
          </w:p>
        </w:tc>
        <w:tc>
          <w:tcPr>
            <w:tcW w:type="dxa" w:w="777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7"/>
              </w:rPr>
              <w:t>Há artefato implementado e a documentação permite demonstrar o requisito.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2CC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/>
                <w:color w:val="000000"/>
                <w:sz w:val="17"/>
              </w:rPr>
              <w:t>Atendido com ressalva</w:t>
            </w:r>
          </w:p>
        </w:tc>
        <w:tc>
          <w:tcPr>
            <w:tcW w:type="dxa" w:w="777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7"/>
              </w:rPr>
              <w:t>Existe implementação, mas falta uma validação final, uma saída de execução ou uma formalização adicional.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CE4D6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/>
                <w:color w:val="000000"/>
                <w:sz w:val="17"/>
              </w:rPr>
              <w:t>Parcial</w:t>
            </w:r>
          </w:p>
        </w:tc>
        <w:tc>
          <w:tcPr>
            <w:tcW w:type="dxa" w:w="777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7"/>
              </w:rPr>
              <w:t>Existe parte do requisito, porém a evidência ainda não cobre toda a expectativa.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CCCC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/>
                <w:color w:val="000000"/>
                <w:sz w:val="17"/>
              </w:rPr>
              <w:t>Pendente</w:t>
            </w:r>
          </w:p>
        </w:tc>
        <w:tc>
          <w:tcPr>
            <w:tcW w:type="dxa" w:w="777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7"/>
              </w:rPr>
              <w:t>Não há implementação ou evidência suficiente no repositório.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rPr>
          <w:rFonts w:ascii="Aptos Display" w:hAnsi="Aptos Display"/>
          <w:b/>
          <w:color w:val="000000"/>
          <w:sz w:val="32"/>
        </w:rPr>
        <w:t>1 Modelos lógicos e arquitetura relacional</w:t>
      </w:r>
    </w:p>
    <w:p>
      <w:pPr>
        <w:spacing w:before="0" w:after="120" w:line="259" w:lineRule="auto"/>
      </w:pPr>
      <w:r>
        <w:rPr>
          <w:rFonts w:ascii="Aptos" w:hAnsi="Aptos"/>
          <w:color w:val="000000"/>
          <w:sz w:val="20"/>
        </w:rPr>
        <w:t>Os arquivos brM3 são as fontes editáveis dos modelos lógicos. As pré-visualizações abaixo documentam os três desenhos entregues; o inventário completo de campos, tipos, constraints, enums e FKs permanece no snapshot físico gerado do PostgreSQL.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816"/>
            <w:shd w:fill="17365D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/>
                <w:color w:val="FFFFFF"/>
                <w:sz w:val="17"/>
              </w:rPr>
              <w:t>Arquivo</w:t>
            </w:r>
          </w:p>
        </w:tc>
        <w:tc>
          <w:tcPr>
            <w:tcW w:type="dxa" w:w="1944"/>
            <w:shd w:fill="17365D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/>
                <w:color w:val="FFFFFF"/>
                <w:sz w:val="17"/>
              </w:rPr>
              <w:t>Schema ou escopo</w:t>
            </w:r>
          </w:p>
        </w:tc>
        <w:tc>
          <w:tcPr>
            <w:tcW w:type="dxa" w:w="4608"/>
            <w:shd w:fill="17365D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/>
                <w:color w:val="FFFFFF"/>
                <w:sz w:val="17"/>
              </w:rPr>
              <w:t>Uso</w:t>
            </w:r>
          </w:p>
        </w:tc>
      </w:tr>
      <w:tr>
        <w:trPr>
          <w:cantSplit/>
        </w:trPr>
        <w:tc>
          <w:tcPr>
            <w:tcW w:type="dxa" w:w="381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7"/>
              </w:rPr>
              <w:t>docs/modelos lógicos/Schema-Venus-Logico.brM3</w:t>
            </w:r>
          </w:p>
        </w:tc>
        <w:tc>
          <w:tcPr>
            <w:tcW w:type="dxa" w:w="194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7"/>
              </w:rPr>
              <w:t>venus</w:t>
            </w:r>
          </w:p>
        </w:tc>
        <w:tc>
          <w:tcPr>
            <w:tcW w:type="dxa" w:w="460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7"/>
              </w:rPr>
              <w:t>Modelo lógico do núcleo operacional: usuários, catálogo, composição, scoring e engajamento.</w:t>
            </w:r>
          </w:p>
        </w:tc>
      </w:tr>
      <w:tr>
        <w:trPr>
          <w:cantSplit/>
        </w:trPr>
        <w:tc>
          <w:tcPr>
            <w:tcW w:type="dxa" w:w="381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7"/>
              </w:rPr>
              <w:t>docs/modelos lógicos/Schema-Venus_Audit-Logico.brM3</w:t>
            </w:r>
          </w:p>
        </w:tc>
        <w:tc>
          <w:tcPr>
            <w:tcW w:type="dxa" w:w="194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7"/>
              </w:rPr>
              <w:t>venus_audit</w:t>
            </w:r>
          </w:p>
        </w:tc>
        <w:tc>
          <w:tcPr>
            <w:tcW w:type="dxa" w:w="460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7"/>
              </w:rPr>
              <w:t>Modelo de audit_logs e histórico de alterações.</w:t>
            </w:r>
          </w:p>
        </w:tc>
      </w:tr>
      <w:tr>
        <w:trPr>
          <w:cantSplit/>
        </w:trPr>
        <w:tc>
          <w:tcPr>
            <w:tcW w:type="dxa" w:w="381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7"/>
              </w:rPr>
              <w:t>docs/modelos lógicos/Schema-Venus_RPA-Logico.brM3</w:t>
            </w:r>
          </w:p>
        </w:tc>
        <w:tc>
          <w:tcPr>
            <w:tcW w:type="dxa" w:w="194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7"/>
              </w:rPr>
              <w:t>venus_rpa</w:t>
            </w:r>
          </w:p>
        </w:tc>
        <w:tc>
          <w:tcPr>
            <w:tcW w:type="dxa" w:w="460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7"/>
              </w:rPr>
              <w:t>Execução, staging de produtos/usuários e erros do legado.</w:t>
            </w:r>
          </w:p>
        </w:tc>
      </w:tr>
      <w:tr>
        <w:trPr>
          <w:cantSplit/>
        </w:trPr>
        <w:tc>
          <w:tcPr>
            <w:tcW w:type="dxa" w:w="381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7"/>
              </w:rPr>
              <w:t>docs/database-logical-model.md</w:t>
            </w:r>
          </w:p>
        </w:tc>
        <w:tc>
          <w:tcPr>
            <w:tcW w:type="dxa" w:w="194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7"/>
              </w:rPr>
              <w:t>Todos os schemas SQL</w:t>
            </w:r>
          </w:p>
        </w:tc>
        <w:tc>
          <w:tcPr>
            <w:tcW w:type="dxa" w:w="460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7"/>
              </w:rPr>
              <w:t>Catálogo físico completo: 65 tabelas, 79 FKs e 51 views/materialized views.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Aptos" w:hAnsi="Aptos"/>
          <w:b/>
          <w:color w:val="000000"/>
          <w:sz w:val="24"/>
        </w:rPr>
        <w:t>1.1 Schema venus</w:t>
      </w:r>
    </w:p>
    <w:p>
      <w:pPr>
        <w:spacing w:before="0" w:after="120" w:line="259" w:lineRule="auto"/>
      </w:pPr>
      <w:r>
        <w:rPr>
          <w:rFonts w:ascii="Aptos" w:hAnsi="Aptos"/>
          <w:color w:val="000000"/>
          <w:sz w:val="20"/>
        </w:rPr>
        <w:t>O modelo principal concentra as entidades operacionais e suas relações. A imagem é uma visão de referência; para zoom, edição e conferência de campos deve ser usado o arquivo .brM3 e o snapshot físico.</w:t>
      </w:r>
    </w:p>
    <w:p>
      <w:pPr>
        <w:spacing w:before="1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5057487"/>
            <wp:docPr id="1" name="Picture 1" title="Figura 1 - Pré-visualização do modelo lógico do schema venus." descr="Figura 1 - Pré-visualização do modelo lógico do schema venu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hema-venu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0574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0" w:after="160" w:line="259" w:lineRule="auto"/>
        <w:jc w:val="center"/>
      </w:pPr>
      <w:r>
        <w:rPr>
          <w:rFonts w:ascii="Aptos" w:hAnsi="Aptos"/>
          <w:i/>
          <w:color w:val="595959"/>
          <w:sz w:val="17"/>
        </w:rPr>
        <w:t>Figura 1 - Pré-visualização do modelo lógico do schema venus.</w:t>
      </w:r>
    </w:p>
    <w:p>
      <w:pPr>
        <w:pStyle w:val="Heading2"/>
      </w:pPr>
      <w:r>
        <w:rPr>
          <w:rFonts w:ascii="Aptos" w:hAnsi="Aptos"/>
          <w:b/>
          <w:color w:val="000000"/>
          <w:sz w:val="24"/>
        </w:rPr>
        <w:t>1.2 Schemas venus_rpa e venus_audit</w:t>
      </w:r>
    </w:p>
    <w:p>
      <w:pPr>
        <w:spacing w:before="1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2695231"/>
            <wp:docPr id="2" name="Picture 2" title="Figura 2 - Modelo lógico das tabelas de integração RPA." descr="Figura 2 - Modelo lógico das tabelas de integração RPA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hema-venus-rp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6952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0" w:after="160" w:line="259" w:lineRule="auto"/>
        <w:jc w:val="center"/>
      </w:pPr>
      <w:r>
        <w:rPr>
          <w:rFonts w:ascii="Aptos" w:hAnsi="Aptos"/>
          <w:i/>
          <w:color w:val="595959"/>
          <w:sz w:val="17"/>
        </w:rPr>
        <w:t>Figura 2 - Modelo lógico das tabelas de integração RPA.</w:t>
      </w:r>
    </w:p>
    <w:p>
      <w:pPr>
        <w:spacing w:before="100" w:after="80"/>
        <w:jc w:val="center"/>
      </w:pPr>
      <w:r>
        <w:drawing>
          <wp:inline xmlns:a="http://schemas.openxmlformats.org/drawingml/2006/main" xmlns:pic="http://schemas.openxmlformats.org/drawingml/2006/picture">
            <wp:extent cx="4023360" cy="3542230"/>
            <wp:docPr id="3" name="Picture 3" title="Figura 3 - Modelo lógico da trilha de auditoria." descr="Figura 3 - Modelo lógico da trilha de auditoria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hema-venus-audi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23360" cy="3542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0" w:after="160" w:line="259" w:lineRule="auto"/>
        <w:jc w:val="center"/>
      </w:pPr>
      <w:r>
        <w:rPr>
          <w:rFonts w:ascii="Aptos" w:hAnsi="Aptos"/>
          <w:i/>
          <w:color w:val="595959"/>
          <w:sz w:val="17"/>
        </w:rPr>
        <w:t>Figura 3 - Modelo lógico da trilha de auditoria.</w:t>
      </w:r>
    </w:p>
    <w:p>
      <w:pPr>
        <w:pStyle w:val="Heading2"/>
      </w:pPr>
      <w:r>
        <w:rPr>
          <w:rFonts w:ascii="Aptos" w:hAnsi="Aptos"/>
          <w:b/>
          <w:color w:val="000000"/>
          <w:sz w:val="24"/>
        </w:rPr>
        <w:t>1.3 Cobertura dos schemas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1800"/>
            <w:shd w:fill="17365D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/>
                <w:color w:val="FFFFFF"/>
                <w:sz w:val="17"/>
              </w:rPr>
              <w:t>Schema</w:t>
            </w:r>
          </w:p>
        </w:tc>
        <w:tc>
          <w:tcPr>
            <w:tcW w:type="dxa" w:w="1440"/>
            <w:shd w:fill="17365D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/>
                <w:color w:val="FFFFFF"/>
                <w:sz w:val="17"/>
              </w:rPr>
              <w:t>Tabelas físicas</w:t>
            </w:r>
          </w:p>
        </w:tc>
        <w:tc>
          <w:tcPr>
            <w:tcW w:type="dxa" w:w="4968"/>
            <w:shd w:fill="17365D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/>
                <w:color w:val="FFFFFF"/>
                <w:sz w:val="17"/>
              </w:rPr>
              <w:t>Papel arquitetural</w:t>
            </w:r>
          </w:p>
        </w:tc>
        <w:tc>
          <w:tcPr>
            <w:tcW w:type="dxa" w:w="2160"/>
            <w:shd w:fill="17365D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/>
                <w:color w:val="FFFFFF"/>
                <w:sz w:val="17"/>
              </w:rPr>
              <w:t>Modelo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7"/>
              </w:rPr>
              <w:t>venus</w:t>
            </w:r>
          </w:p>
        </w:tc>
        <w:tc>
          <w:tcPr>
            <w:tcW w:type="dxa" w:w="14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7"/>
              </w:rPr>
              <w:t>59</w:t>
            </w:r>
          </w:p>
        </w:tc>
        <w:tc>
          <w:tcPr>
            <w:tcW w:type="dxa" w:w="496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7"/>
              </w:rPr>
              <w:t>Núcleo transacional do catálogo, usuários, scoring e engajamento.</w:t>
            </w:r>
          </w:p>
        </w:tc>
        <w:tc>
          <w:tcPr>
            <w:tcW w:type="dxa" w:w="216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7"/>
              </w:rPr>
              <w:t>brM3 + snapshot físico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7"/>
              </w:rPr>
              <w:t>venus_audit</w:t>
            </w:r>
          </w:p>
        </w:tc>
        <w:tc>
          <w:tcPr>
            <w:tcW w:type="dxa" w:w="14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7"/>
              </w:rPr>
              <w:t>1</w:t>
            </w:r>
          </w:p>
        </w:tc>
        <w:tc>
          <w:tcPr>
            <w:tcW w:type="dxa" w:w="496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7"/>
              </w:rPr>
              <w:t>Histórico de alterações em audit_logs.</w:t>
            </w:r>
          </w:p>
        </w:tc>
        <w:tc>
          <w:tcPr>
            <w:tcW w:type="dxa" w:w="216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7"/>
              </w:rPr>
              <w:t>brM3 + snapshot físico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7"/>
              </w:rPr>
              <w:t>venus_rpa</w:t>
            </w:r>
          </w:p>
        </w:tc>
        <w:tc>
          <w:tcPr>
            <w:tcW w:type="dxa" w:w="14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7"/>
              </w:rPr>
              <w:t>4</w:t>
            </w:r>
          </w:p>
        </w:tc>
        <w:tc>
          <w:tcPr>
            <w:tcW w:type="dxa" w:w="496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7"/>
              </w:rPr>
              <w:t>Execução, staging e falhas do legado.</w:t>
            </w:r>
          </w:p>
        </w:tc>
        <w:tc>
          <w:tcPr>
            <w:tcW w:type="dxa" w:w="216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7"/>
              </w:rPr>
              <w:t>brM3 + snapshot físico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7"/>
              </w:rPr>
              <w:t>venus_optimization</w:t>
            </w:r>
          </w:p>
        </w:tc>
        <w:tc>
          <w:tcPr>
            <w:tcW w:type="dxa" w:w="14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7"/>
              </w:rPr>
              <w:t>1</w:t>
            </w:r>
          </w:p>
        </w:tc>
        <w:tc>
          <w:tcPr>
            <w:tcW w:type="dxa" w:w="496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7"/>
              </w:rPr>
              <w:t>Ponto de extensão e registro das consultas de otimização.</w:t>
            </w:r>
          </w:p>
        </w:tc>
        <w:tc>
          <w:tcPr>
            <w:tcW w:type="dxa" w:w="216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7"/>
              </w:rPr>
              <w:t>Snapshot físico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7"/>
              </w:rPr>
              <w:t>venus_bi</w:t>
            </w:r>
          </w:p>
        </w:tc>
        <w:tc>
          <w:tcPr>
            <w:tcW w:type="dxa" w:w="14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7"/>
              </w:rPr>
              <w:t>0</w:t>
            </w:r>
          </w:p>
        </w:tc>
        <w:tc>
          <w:tcPr>
            <w:tcW w:type="dxa" w:w="496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7"/>
              </w:rPr>
              <w:t>Views dimensionais e analíticas, sem tabelas físicas.</w:t>
            </w:r>
          </w:p>
        </w:tc>
        <w:tc>
          <w:tcPr>
            <w:tcW w:type="dxa" w:w="216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7"/>
              </w:rPr>
              <w:t>SQL + snapshot de views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Aptos" w:hAnsi="Aptos"/>
          <w:b/>
          <w:color w:val="000000"/>
          <w:sz w:val="24"/>
        </w:rPr>
        <w:t>1.4 PKs, FKs e cardinalidades</w:t>
      </w:r>
    </w:p>
    <w:p>
      <w:pPr>
        <w:spacing w:before="0" w:after="120" w:line="259" w:lineRule="auto"/>
      </w:pPr>
      <w:r>
        <w:rPr>
          <w:rFonts w:ascii="Aptos" w:hAnsi="Aptos"/>
          <w:color w:val="000000"/>
          <w:sz w:val="20"/>
        </w:rPr>
        <w:t>As relações N:N são materializadas por tabelas associativas. As relações 1:1 são implementadas por FK com restrição UNIQUE no lado dependente. O mapa resumido abaixo é compatível com MODEL_CARDINALIDADES.md.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4320"/>
            <w:shd w:fill="17365D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/>
                <w:color w:val="FFFFFF"/>
                <w:sz w:val="17"/>
              </w:rPr>
              <w:t>Relação</w:t>
            </w:r>
          </w:p>
        </w:tc>
        <w:tc>
          <w:tcPr>
            <w:tcW w:type="dxa" w:w="1584"/>
            <w:shd w:fill="17365D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/>
                <w:color w:val="FFFFFF"/>
                <w:sz w:val="17"/>
              </w:rPr>
              <w:t>Cardinalidade</w:t>
            </w:r>
          </w:p>
        </w:tc>
        <w:tc>
          <w:tcPr>
            <w:tcW w:type="dxa" w:w="4464"/>
            <w:shd w:fill="17365D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/>
                <w:color w:val="FFFFFF"/>
                <w:sz w:val="17"/>
              </w:rPr>
              <w:t>Implementação</w:t>
            </w:r>
          </w:p>
        </w:tc>
      </w:tr>
      <w:tr>
        <w:trPr>
          <w:cantSplit/>
        </w:trPr>
        <w:tc>
          <w:tcPr>
            <w:tcW w:type="dxa" w:w="43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7"/>
              </w:rPr>
              <w:t>users -&gt; user_profiles / user_preferences</w:t>
            </w:r>
          </w:p>
        </w:tc>
        <w:tc>
          <w:tcPr>
            <w:tcW w:type="dxa" w:w="158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7"/>
              </w:rPr>
              <w:t>1:1</w:t>
            </w:r>
          </w:p>
        </w:tc>
        <w:tc>
          <w:tcPr>
            <w:tcW w:type="dxa" w:w="446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7"/>
              </w:rPr>
              <w:t>FK para users com unicidade.</w:t>
            </w:r>
          </w:p>
        </w:tc>
      </w:tr>
      <w:tr>
        <w:trPr>
          <w:cantSplit/>
        </w:trPr>
        <w:tc>
          <w:tcPr>
            <w:tcW w:type="dxa" w:w="43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7"/>
              </w:rPr>
              <w:t>users &lt;-&gt; allergies</w:t>
            </w:r>
          </w:p>
        </w:tc>
        <w:tc>
          <w:tcPr>
            <w:tcW w:type="dxa" w:w="158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7"/>
              </w:rPr>
              <w:t>N:N</w:t>
            </w:r>
          </w:p>
        </w:tc>
        <w:tc>
          <w:tcPr>
            <w:tcW w:type="dxa" w:w="446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7"/>
              </w:rPr>
              <w:t>Tabela associativa user_allergies.</w:t>
            </w:r>
          </w:p>
        </w:tc>
      </w:tr>
      <w:tr>
        <w:trPr>
          <w:cantSplit/>
        </w:trPr>
        <w:tc>
          <w:tcPr>
            <w:tcW w:type="dxa" w:w="43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7"/>
              </w:rPr>
              <w:t>users &lt;-&gt; profile_tags</w:t>
            </w:r>
          </w:p>
        </w:tc>
        <w:tc>
          <w:tcPr>
            <w:tcW w:type="dxa" w:w="158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7"/>
              </w:rPr>
              <w:t>N:N</w:t>
            </w:r>
          </w:p>
        </w:tc>
        <w:tc>
          <w:tcPr>
            <w:tcW w:type="dxa" w:w="446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7"/>
              </w:rPr>
              <w:t>Tabela associativa user_profile_tags.</w:t>
            </w:r>
          </w:p>
        </w:tc>
      </w:tr>
      <w:tr>
        <w:trPr>
          <w:cantSplit/>
        </w:trPr>
        <w:tc>
          <w:tcPr>
            <w:tcW w:type="dxa" w:w="43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7"/>
              </w:rPr>
              <w:t>brands -&gt; products; product_categories -&gt; products</w:t>
            </w:r>
          </w:p>
        </w:tc>
        <w:tc>
          <w:tcPr>
            <w:tcW w:type="dxa" w:w="158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7"/>
              </w:rPr>
              <w:t>1:N</w:t>
            </w:r>
          </w:p>
        </w:tc>
        <w:tc>
          <w:tcPr>
            <w:tcW w:type="dxa" w:w="446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7"/>
              </w:rPr>
              <w:t>FK no lado products.</w:t>
            </w:r>
          </w:p>
        </w:tc>
      </w:tr>
      <w:tr>
        <w:trPr>
          <w:cantSplit/>
        </w:trPr>
        <w:tc>
          <w:tcPr>
            <w:tcW w:type="dxa" w:w="43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7"/>
              </w:rPr>
              <w:t>products -&gt; product_versions</w:t>
            </w:r>
          </w:p>
        </w:tc>
        <w:tc>
          <w:tcPr>
            <w:tcW w:type="dxa" w:w="158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7"/>
              </w:rPr>
              <w:t>1:N</w:t>
            </w:r>
          </w:p>
        </w:tc>
        <w:tc>
          <w:tcPr>
            <w:tcW w:type="dxa" w:w="446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7"/>
              </w:rPr>
              <w:t>FK no lado product_versions.</w:t>
            </w:r>
          </w:p>
        </w:tc>
      </w:tr>
      <w:tr>
        <w:trPr>
          <w:cantSplit/>
        </w:trPr>
        <w:tc>
          <w:tcPr>
            <w:tcW w:type="dxa" w:w="43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7"/>
              </w:rPr>
              <w:t>product_versions -&gt; product_labels / packaging</w:t>
            </w:r>
          </w:p>
        </w:tc>
        <w:tc>
          <w:tcPr>
            <w:tcW w:type="dxa" w:w="158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7"/>
              </w:rPr>
              <w:t>1:1</w:t>
            </w:r>
          </w:p>
        </w:tc>
        <w:tc>
          <w:tcPr>
            <w:tcW w:type="dxa" w:w="446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7"/>
              </w:rPr>
              <w:t>FK única no lado dependente.</w:t>
            </w:r>
          </w:p>
        </w:tc>
      </w:tr>
      <w:tr>
        <w:trPr>
          <w:cantSplit/>
        </w:trPr>
        <w:tc>
          <w:tcPr>
            <w:tcW w:type="dxa" w:w="43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7"/>
              </w:rPr>
              <w:t>product_versions &lt;-&gt; claims / ingredients</w:t>
            </w:r>
          </w:p>
        </w:tc>
        <w:tc>
          <w:tcPr>
            <w:tcW w:type="dxa" w:w="158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7"/>
              </w:rPr>
              <w:t>N:N</w:t>
            </w:r>
          </w:p>
        </w:tc>
        <w:tc>
          <w:tcPr>
            <w:tcW w:type="dxa" w:w="446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7"/>
              </w:rPr>
              <w:t>product_claims e product_ingredients.</w:t>
            </w:r>
          </w:p>
        </w:tc>
      </w:tr>
      <w:tr>
        <w:trPr>
          <w:cantSplit/>
        </w:trPr>
        <w:tc>
          <w:tcPr>
            <w:tcW w:type="dxa" w:w="43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7"/>
              </w:rPr>
              <w:t>ingredient_categories -&gt; ingredients</w:t>
            </w:r>
          </w:p>
        </w:tc>
        <w:tc>
          <w:tcPr>
            <w:tcW w:type="dxa" w:w="158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7"/>
              </w:rPr>
              <w:t>1:N</w:t>
            </w:r>
          </w:p>
        </w:tc>
        <w:tc>
          <w:tcPr>
            <w:tcW w:type="dxa" w:w="446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7"/>
              </w:rPr>
              <w:t>FK de categoria e auto-relação de hierarquia.</w:t>
            </w:r>
          </w:p>
        </w:tc>
      </w:tr>
      <w:tr>
        <w:trPr>
          <w:cantSplit/>
        </w:trPr>
        <w:tc>
          <w:tcPr>
            <w:tcW w:type="dxa" w:w="43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7"/>
              </w:rPr>
              <w:t>ingredients -&gt; aliases / effects / regulations</w:t>
            </w:r>
          </w:p>
        </w:tc>
        <w:tc>
          <w:tcPr>
            <w:tcW w:type="dxa" w:w="158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7"/>
              </w:rPr>
              <w:t>1:N</w:t>
            </w:r>
          </w:p>
        </w:tc>
        <w:tc>
          <w:tcPr>
            <w:tcW w:type="dxa" w:w="446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7"/>
              </w:rPr>
              <w:t>FK no lado dependente.</w:t>
            </w:r>
          </w:p>
        </w:tc>
      </w:tr>
      <w:tr>
        <w:trPr>
          <w:cantSplit/>
        </w:trPr>
        <w:tc>
          <w:tcPr>
            <w:tcW w:type="dxa" w:w="43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7"/>
              </w:rPr>
              <w:t>ingredients &lt;-&gt; regulations</w:t>
            </w:r>
          </w:p>
        </w:tc>
        <w:tc>
          <w:tcPr>
            <w:tcW w:type="dxa" w:w="158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7"/>
              </w:rPr>
              <w:t>N:N</w:t>
            </w:r>
          </w:p>
        </w:tc>
        <w:tc>
          <w:tcPr>
            <w:tcW w:type="dxa" w:w="446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7"/>
              </w:rPr>
              <w:t>Tabela associativa ingredient_regulations.</w:t>
            </w:r>
          </w:p>
        </w:tc>
      </w:tr>
      <w:tr>
        <w:trPr>
          <w:cantSplit/>
        </w:trPr>
        <w:tc>
          <w:tcPr>
            <w:tcW w:type="dxa" w:w="43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7"/>
              </w:rPr>
              <w:t>users -&gt; analyses / recommendations / reviews</w:t>
            </w:r>
          </w:p>
        </w:tc>
        <w:tc>
          <w:tcPr>
            <w:tcW w:type="dxa" w:w="158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7"/>
              </w:rPr>
              <w:t>1:N</w:t>
            </w:r>
          </w:p>
        </w:tc>
        <w:tc>
          <w:tcPr>
            <w:tcW w:type="dxa" w:w="446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7"/>
              </w:rPr>
              <w:t>FK para users nas entidades de uso.</w:t>
            </w:r>
          </w:p>
        </w:tc>
      </w:tr>
      <w:tr>
        <w:trPr>
          <w:cantSplit/>
        </w:trPr>
        <w:tc>
          <w:tcPr>
            <w:tcW w:type="dxa" w:w="43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7"/>
              </w:rPr>
              <w:t>users -&gt; user_access_events</w:t>
            </w:r>
          </w:p>
        </w:tc>
        <w:tc>
          <w:tcPr>
            <w:tcW w:type="dxa" w:w="158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7"/>
              </w:rPr>
              <w:t>1:N</w:t>
            </w:r>
          </w:p>
        </w:tc>
        <w:tc>
          <w:tcPr>
            <w:tcW w:type="dxa" w:w="446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7"/>
              </w:rPr>
              <w:t>Base operacional do DAU.</w:t>
            </w:r>
          </w:p>
        </w:tc>
      </w:tr>
    </w:tbl>
    <w:p>
      <w:pPr>
        <w:spacing w:after="40"/>
      </w:pPr>
    </w:p>
    <w:p>
      <w:pPr>
        <w:spacing w:after="100"/>
        <w:ind w:left="216"/>
      </w:pPr>
      <w:r>
        <w:rPr>
          <w:rFonts w:ascii="Consolas" w:hAnsi="Consolas"/>
          <w:color w:val="444444"/>
          <w:sz w:val="17"/>
        </w:rPr>
        <w:t>Fonte: docs/modelos lógicos/MODEL_CARDINALIDADES.md, docs/database-logical-model.md e sql/00_schema.sql.</w:t>
      </w:r>
    </w:p>
    <w:p>
      <w:r>
        <w:br w:type="page"/>
      </w:r>
    </w:p>
    <w:p>
      <w:pPr>
        <w:pStyle w:val="Heading1"/>
      </w:pPr>
      <w:r>
        <w:rPr>
          <w:rFonts w:ascii="Aptos Display" w:hAnsi="Aptos Display"/>
          <w:b/>
          <w:color w:val="000000"/>
          <w:sz w:val="32"/>
        </w:rPr>
        <w:t>2 Requisito 1 Modelagem de dados</w:t>
      </w:r>
    </w:p>
    <w:p>
      <w:pPr>
        <w:pStyle w:val="Heading2"/>
      </w:pPr>
      <w:r>
        <w:rPr>
          <w:rFonts w:ascii="Aptos" w:hAnsi="Aptos"/>
          <w:b/>
          <w:color w:val="000000"/>
          <w:sz w:val="24"/>
        </w:rPr>
        <w:t>2.1 Novo banco normalizado</w:t>
      </w:r>
    </w:p>
    <w:p>
      <w:pPr>
        <w:spacing w:before="0" w:after="120" w:line="259" w:lineRule="auto"/>
      </w:pPr>
      <w:r>
        <w:rPr>
          <w:rFonts w:ascii="Aptos" w:hAnsi="Aptos"/>
          <w:color w:val="000000"/>
          <w:sz w:val="20"/>
        </w:rPr>
        <w:t>O banco relacional é criado no PostgreSQL com separação entre entidades de referência, entidades transacionais, tabelas associativas e histórico. A modelagem evita a repetição de atributos de marca, categoria, ingrediente, usuário e produto, mantendo as relações por chaves estrangeiras.</w:t>
      </w:r>
    </w:p>
    <w:p>
      <w:pPr>
        <w:spacing w:after="100"/>
        <w:ind w:left="216"/>
      </w:pPr>
      <w:r>
        <w:rPr>
          <w:rFonts w:ascii="Consolas" w:hAnsi="Consolas"/>
          <w:color w:val="444444"/>
          <w:sz w:val="17"/>
        </w:rPr>
        <w:t>Evidências: sql/00_schema.sql; sql/migrations/; docs/database-logical-model.md; docs/modelos lógicos/*.brM3.</w:t>
      </w:r>
    </w:p>
    <w:p>
      <w:pPr>
        <w:spacing w:before="0" w:after="140" w:line="259" w:lineRule="auto"/>
      </w:pPr>
      <w:r>
        <w:rPr>
          <w:rFonts w:ascii="Aptos" w:hAnsi="Aptos"/>
          <w:b/>
          <w:color w:val="000000"/>
          <w:sz w:val="20"/>
        </w:rPr>
        <w:t xml:space="preserve">Status: Atendido com ressalva. </w:t>
      </w:r>
      <w:r>
        <w:rPr>
          <w:rFonts w:ascii="Aptos" w:hAnsi="Aptos"/>
          <w:color w:val="000000"/>
          <w:sz w:val="20"/>
        </w:rPr>
        <w:t>o desenho é compatível com 3FN e usa tabelas associativas para N:N, mas o repositório não contém uma prova formal automatizada de cada dependência funcional. Para a apresentação, declarar a 3FN como decisão de projeto e usar o snapshot como verificação estrutural.</w:t>
      </w:r>
    </w:p>
    <w:p>
      <w:pPr>
        <w:pStyle w:val="Heading2"/>
      </w:pPr>
      <w:r>
        <w:rPr>
          <w:rFonts w:ascii="Aptos" w:hAnsi="Aptos"/>
          <w:b/>
          <w:color w:val="000000"/>
          <w:sz w:val="24"/>
        </w:rPr>
        <w:t>2.2 Relacionamentos, PKs, FKs e cardinalidades</w:t>
      </w:r>
    </w:p>
    <w:p>
      <w:pPr>
        <w:spacing w:before="0" w:after="120" w:line="259" w:lineRule="auto"/>
      </w:pPr>
      <w:r>
        <w:rPr>
          <w:rFonts w:ascii="Aptos" w:hAnsi="Aptos"/>
          <w:color w:val="000000"/>
          <w:sz w:val="20"/>
        </w:rPr>
        <w:t>As PKs são definidas no schema e reproduzidas no catálogo técnico. As FKs aparecem no snapshot gerado diretamente do banco de QA. As cardinalidades são documentadas por relação e acompanhadas pelas tabelas associativas que materializam N:N.</w:t>
      </w:r>
    </w:p>
    <w:p>
      <w:pPr>
        <w:spacing w:after="100"/>
        <w:ind w:left="216"/>
      </w:pPr>
      <w:r>
        <w:rPr>
          <w:rFonts w:ascii="Consolas" w:hAnsi="Consolas"/>
          <w:color w:val="444444"/>
          <w:sz w:val="17"/>
        </w:rPr>
        <w:t>Evidências: docs/modelos lógicos/MODEL_CARDINALIDADES.md; docs/database-logical-model.md; sql/99_validation.sql.</w:t>
      </w:r>
    </w:p>
    <w:p>
      <w:pPr>
        <w:spacing w:before="0" w:after="140" w:line="259" w:lineRule="auto"/>
      </w:pPr>
      <w:r>
        <w:rPr>
          <w:rFonts w:ascii="Aptos" w:hAnsi="Aptos"/>
          <w:b/>
          <w:color w:val="000000"/>
          <w:sz w:val="20"/>
        </w:rPr>
        <w:t xml:space="preserve">Status: Atendido. </w:t>
      </w:r>
      <w:r>
        <w:rPr>
          <w:rFonts w:ascii="Aptos" w:hAnsi="Aptos"/>
          <w:color w:val="000000"/>
          <w:sz w:val="20"/>
        </w:rPr>
        <w:t>há desenho visual, documentação textual e snapshot físico para conferência dos relacionamentos.</w:t>
      </w:r>
    </w:p>
    <w:p>
      <w:pPr>
        <w:pStyle w:val="Heading2"/>
      </w:pPr>
      <w:r>
        <w:rPr>
          <w:rFonts w:ascii="Aptos" w:hAnsi="Aptos"/>
          <w:b/>
          <w:color w:val="000000"/>
          <w:sz w:val="24"/>
        </w:rPr>
        <w:t>2.3 Massa de dados de pelo menos 500 registros</w:t>
      </w:r>
    </w:p>
    <w:p>
      <w:pPr>
        <w:spacing w:before="0" w:after="120" w:line="259" w:lineRule="auto"/>
      </w:pPr>
      <w:r>
        <w:rPr>
          <w:rFonts w:ascii="Aptos" w:hAnsi="Aptos"/>
          <w:color w:val="000000"/>
          <w:sz w:val="20"/>
        </w:rPr>
        <w:t>O repositório possui uma carga demonstrativa ampla em sql/30_demo_seed.sql, além de cargas de referência e regulação. Um levantamento textual do seed demonstrativo encontrou aproximadamente 930 linhas de tuplas literais distribuídas entre usuários, produtos, ingredientes, fórmulas, avaliações, recomendações, reviews e reports. Isso evidencia uma massa verossímil versionada, mas não substitui a contagem pós-carga no banco avaliado.</w:t>
      </w:r>
    </w:p>
    <w:p>
      <w:pPr>
        <w:spacing w:after="100"/>
        <w:ind w:left="216"/>
      </w:pPr>
      <w:r>
        <w:rPr>
          <w:rFonts w:ascii="Consolas" w:hAnsi="Consolas"/>
          <w:color w:val="444444"/>
          <w:sz w:val="17"/>
        </w:rPr>
        <w:t>Evidências: sql/30_demo_seed.sql; sql/10_reference_seed.sql; sql/20_regulation_seed.sql; sql/15_scoring_model_category_seed.sql.</w:t>
      </w:r>
    </w:p>
    <w:p>
      <w:pPr>
        <w:spacing w:before="0" w:after="140" w:line="259" w:lineRule="auto"/>
      </w:pPr>
      <w:r>
        <w:rPr>
          <w:rFonts w:ascii="Aptos" w:hAnsi="Aptos"/>
          <w:b/>
          <w:color w:val="000000"/>
          <w:sz w:val="20"/>
        </w:rPr>
        <w:t xml:space="preserve">Status: Atendido com ressalva. </w:t>
      </w:r>
      <w:r>
        <w:rPr>
          <w:rFonts w:ascii="Aptos" w:hAnsi="Aptos"/>
          <w:color w:val="000000"/>
          <w:sz w:val="20"/>
        </w:rPr>
        <w:t>executar a carga em uma base controlada e anexar a saída de uma consulta de contagem de linhas para comprovar formalmente o mínimo de 500 registros persistidos.</w:t>
      </w:r>
    </w:p>
    <w:p>
      <w:r>
        <w:br w:type="page"/>
      </w:r>
    </w:p>
    <w:p>
      <w:pPr>
        <w:pStyle w:val="Heading1"/>
      </w:pPr>
      <w:r>
        <w:rPr>
          <w:rFonts w:ascii="Aptos Display" w:hAnsi="Aptos Display"/>
          <w:b/>
          <w:color w:val="000000"/>
          <w:sz w:val="32"/>
        </w:rPr>
        <w:t>3 Requisito 2 Engenharia de dados e ETL</w:t>
      </w:r>
    </w:p>
    <w:p>
      <w:pPr>
        <w:pStyle w:val="Heading2"/>
      </w:pPr>
      <w:r>
        <w:rPr>
          <w:rFonts w:ascii="Aptos" w:hAnsi="Aptos"/>
          <w:b/>
          <w:color w:val="000000"/>
          <w:sz w:val="24"/>
        </w:rPr>
        <w:t>3.1 Integração RPA entre legado e banco normalizado</w:t>
      </w:r>
    </w:p>
    <w:p>
      <w:pPr>
        <w:spacing w:before="0" w:after="120" w:line="259" w:lineRule="auto"/>
      </w:pPr>
      <w:r>
        <w:rPr>
          <w:rFonts w:ascii="Aptos" w:hAnsi="Aptos"/>
          <w:color w:val="000000"/>
          <w:sz w:val="20"/>
        </w:rPr>
        <w:t>O legado é tratado como fonte externa somente leitura. O fluxo extrai produtos e usuários, registra a execução em venus_rpa.rpa_run, grava os dados em tabelas de staging, registra falhas em rpa_error e só depois promove os registros válidos para o núcleo venus. Essa separação evita que uma falha de origem contamine diretamente as tabelas operacionais.</w:t>
      </w:r>
    </w:p>
    <w:p>
      <w:pPr>
        <w:spacing w:after="100"/>
        <w:ind w:left="216"/>
      </w:pPr>
      <w:r>
        <w:rPr>
          <w:rFonts w:ascii="Consolas" w:hAnsi="Consolas"/>
          <w:color w:val="444444"/>
          <w:sz w:val="17"/>
        </w:rPr>
        <w:t>Evidências: rpa_migrate.py; sql/60_rpa.sql; sql/rpa_queries.example.sql; docs/ARQUITETURA.md.</w:t>
      </w:r>
    </w:p>
    <w:p>
      <w:pPr>
        <w:spacing w:before="0" w:after="140" w:line="259" w:lineRule="auto"/>
      </w:pPr>
      <w:r>
        <w:rPr>
          <w:rFonts w:ascii="Aptos" w:hAnsi="Aptos"/>
          <w:b/>
          <w:color w:val="000000"/>
          <w:sz w:val="20"/>
        </w:rPr>
        <w:t xml:space="preserve">Status: Atendido. </w:t>
      </w:r>
      <w:r>
        <w:rPr>
          <w:rFonts w:ascii="Aptos" w:hAnsi="Aptos"/>
          <w:color w:val="000000"/>
          <w:sz w:val="20"/>
        </w:rPr>
        <w:t>há orquestração, staging, métricas de carga e tratamento explícito de erros documentado no fluxo.</w:t>
      </w:r>
    </w:p>
    <w:p>
      <w:pPr>
        <w:pStyle w:val="Heading2"/>
      </w:pPr>
      <w:r>
        <w:rPr>
          <w:rFonts w:ascii="Aptos" w:hAnsi="Aptos"/>
          <w:b/>
          <w:color w:val="000000"/>
          <w:sz w:val="24"/>
        </w:rPr>
        <w:t>3.2 Camada de BI e modelagem dimensional</w:t>
      </w:r>
    </w:p>
    <w:p>
      <w:pPr>
        <w:spacing w:before="0" w:after="120" w:line="259" w:lineRule="auto"/>
      </w:pPr>
      <w:r>
        <w:rPr>
          <w:rFonts w:ascii="Aptos" w:hAnsi="Aptos"/>
          <w:color w:val="000000"/>
          <w:sz w:val="20"/>
        </w:rPr>
        <w:t>A camada venus_bi é composta por views dimensionais e fatos, sem tabelas físicas. O desenho inclui dimensões de data, marca, produto, ingrediente, usuário, claim, regulação e modelo de scoring, além de fatos de score, análise, recomendação, review, embalagem e relações produto-ingrediente. As views de KPI e ranking são construídas sobre essa camada dimensional.</w:t>
      </w:r>
    </w:p>
    <w:p>
      <w:pPr>
        <w:spacing w:after="100"/>
        <w:ind w:left="216"/>
      </w:pPr>
      <w:r>
        <w:rPr>
          <w:rFonts w:ascii="Consolas" w:hAnsi="Consolas"/>
          <w:color w:val="444444"/>
          <w:sz w:val="17"/>
        </w:rPr>
        <w:t>Evidências: sql/50_bi.sql; docs/ARQUITETURA.md; docs/arquitetura-dados/README.md.</w:t>
      </w:r>
    </w:p>
    <w:p>
      <w:pPr>
        <w:spacing w:before="0" w:after="140" w:line="259" w:lineRule="auto"/>
      </w:pPr>
      <w:r>
        <w:rPr>
          <w:rFonts w:ascii="Aptos" w:hAnsi="Aptos"/>
          <w:b/>
          <w:color w:val="000000"/>
          <w:sz w:val="20"/>
        </w:rPr>
        <w:t xml:space="preserve">Status: Atendido. </w:t>
      </w:r>
      <w:r>
        <w:rPr>
          <w:rFonts w:ascii="Aptos" w:hAnsi="Aptos"/>
          <w:color w:val="000000"/>
          <w:sz w:val="20"/>
        </w:rPr>
        <w:t>o Data Mart está implementado como uma camada dimensional em views. Databricks é consumidor documentado, mas não há notebooks ou jobs versionados neste repositório.</w:t>
      </w:r>
    </w:p>
    <w:p>
      <w:pPr>
        <w:pStyle w:val="Heading2"/>
      </w:pPr>
      <w:r>
        <w:rPr>
          <w:rFonts w:ascii="Aptos" w:hAnsi="Aptos"/>
          <w:b/>
          <w:color w:val="000000"/>
          <w:sz w:val="24"/>
        </w:rPr>
        <w:t>3.3 Transformação SQL com CTEs</w:t>
      </w:r>
    </w:p>
    <w:p>
      <w:pPr>
        <w:spacing w:before="0" w:after="120" w:line="259" w:lineRule="auto"/>
      </w:pPr>
      <w:r>
        <w:rPr>
          <w:rFonts w:ascii="Aptos" w:hAnsi="Aptos"/>
          <w:color w:val="000000"/>
          <w:sz w:val="20"/>
        </w:rPr>
        <w:t>As views usam CTEs para organizar etapas de transformação, agregação e ranqueamento. Exemplos: limites de datas em dim_date, ingredient_usage, base/scored e recommendation_base/ranked.</w:t>
      </w:r>
    </w:p>
    <w:p>
      <w:pPr>
        <w:spacing w:after="100"/>
        <w:ind w:left="216"/>
      </w:pPr>
      <w:r>
        <w:rPr>
          <w:rFonts w:ascii="Consolas" w:hAnsi="Consolas"/>
          <w:color w:val="444444"/>
          <w:sz w:val="17"/>
        </w:rPr>
        <w:t>Evidências: sql/45_advanced_structures.sql; sql/50_bi.sql.</w:t>
      </w:r>
    </w:p>
    <w:p>
      <w:pPr>
        <w:spacing w:before="0" w:after="140" w:line="259" w:lineRule="auto"/>
      </w:pPr>
      <w:r>
        <w:rPr>
          <w:rFonts w:ascii="Aptos" w:hAnsi="Aptos"/>
          <w:b/>
          <w:color w:val="000000"/>
          <w:sz w:val="20"/>
        </w:rPr>
        <w:t xml:space="preserve">Status: Atendido. </w:t>
      </w:r>
      <w:r>
        <w:rPr>
          <w:rFonts w:ascii="Aptos" w:hAnsi="Aptos"/>
          <w:color w:val="000000"/>
          <w:sz w:val="20"/>
        </w:rPr>
        <w:t>as CTEs estão presentes em consultas de hierarquia, dimensões e análises de BI.</w:t>
      </w:r>
    </w:p>
    <w:p>
      <w:pPr>
        <w:pStyle w:val="Heading2"/>
      </w:pPr>
      <w:r>
        <w:rPr>
          <w:rFonts w:ascii="Aptos" w:hAnsi="Aptos"/>
          <w:b/>
          <w:color w:val="000000"/>
          <w:sz w:val="24"/>
        </w:rPr>
        <w:t>3.4 Window functions</w:t>
      </w:r>
    </w:p>
    <w:p>
      <w:pPr>
        <w:spacing w:before="0" w:after="120" w:line="259" w:lineRule="auto"/>
      </w:pPr>
      <w:r>
        <w:rPr>
          <w:rFonts w:ascii="Aptos" w:hAnsi="Aptos"/>
          <w:color w:val="000000"/>
          <w:sz w:val="20"/>
        </w:rPr>
        <w:t>A camada de BI implementa ranking, acumulado e comparação temporal usando ROW_NUMBER, RANK, DENSE_RANK, PERCENT_RANK, SUM OVER, AVG OVER e LAG. Há exemplos para ranking de produtos, uso de ingredientes, recomendações por usuário e janelas temporais de análises.</w:t>
      </w:r>
    </w:p>
    <w:p>
      <w:pPr>
        <w:spacing w:after="100"/>
        <w:ind w:left="216"/>
      </w:pPr>
      <w:r>
        <w:rPr>
          <w:rFonts w:ascii="Consolas" w:hAnsi="Consolas"/>
          <w:color w:val="444444"/>
          <w:sz w:val="17"/>
        </w:rPr>
        <w:t>Evidências: sql/50_bi.sql, views vw_ingredient_usage_ranking, vw_product_score_ranking, vw_user_recommendation_ranking e vw_analysis_temporal_windows.</w:t>
      </w:r>
    </w:p>
    <w:p>
      <w:pPr>
        <w:spacing w:before="0" w:after="140" w:line="259" w:lineRule="auto"/>
      </w:pPr>
      <w:r>
        <w:rPr>
          <w:rFonts w:ascii="Aptos" w:hAnsi="Aptos"/>
          <w:b/>
          <w:color w:val="000000"/>
          <w:sz w:val="20"/>
        </w:rPr>
        <w:t xml:space="preserve">Status: Atendido. </w:t>
      </w:r>
      <w:r>
        <w:rPr>
          <w:rFonts w:ascii="Aptos" w:hAnsi="Aptos"/>
          <w:color w:val="000000"/>
          <w:sz w:val="20"/>
        </w:rPr>
        <w:t>o requisito de cálculos analíticos está demonstrado diretamente no SQL das views.</w:t>
      </w:r>
    </w:p>
    <w:p>
      <w:r>
        <w:br w:type="page"/>
      </w:r>
    </w:p>
    <w:p>
      <w:pPr>
        <w:pStyle w:val="Heading1"/>
      </w:pPr>
      <w:r>
        <w:rPr>
          <w:rFonts w:ascii="Aptos Display" w:hAnsi="Aptos Display"/>
          <w:b/>
          <w:color w:val="000000"/>
          <w:sz w:val="32"/>
        </w:rPr>
        <w:t>4 Requisito 3 Objetos lógicos e otimização</w:t>
      </w:r>
    </w:p>
    <w:p>
      <w:pPr>
        <w:pStyle w:val="Heading2"/>
      </w:pPr>
      <w:r>
        <w:rPr>
          <w:rFonts w:ascii="Aptos" w:hAnsi="Aptos"/>
          <w:b/>
          <w:color w:val="000000"/>
          <w:sz w:val="24"/>
        </w:rPr>
        <w:t>4.1 Functions e Procedures</w:t>
      </w:r>
    </w:p>
    <w:p>
      <w:pPr>
        <w:spacing w:before="0" w:after="120" w:line="259" w:lineRule="auto"/>
      </w:pPr>
      <w:r>
        <w:rPr>
          <w:rFonts w:ascii="Aptos" w:hAnsi="Aptos"/>
          <w:color w:val="000000"/>
          <w:sz w:val="20"/>
        </w:rPr>
        <w:t>O schema define funções para regras de integridade, auditoria, atividade e cálculo de confiança. Também define procedures para ativar/desativar usuário, purgar auditoria e sincronizar triggers padronizados.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1440"/>
            <w:shd w:fill="17365D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/>
                <w:color w:val="FFFFFF"/>
                <w:sz w:val="17"/>
              </w:rPr>
              <w:t>Tipo</w:t>
            </w:r>
          </w:p>
        </w:tc>
        <w:tc>
          <w:tcPr>
            <w:tcW w:type="dxa" w:w="5328"/>
            <w:shd w:fill="17365D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/>
                <w:color w:val="FFFFFF"/>
                <w:sz w:val="17"/>
              </w:rPr>
              <w:t>Exemplos</w:t>
            </w:r>
          </w:p>
        </w:tc>
        <w:tc>
          <w:tcPr>
            <w:tcW w:type="dxa" w:w="3600"/>
            <w:shd w:fill="17365D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/>
                <w:color w:val="FFFFFF"/>
                <w:sz w:val="17"/>
              </w:rPr>
              <w:t>Regra atendida</w:t>
            </w:r>
          </w:p>
        </w:tc>
      </w:tr>
      <w:tr>
        <w:trPr>
          <w:cantSplit/>
        </w:trPr>
        <w:tc>
          <w:tcPr>
            <w:tcW w:type="dxa" w:w="14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7"/>
              </w:rPr>
              <w:t>Functions</w:t>
            </w:r>
          </w:p>
        </w:tc>
        <w:tc>
          <w:tcPr>
            <w:tcW w:type="dxa" w:w="532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7"/>
              </w:rPr>
              <w:t>fn_register_user_access; fn_audit_row; fn_touch_updated_at; fn_validate_analysis_status_transition; fn_calculate_product_confidence.</w:t>
            </w:r>
          </w:p>
        </w:tc>
        <w:tc>
          <w:tcPr>
            <w:tcW w:type="dxa" w:w="360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7"/>
              </w:rPr>
              <w:t>Mais de 2 funções para atividade, auditoria, transição e scoring.</w:t>
            </w:r>
          </w:p>
        </w:tc>
      </w:tr>
      <w:tr>
        <w:trPr>
          <w:cantSplit/>
        </w:trPr>
        <w:tc>
          <w:tcPr>
            <w:tcW w:type="dxa" w:w="14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7"/>
              </w:rPr>
              <w:t>Procedures</w:t>
            </w:r>
          </w:p>
        </w:tc>
        <w:tc>
          <w:tcPr>
            <w:tcW w:type="dxa" w:w="532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7"/>
              </w:rPr>
              <w:t>sp_set_user_active; sp_purge_audit_logs; sp_sync_standard_triggers.</w:t>
            </w:r>
          </w:p>
        </w:tc>
        <w:tc>
          <w:tcPr>
            <w:tcW w:type="dxa" w:w="360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7"/>
              </w:rPr>
              <w:t>Mais de 2 procedures para regras operacionais e manutenção.</w:t>
            </w:r>
          </w:p>
        </w:tc>
      </w:tr>
    </w:tbl>
    <w:p>
      <w:pPr>
        <w:spacing w:after="40"/>
      </w:pPr>
    </w:p>
    <w:p>
      <w:pPr>
        <w:spacing w:after="100"/>
        <w:ind w:left="216"/>
      </w:pPr>
      <w:r>
        <w:rPr>
          <w:rFonts w:ascii="Consolas" w:hAnsi="Consolas"/>
          <w:color w:val="444444"/>
          <w:sz w:val="17"/>
        </w:rPr>
        <w:t>Evidência: sql/00_schema.sql e sql/40_data_catalog.sql.</w:t>
      </w:r>
    </w:p>
    <w:p>
      <w:pPr>
        <w:spacing w:before="0" w:after="140" w:line="259" w:lineRule="auto"/>
      </w:pPr>
      <w:r>
        <w:rPr>
          <w:rFonts w:ascii="Aptos" w:hAnsi="Aptos"/>
          <w:b/>
          <w:color w:val="000000"/>
          <w:sz w:val="20"/>
        </w:rPr>
        <w:t xml:space="preserve">Status: Atendido. </w:t>
      </w:r>
      <w:r>
        <w:rPr>
          <w:rFonts w:ascii="Aptos" w:hAnsi="Aptos"/>
          <w:color w:val="000000"/>
          <w:sz w:val="20"/>
        </w:rPr>
        <w:t>o requisito mínimo de 2 functions e 2 procedures é superado.</w:t>
      </w:r>
    </w:p>
    <w:p>
      <w:pPr>
        <w:pStyle w:val="Heading2"/>
      </w:pPr>
      <w:r>
        <w:rPr>
          <w:rFonts w:ascii="Aptos" w:hAnsi="Aptos"/>
          <w:b/>
          <w:color w:val="000000"/>
          <w:sz w:val="24"/>
        </w:rPr>
        <w:t>4.2 Triggers de auditoria</w:t>
      </w:r>
    </w:p>
    <w:p>
      <w:pPr>
        <w:spacing w:before="0" w:after="120" w:line="259" w:lineRule="auto"/>
      </w:pPr>
      <w:r>
        <w:rPr>
          <w:rFonts w:ascii="Aptos" w:hAnsi="Aptos"/>
          <w:color w:val="000000"/>
          <w:sz w:val="20"/>
        </w:rPr>
        <w:t>A função fn_audit_row grava schema_name, table_name, operation_type, old_data, new_data, changed_by e application_name. A procedure sp_sync_standard_triggers cria triggers AFTER INSERT OR UPDATE OR DELETE para as tabelas base do schema venus, permitindo cobrir várias tabelas com o mesmo mecanismo.</w:t>
      </w:r>
    </w:p>
    <w:p>
      <w:pPr>
        <w:spacing w:after="100"/>
        <w:ind w:left="216"/>
      </w:pPr>
      <w:r>
        <w:rPr>
          <w:rFonts w:ascii="Consolas" w:hAnsi="Consolas"/>
          <w:color w:val="444444"/>
          <w:sz w:val="17"/>
        </w:rPr>
        <w:t>Evidências: sql/00_schema.sql, fn_audit_row e sp_sync_standard_triggers; schema venus_audit.audit_logs.</w:t>
      </w:r>
    </w:p>
    <w:p>
      <w:pPr>
        <w:spacing w:before="0" w:after="140" w:line="259" w:lineRule="auto"/>
      </w:pPr>
      <w:r>
        <w:rPr>
          <w:rFonts w:ascii="Aptos" w:hAnsi="Aptos"/>
          <w:b/>
          <w:color w:val="000000"/>
          <w:sz w:val="20"/>
        </w:rPr>
        <w:t xml:space="preserve">Status: Atendido. </w:t>
      </w:r>
      <w:r>
        <w:rPr>
          <w:rFonts w:ascii="Aptos" w:hAnsi="Aptos"/>
          <w:color w:val="000000"/>
          <w:sz w:val="20"/>
        </w:rPr>
        <w:t>o mecanismo cobre mais de duas tabelas e registra OLD, NEW, TG_OP e CURRENT_USER por meio do payload de auditoria.</w:t>
      </w:r>
    </w:p>
    <w:p>
      <w:pPr>
        <w:pStyle w:val="Heading2"/>
      </w:pPr>
      <w:r>
        <w:rPr>
          <w:rFonts w:ascii="Aptos" w:hAnsi="Aptos"/>
          <w:b/>
          <w:color w:val="000000"/>
          <w:sz w:val="24"/>
        </w:rPr>
        <w:t>4.3 EXPLAIN ANALYZE e índices</w:t>
      </w:r>
    </w:p>
    <w:p>
      <w:pPr>
        <w:spacing w:before="0" w:after="120" w:line="259" w:lineRule="auto"/>
      </w:pPr>
      <w:r>
        <w:rPr>
          <w:rFonts w:ascii="Aptos" w:hAnsi="Aptos"/>
          <w:color w:val="000000"/>
          <w:sz w:val="20"/>
        </w:rPr>
        <w:t>O arquivo de otimização contém quatro consultas com EXPLAIN (ANALYZE, BUFFERS), cobrindo produtos por categoria, ingredientes por categoria, análises por usuário e produto-ingrediente por versão. O schema inicial também cria índices para FKs, filtros de status, nomes, datas e eventos de acesso.</w:t>
      </w:r>
    </w:p>
    <w:p>
      <w:pPr>
        <w:spacing w:after="100"/>
        <w:ind w:left="216"/>
      </w:pPr>
      <w:r>
        <w:rPr>
          <w:rFonts w:ascii="Consolas" w:hAnsi="Consolas"/>
          <w:color w:val="444444"/>
          <w:sz w:val="17"/>
        </w:rPr>
        <w:t>Evidências: sql/55_optimization.sql; sql/00_schema.sql, seção de índices; sql/99_validation.sql.</w:t>
      </w:r>
    </w:p>
    <w:p>
      <w:pPr>
        <w:spacing w:before="0" w:after="140" w:line="259" w:lineRule="auto"/>
      </w:pPr>
      <w:r>
        <w:rPr>
          <w:rFonts w:ascii="Aptos" w:hAnsi="Aptos"/>
          <w:b/>
          <w:color w:val="000000"/>
          <w:sz w:val="20"/>
        </w:rPr>
        <w:t xml:space="preserve">Status: Atendido com ressalva. </w:t>
      </w:r>
      <w:r>
        <w:rPr>
          <w:rFonts w:ascii="Aptos" w:hAnsi="Aptos"/>
          <w:color w:val="000000"/>
          <w:sz w:val="20"/>
        </w:rPr>
        <w:t>as consultas e índices estão implementados, mas a entrega deve guardar o resultado executado do EXPLAIN ANALYZE para demonstrar o ganho ou o plano escolhido.</w:t>
      </w:r>
    </w:p>
    <w:p>
      <w:r>
        <w:br w:type="page"/>
      </w:r>
    </w:p>
    <w:p>
      <w:pPr>
        <w:pStyle w:val="Heading1"/>
      </w:pPr>
      <w:r>
        <w:rPr>
          <w:rFonts w:ascii="Aptos Display" w:hAnsi="Aptos Display"/>
          <w:b/>
          <w:color w:val="000000"/>
          <w:sz w:val="32"/>
        </w:rPr>
        <w:t>5 Requisitos extras</w:t>
      </w:r>
    </w:p>
    <w:p>
      <w:pPr>
        <w:pStyle w:val="Heading2"/>
      </w:pPr>
      <w:r>
        <w:rPr>
          <w:rFonts w:ascii="Aptos" w:hAnsi="Aptos"/>
          <w:b/>
          <w:color w:val="000000"/>
          <w:sz w:val="24"/>
        </w:rPr>
        <w:t>5.1 Governança e catálogo de dados</w:t>
      </w:r>
    </w:p>
    <w:p>
      <w:pPr>
        <w:spacing w:before="0" w:after="120" w:line="259" w:lineRule="auto"/>
      </w:pPr>
      <w:r>
        <w:rPr>
          <w:rFonts w:ascii="Aptos" w:hAnsi="Aptos"/>
          <w:color w:val="000000"/>
          <w:sz w:val="20"/>
        </w:rPr>
        <w:t>O catálogo técnico é persistido no próprio PostgreSQL. data_catalog registra tabelas e colunas, tipos, nulabilidade, PK, FK, referência, classificação, nível de acesso, retenção e origem da definição. data_catalog_rules permite manter descrições e regras de negócio separadas do inventário físico. A função sync_data_catalog atualiza o inventário a partir do information_schema e as views v_data_catalog_tables e v_data_catalog_columns expõem o resultado.</w:t>
      </w:r>
    </w:p>
    <w:p>
      <w:pPr>
        <w:spacing w:after="100"/>
        <w:ind w:left="216"/>
      </w:pPr>
      <w:r>
        <w:rPr>
          <w:rFonts w:ascii="Consolas" w:hAnsi="Consolas"/>
          <w:color w:val="444444"/>
          <w:sz w:val="17"/>
        </w:rPr>
        <w:t>Evidências: sql/40_data_catalog.sql; views venus.v_data_catalog_tables e venus.v_data_catalog_columns.</w:t>
      </w:r>
    </w:p>
    <w:p>
      <w:pPr>
        <w:spacing w:before="0" w:after="140" w:line="259" w:lineRule="auto"/>
      </w:pPr>
      <w:r>
        <w:rPr>
          <w:rFonts w:ascii="Aptos" w:hAnsi="Aptos"/>
          <w:b/>
          <w:color w:val="000000"/>
          <w:sz w:val="20"/>
        </w:rPr>
        <w:t xml:space="preserve">Status: Atendido. </w:t>
      </w:r>
      <w:r>
        <w:rPr>
          <w:rFonts w:ascii="Aptos" w:hAnsi="Aptos"/>
          <w:color w:val="000000"/>
          <w:sz w:val="20"/>
        </w:rPr>
        <w:t>há tabela técnica, regras de negócio, classificação e níveis de acesso documentados em SQL.</w:t>
      </w:r>
    </w:p>
    <w:p>
      <w:pPr>
        <w:pStyle w:val="Heading2"/>
      </w:pPr>
      <w:r>
        <w:rPr>
          <w:rFonts w:ascii="Aptos" w:hAnsi="Aptos"/>
          <w:b/>
          <w:color w:val="000000"/>
          <w:sz w:val="24"/>
        </w:rPr>
        <w:t>5.2 Backup e recuperação</w:t>
      </w:r>
    </w:p>
    <w:p>
      <w:pPr>
        <w:spacing w:before="0" w:after="120" w:line="259" w:lineRule="auto"/>
      </w:pPr>
      <w:r>
        <w:rPr>
          <w:rFonts w:ascii="Aptos" w:hAnsi="Aptos"/>
          <w:color w:val="000000"/>
          <w:sz w:val="20"/>
        </w:rPr>
        <w:t>A documentação define backup customizado via pg_dump, restauração via pg_restore, frequência e retenção recomendadas, verificação pós-restauração e a limitação de que os binários do Cloudinary não são capturados pelo dump PostgreSQL. Os scripts ops/backup.ps1 e ops/restore.ps1 operacionalizam os comandos no PowerShell.</w:t>
      </w:r>
    </w:p>
    <w:p>
      <w:pPr>
        <w:spacing w:after="100"/>
        <w:ind w:left="216"/>
      </w:pPr>
      <w:r>
        <w:rPr>
          <w:rFonts w:ascii="Consolas" w:hAnsi="Consolas"/>
          <w:color w:val="444444"/>
          <w:sz w:val="17"/>
        </w:rPr>
        <w:t>Evidências: docs/BACKUP_RECOVERY.md; ops/backup.ps1; ops/restore.ps1; pipeline.py para reconstrução controlada.</w:t>
      </w:r>
    </w:p>
    <w:p>
      <w:pPr>
        <w:spacing w:before="0" w:after="140" w:line="259" w:lineRule="auto"/>
      </w:pPr>
      <w:r>
        <w:rPr>
          <w:rFonts w:ascii="Aptos" w:hAnsi="Aptos"/>
          <w:b/>
          <w:color w:val="000000"/>
          <w:sz w:val="20"/>
        </w:rPr>
        <w:t xml:space="preserve">Status: Atendido. </w:t>
      </w:r>
      <w:r>
        <w:rPr>
          <w:rFonts w:ascii="Aptos" w:hAnsi="Aptos"/>
          <w:color w:val="000000"/>
          <w:sz w:val="20"/>
        </w:rPr>
        <w:t>o procedimento está documentado e automatizado em scripts, com ressalva de que um teste periódico de restauração deve ser registrado como evidência operacional.</w:t>
      </w:r>
    </w:p>
    <w:p>
      <w:pPr>
        <w:pStyle w:val="Heading2"/>
      </w:pPr>
      <w:r>
        <w:rPr>
          <w:rFonts w:ascii="Aptos" w:hAnsi="Aptos"/>
          <w:b/>
          <w:color w:val="000000"/>
          <w:sz w:val="24"/>
        </w:rPr>
        <w:t>5.3 Monitoramento DAU</w:t>
      </w:r>
    </w:p>
    <w:p>
      <w:pPr>
        <w:spacing w:before="0" w:after="120" w:line="259" w:lineRule="auto"/>
      </w:pPr>
      <w:r>
        <w:rPr>
          <w:rFonts w:ascii="Aptos" w:hAnsi="Aptos"/>
          <w:color w:val="000000"/>
          <w:sz w:val="20"/>
        </w:rPr>
        <w:t>O banco registra acessos em user_access_events e eventos de uso em user_tracking_events. A função fn_register_user_access cria o evento de acesso, v_dau calcula usuários ativos distintos por dia e v_dau_rolling_30d calcula a média móvel de 30 dias. Índices por usuário e data apoiam o uso analítico.</w:t>
      </w:r>
    </w:p>
    <w:p>
      <w:pPr>
        <w:spacing w:after="100"/>
        <w:ind w:left="216"/>
      </w:pPr>
      <w:r>
        <w:rPr>
          <w:rFonts w:ascii="Consolas" w:hAnsi="Consolas"/>
          <w:color w:val="444444"/>
          <w:sz w:val="17"/>
        </w:rPr>
        <w:t>Evidências: sql/00_schema.sql; migrations/20261020_001_user_tracking_events.sql; views venus.v_dau e venus.v_dau_rolling_30d; sql/40_data_catalog.sql.</w:t>
      </w:r>
    </w:p>
    <w:p>
      <w:pPr>
        <w:spacing w:before="0" w:after="140" w:line="259" w:lineRule="auto"/>
      </w:pPr>
      <w:r>
        <w:rPr>
          <w:rFonts w:ascii="Aptos" w:hAnsi="Aptos"/>
          <w:b/>
          <w:color w:val="000000"/>
          <w:sz w:val="20"/>
        </w:rPr>
        <w:t xml:space="preserve">Status: Atendido. </w:t>
      </w:r>
      <w:r>
        <w:rPr>
          <w:rFonts w:ascii="Aptos" w:hAnsi="Aptos"/>
          <w:color w:val="000000"/>
          <w:sz w:val="20"/>
        </w:rPr>
        <w:t>o registro e a consulta de DAU estão implementados diretamente no PostgreSQL.</w:t>
      </w:r>
    </w:p>
    <w:p>
      <w:pPr>
        <w:pStyle w:val="Heading2"/>
      </w:pPr>
      <w:r>
        <w:rPr>
          <w:rFonts w:ascii="Aptos" w:hAnsi="Aptos"/>
          <w:b/>
          <w:color w:val="000000"/>
          <w:sz w:val="24"/>
        </w:rPr>
        <w:t>5.4 Estrutura avançada</w:t>
      </w:r>
    </w:p>
    <w:p>
      <w:pPr>
        <w:spacing w:before="0" w:after="120" w:line="259" w:lineRule="auto"/>
      </w:pPr>
      <w:r>
        <w:rPr>
          <w:rFonts w:ascii="Aptos" w:hAnsi="Aptos"/>
          <w:color w:val="000000"/>
          <w:sz w:val="20"/>
        </w:rPr>
        <w:t>A hierarquia de ingredient_categories é implementada por parent_ingredient_category_id. A view v_ingredient_category_tree percorre a árvore com WITH RECURSIVE, retornando profundidade e caminho hierárquico.</w:t>
      </w:r>
    </w:p>
    <w:p>
      <w:pPr>
        <w:spacing w:after="100"/>
        <w:ind w:left="216"/>
      </w:pPr>
      <w:r>
        <w:rPr>
          <w:rFonts w:ascii="Consolas" w:hAnsi="Consolas"/>
          <w:color w:val="444444"/>
          <w:sz w:val="17"/>
        </w:rPr>
        <w:t>Evidência: sql/45_advanced_structures.sql.</w:t>
      </w:r>
    </w:p>
    <w:p>
      <w:pPr>
        <w:spacing w:before="0" w:after="140" w:line="259" w:lineRule="auto"/>
      </w:pPr>
      <w:r>
        <w:rPr>
          <w:rFonts w:ascii="Aptos" w:hAnsi="Aptos"/>
          <w:b/>
          <w:color w:val="000000"/>
          <w:sz w:val="20"/>
        </w:rPr>
        <w:t xml:space="preserve">Status: Atendido. </w:t>
      </w:r>
      <w:r>
        <w:rPr>
          <w:rFonts w:ascii="Aptos" w:hAnsi="Aptos"/>
          <w:color w:val="000000"/>
          <w:sz w:val="20"/>
        </w:rPr>
        <w:t>o requisito de CTE recursiva é demonstrado em uma estrutura de domínio real; não foi necessário usar herança de tabelas.</w:t>
      </w:r>
    </w:p>
    <w:p>
      <w:r>
        <w:br w:type="page"/>
      </w:r>
    </w:p>
    <w:p>
      <w:pPr>
        <w:pStyle w:val="Heading1"/>
      </w:pPr>
      <w:r>
        <w:rPr>
          <w:rFonts w:ascii="Aptos Display" w:hAnsi="Aptos Display"/>
          <w:b/>
          <w:color w:val="000000"/>
          <w:sz w:val="32"/>
        </w:rPr>
        <w:t>6 Matriz consolidada de atendimento</w:t>
      </w:r>
    </w:p>
    <w:p>
      <w:pPr>
        <w:spacing w:before="0" w:after="120" w:line="259" w:lineRule="auto"/>
      </w:pPr>
      <w:r>
        <w:rPr>
          <w:rFonts w:ascii="Aptos" w:hAnsi="Aptos"/>
          <w:color w:val="000000"/>
          <w:sz w:val="20"/>
        </w:rPr>
        <w:t>A matriz abaixo permite à banca localizar rapidamente a evidência de cada item e distinguir implementação de validação ainda necessária.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232"/>
            <w:shd w:fill="17365D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/>
                <w:color w:val="FFFFFF"/>
                <w:sz w:val="17"/>
              </w:rPr>
              <w:t>Requisito</w:t>
            </w:r>
          </w:p>
        </w:tc>
        <w:tc>
          <w:tcPr>
            <w:tcW w:type="dxa" w:w="1728"/>
            <w:shd w:fill="17365D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/>
                <w:color w:val="FFFFFF"/>
                <w:sz w:val="17"/>
              </w:rPr>
              <w:t>Status</w:t>
            </w:r>
          </w:p>
        </w:tc>
        <w:tc>
          <w:tcPr>
            <w:tcW w:type="dxa" w:w="3312"/>
            <w:shd w:fill="17365D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/>
                <w:color w:val="FFFFFF"/>
                <w:sz w:val="17"/>
              </w:rPr>
              <w:t>Evidência principal</w:t>
            </w:r>
          </w:p>
        </w:tc>
        <w:tc>
          <w:tcPr>
            <w:tcW w:type="dxa" w:w="3096"/>
            <w:shd w:fill="17365D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/>
                <w:color w:val="FFFFFF"/>
                <w:sz w:val="17"/>
              </w:rPr>
              <w:t>Fechamento recomendado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7"/>
              </w:rPr>
              <w:t>1.1 Banco PostgreSQL normalizado</w:t>
            </w:r>
          </w:p>
        </w:tc>
        <w:tc>
          <w:tcPr>
            <w:tcW w:type="dxa" w:w="172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2CC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/>
                <w:color w:val="000000"/>
                <w:sz w:val="17"/>
              </w:rPr>
              <w:t>Atendido com ressalva</w:t>
            </w:r>
          </w:p>
        </w:tc>
        <w:tc>
          <w:tcPr>
            <w:tcW w:type="dxa" w:w="331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7"/>
              </w:rPr>
              <w:t>sql/00_schema.sql; migrations; modelos brM3</w:t>
            </w:r>
          </w:p>
        </w:tc>
        <w:tc>
          <w:tcPr>
            <w:tcW w:type="dxa" w:w="309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7"/>
              </w:rPr>
              <w:t>Formalizar a checagem de 3FN no texto da apresentação.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7"/>
              </w:rPr>
              <w:t>1.2 PKs, FKs e cardinalidades</w:t>
            </w:r>
          </w:p>
        </w:tc>
        <w:tc>
          <w:tcPr>
            <w:tcW w:type="dxa" w:w="172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2F0D9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/>
                <w:color w:val="000000"/>
                <w:sz w:val="17"/>
              </w:rPr>
              <w:t>Atendido</w:t>
            </w:r>
          </w:p>
        </w:tc>
        <w:tc>
          <w:tcPr>
            <w:tcW w:type="dxa" w:w="331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7"/>
              </w:rPr>
              <w:t>database-logical-model.md; MODEL_CARDINALIDADES.md</w:t>
            </w:r>
          </w:p>
        </w:tc>
        <w:tc>
          <w:tcPr>
            <w:tcW w:type="dxa" w:w="309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7"/>
              </w:rPr>
              <w:t>Usar o snapshot para demonstrar as FKs.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7"/>
              </w:rPr>
              <w:t>1.3 Massa &gt;=500 registros</w:t>
            </w:r>
          </w:p>
        </w:tc>
        <w:tc>
          <w:tcPr>
            <w:tcW w:type="dxa" w:w="172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2CC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/>
                <w:color w:val="000000"/>
                <w:sz w:val="17"/>
              </w:rPr>
              <w:t>Atendido com ressalva</w:t>
            </w:r>
          </w:p>
        </w:tc>
        <w:tc>
          <w:tcPr>
            <w:tcW w:type="dxa" w:w="331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7"/>
              </w:rPr>
              <w:t>sql/30_demo_seed.sql e seeds de referência</w:t>
            </w:r>
          </w:p>
        </w:tc>
        <w:tc>
          <w:tcPr>
            <w:tcW w:type="dxa" w:w="309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7"/>
              </w:rPr>
              <w:t>Executar carga e guardar SELECT COUNT(*).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7"/>
              </w:rPr>
              <w:t>2.1 RPA e integridade</w:t>
            </w:r>
          </w:p>
        </w:tc>
        <w:tc>
          <w:tcPr>
            <w:tcW w:type="dxa" w:w="172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2F0D9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/>
                <w:color w:val="000000"/>
                <w:sz w:val="17"/>
              </w:rPr>
              <w:t>Atendido</w:t>
            </w:r>
          </w:p>
        </w:tc>
        <w:tc>
          <w:tcPr>
            <w:tcW w:type="dxa" w:w="331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7"/>
              </w:rPr>
              <w:t>rpa_migrate.py; sql/60_rpa.sql</w:t>
            </w:r>
          </w:p>
        </w:tc>
        <w:tc>
          <w:tcPr>
            <w:tcW w:type="dxa" w:w="309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7"/>
              </w:rPr>
              <w:t>Demonstrar uma execução e uma falha controlada, se possível.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7"/>
              </w:rPr>
              <w:t>2.2 BI dimensional</w:t>
            </w:r>
          </w:p>
        </w:tc>
        <w:tc>
          <w:tcPr>
            <w:tcW w:type="dxa" w:w="172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2F0D9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/>
                <w:color w:val="000000"/>
                <w:sz w:val="17"/>
              </w:rPr>
              <w:t>Atendido</w:t>
            </w:r>
          </w:p>
        </w:tc>
        <w:tc>
          <w:tcPr>
            <w:tcW w:type="dxa" w:w="331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7"/>
              </w:rPr>
              <w:t>sql/50_bi.sql</w:t>
            </w:r>
          </w:p>
        </w:tc>
        <w:tc>
          <w:tcPr>
            <w:tcW w:type="dxa" w:w="309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7"/>
              </w:rPr>
              <w:t>Apresentar dims, fatos e views de KPI.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7"/>
              </w:rPr>
              <w:t>2.3 CTEs</w:t>
            </w:r>
          </w:p>
        </w:tc>
        <w:tc>
          <w:tcPr>
            <w:tcW w:type="dxa" w:w="172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2F0D9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/>
                <w:color w:val="000000"/>
                <w:sz w:val="17"/>
              </w:rPr>
              <w:t>Atendido</w:t>
            </w:r>
          </w:p>
        </w:tc>
        <w:tc>
          <w:tcPr>
            <w:tcW w:type="dxa" w:w="331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7"/>
              </w:rPr>
              <w:t>sql/45_advanced_structures.sql; sql/50_bi.sql</w:t>
            </w:r>
          </w:p>
        </w:tc>
        <w:tc>
          <w:tcPr>
            <w:tcW w:type="dxa" w:w="309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7"/>
              </w:rPr>
              <w:t>Nenhuma ação adicional.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7"/>
              </w:rPr>
              <w:t>2.4 Window functions</w:t>
            </w:r>
          </w:p>
        </w:tc>
        <w:tc>
          <w:tcPr>
            <w:tcW w:type="dxa" w:w="172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2F0D9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/>
                <w:color w:val="000000"/>
                <w:sz w:val="17"/>
              </w:rPr>
              <w:t>Atendido</w:t>
            </w:r>
          </w:p>
        </w:tc>
        <w:tc>
          <w:tcPr>
            <w:tcW w:type="dxa" w:w="331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7"/>
              </w:rPr>
              <w:t>sql/50_bi.sql</w:t>
            </w:r>
          </w:p>
        </w:tc>
        <w:tc>
          <w:tcPr>
            <w:tcW w:type="dxa" w:w="309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7"/>
              </w:rPr>
              <w:t>Nenhuma ação adicional.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7"/>
              </w:rPr>
              <w:t>3.1 Functions e Procedures</w:t>
            </w:r>
          </w:p>
        </w:tc>
        <w:tc>
          <w:tcPr>
            <w:tcW w:type="dxa" w:w="172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2F0D9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/>
                <w:color w:val="000000"/>
                <w:sz w:val="17"/>
              </w:rPr>
              <w:t>Atendido</w:t>
            </w:r>
          </w:p>
        </w:tc>
        <w:tc>
          <w:tcPr>
            <w:tcW w:type="dxa" w:w="331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7"/>
              </w:rPr>
              <w:t>sql/00_schema.sql</w:t>
            </w:r>
          </w:p>
        </w:tc>
        <w:tc>
          <w:tcPr>
            <w:tcW w:type="dxa" w:w="309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7"/>
              </w:rPr>
              <w:t>Listar dois exemplos de cada na apresentação.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7"/>
              </w:rPr>
              <w:t>3.2 Triggers de auditoria</w:t>
            </w:r>
          </w:p>
        </w:tc>
        <w:tc>
          <w:tcPr>
            <w:tcW w:type="dxa" w:w="172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2F0D9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/>
                <w:color w:val="000000"/>
                <w:sz w:val="17"/>
              </w:rPr>
              <w:t>Atendido</w:t>
            </w:r>
          </w:p>
        </w:tc>
        <w:tc>
          <w:tcPr>
            <w:tcW w:type="dxa" w:w="331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7"/>
              </w:rPr>
              <w:t>fn_audit_row; sp_sync_standard_triggers</w:t>
            </w:r>
          </w:p>
        </w:tc>
        <w:tc>
          <w:tcPr>
            <w:tcW w:type="dxa" w:w="309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7"/>
              </w:rPr>
              <w:t>Demonstrar um INSERT/UPDATE/DELETE auditado.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7"/>
              </w:rPr>
              <w:t>3.3 EXPLAIN e índices</w:t>
            </w:r>
          </w:p>
        </w:tc>
        <w:tc>
          <w:tcPr>
            <w:tcW w:type="dxa" w:w="172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2CC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/>
                <w:color w:val="000000"/>
                <w:sz w:val="17"/>
              </w:rPr>
              <w:t>Atendido com ressalva</w:t>
            </w:r>
          </w:p>
        </w:tc>
        <w:tc>
          <w:tcPr>
            <w:tcW w:type="dxa" w:w="331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7"/>
              </w:rPr>
              <w:t>sql/55_optimization.sql; sql/00_schema.sql</w:t>
            </w:r>
          </w:p>
        </w:tc>
        <w:tc>
          <w:tcPr>
            <w:tcW w:type="dxa" w:w="309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7"/>
              </w:rPr>
              <w:t>Salvar saída do EXPLAIN ANALYZE.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7"/>
              </w:rPr>
              <w:t>4.1 Catálogo de dados</w:t>
            </w:r>
          </w:p>
        </w:tc>
        <w:tc>
          <w:tcPr>
            <w:tcW w:type="dxa" w:w="172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2F0D9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/>
                <w:color w:val="000000"/>
                <w:sz w:val="17"/>
              </w:rPr>
              <w:t>Atendido</w:t>
            </w:r>
          </w:p>
        </w:tc>
        <w:tc>
          <w:tcPr>
            <w:tcW w:type="dxa" w:w="331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7"/>
              </w:rPr>
              <w:t>sql/40_data_catalog.sql</w:t>
            </w:r>
          </w:p>
        </w:tc>
        <w:tc>
          <w:tcPr>
            <w:tcW w:type="dxa" w:w="309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7"/>
              </w:rPr>
              <w:t>Consultar v_data_catalog_tables/columns.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7"/>
              </w:rPr>
              <w:t>4.2 Backup e recuperação</w:t>
            </w:r>
          </w:p>
        </w:tc>
        <w:tc>
          <w:tcPr>
            <w:tcW w:type="dxa" w:w="172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2F0D9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/>
                <w:color w:val="000000"/>
                <w:sz w:val="17"/>
              </w:rPr>
              <w:t>Atendido</w:t>
            </w:r>
          </w:p>
        </w:tc>
        <w:tc>
          <w:tcPr>
            <w:tcW w:type="dxa" w:w="331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7"/>
              </w:rPr>
              <w:t>docs/BACKUP_RECOVERY.md; ops/*.ps1</w:t>
            </w:r>
          </w:p>
        </w:tc>
        <w:tc>
          <w:tcPr>
            <w:tcW w:type="dxa" w:w="309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7"/>
              </w:rPr>
              <w:t>Registrar teste de restauração.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7"/>
              </w:rPr>
              <w:t>5 DAU</w:t>
            </w:r>
          </w:p>
        </w:tc>
        <w:tc>
          <w:tcPr>
            <w:tcW w:type="dxa" w:w="172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2F0D9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/>
                <w:color w:val="000000"/>
                <w:sz w:val="17"/>
              </w:rPr>
              <w:t>Atendido</w:t>
            </w:r>
          </w:p>
        </w:tc>
        <w:tc>
          <w:tcPr>
            <w:tcW w:type="dxa" w:w="331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7"/>
              </w:rPr>
              <w:t>fn_register_user_access; v_dau; v_dau_rolling_30d</w:t>
            </w:r>
          </w:p>
        </w:tc>
        <w:tc>
          <w:tcPr>
            <w:tcW w:type="dxa" w:w="309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7"/>
              </w:rPr>
              <w:t>Demonstrar uma consulta de período.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7"/>
              </w:rPr>
              <w:t>6 CTE recursiva</w:t>
            </w:r>
          </w:p>
        </w:tc>
        <w:tc>
          <w:tcPr>
            <w:tcW w:type="dxa" w:w="172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2F0D9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/>
                <w:color w:val="000000"/>
                <w:sz w:val="17"/>
              </w:rPr>
              <w:t>Atendido</w:t>
            </w:r>
          </w:p>
        </w:tc>
        <w:tc>
          <w:tcPr>
            <w:tcW w:type="dxa" w:w="331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7"/>
              </w:rPr>
              <w:t>sql/45_advanced_structures.sql</w:t>
            </w:r>
          </w:p>
        </w:tc>
        <w:tc>
          <w:tcPr>
            <w:tcW w:type="dxa" w:w="309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7"/>
              </w:rPr>
              <w:t>Mostrar a árvore de categorias.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Aptos Display" w:hAnsi="Aptos Display"/>
          <w:b/>
          <w:color w:val="000000"/>
          <w:sz w:val="32"/>
        </w:rPr>
        <w:t>7 Checklist de evidências para a apresentação</w:t>
      </w:r>
    </w:p>
    <w:p>
      <w:pPr>
        <w:pStyle w:val="ListBullet"/>
        <w:spacing w:after="60"/>
      </w:pPr>
      <w:r>
        <w:rPr>
          <w:rFonts w:ascii="Aptos" w:hAnsi="Aptos"/>
          <w:color w:val="000000"/>
          <w:sz w:val="20"/>
        </w:rPr>
        <w:t>Abrir os três arquivos .brM3 e mostrar as pré-visualizações por schema.</w:t>
      </w:r>
    </w:p>
    <w:p>
      <w:pPr>
        <w:pStyle w:val="ListBullet"/>
        <w:spacing w:after="60"/>
      </w:pPr>
      <w:r>
        <w:rPr>
          <w:rFonts w:ascii="Aptos" w:hAnsi="Aptos"/>
          <w:color w:val="000000"/>
          <w:sz w:val="20"/>
        </w:rPr>
        <w:t>Executar o seed em uma base limpa ou controlada e guardar a contagem de linhas total e por tabela.</w:t>
      </w:r>
    </w:p>
    <w:p>
      <w:pPr>
        <w:pStyle w:val="ListBullet"/>
        <w:spacing w:after="60"/>
      </w:pPr>
      <w:r>
        <w:rPr>
          <w:rFonts w:ascii="Aptos" w:hAnsi="Aptos"/>
          <w:color w:val="000000"/>
          <w:sz w:val="20"/>
        </w:rPr>
        <w:t>Executar uma alteração em uma tabela auditada e mostrar old_data, new_data, operation_type e changed_by.</w:t>
      </w:r>
    </w:p>
    <w:p>
      <w:pPr>
        <w:pStyle w:val="ListBullet"/>
        <w:spacing w:after="60"/>
      </w:pPr>
      <w:r>
        <w:rPr>
          <w:rFonts w:ascii="Aptos" w:hAnsi="Aptos"/>
          <w:color w:val="000000"/>
          <w:sz w:val="20"/>
        </w:rPr>
        <w:t>Executar as quatro consultas de sql/55_optimization.sql e guardar o plano com buffers.</w:t>
      </w:r>
    </w:p>
    <w:p>
      <w:pPr>
        <w:pStyle w:val="ListBullet"/>
        <w:spacing w:after="60"/>
      </w:pPr>
      <w:r>
        <w:rPr>
          <w:rFonts w:ascii="Aptos" w:hAnsi="Aptos"/>
          <w:color w:val="000000"/>
          <w:sz w:val="20"/>
        </w:rPr>
        <w:t>Consultar dimensões, fatos e pelo menos uma view de ranking no schema venus_bi.</w:t>
      </w:r>
    </w:p>
    <w:p>
      <w:pPr>
        <w:pStyle w:val="ListBullet"/>
        <w:spacing w:after="60"/>
      </w:pPr>
      <w:r>
        <w:rPr>
          <w:rFonts w:ascii="Aptos" w:hAnsi="Aptos"/>
          <w:color w:val="000000"/>
          <w:sz w:val="20"/>
        </w:rPr>
        <w:t>Consultar v_dau e v_dau_rolling_30d com um intervalo de datas.</w:t>
      </w:r>
    </w:p>
    <w:p>
      <w:pPr>
        <w:pStyle w:val="ListBullet"/>
        <w:spacing w:after="60"/>
      </w:pPr>
      <w:r>
        <w:rPr>
          <w:rFonts w:ascii="Aptos" w:hAnsi="Aptos"/>
          <w:color w:val="000000"/>
          <w:sz w:val="20"/>
        </w:rPr>
        <w:t>Executar a restauração em banco descartável e rodar sql/99_validation.sql depois do pg_restore.</w:t>
      </w:r>
    </w:p>
    <w:p>
      <w:pPr>
        <w:pStyle w:val="Heading1"/>
      </w:pPr>
      <w:r>
        <w:rPr>
          <w:rFonts w:ascii="Aptos Display" w:hAnsi="Aptos Display"/>
          <w:b/>
          <w:color w:val="000000"/>
          <w:sz w:val="32"/>
        </w:rPr>
        <w:t>8 Limites de evidência do repositório</w:t>
      </w:r>
    </w:p>
    <w:p>
      <w:pPr>
        <w:spacing w:before="0" w:after="120" w:line="259" w:lineRule="auto"/>
      </w:pPr>
      <w:r>
        <w:rPr>
          <w:rFonts w:ascii="Aptos" w:hAnsi="Aptos"/>
          <w:color w:val="000000"/>
          <w:sz w:val="20"/>
        </w:rPr>
        <w:t>O PostgreSQL foi validado diretamente no banco Venus-qa em modo READ ONLY e é a fonte de verdade desta documentação. O repositório contém contratos e scripts de referência para MongoDB, Neo4j, OCR, Cloudinary e Databricks, mas não contém o worker OCR, o conector de execução Neo4j, notebooks/jobs Databricks ou uma implementação Redis. Esses limites devem ser apresentados como fronteiras arquiteturais, não como funcionalidades já comprovadas em execução.</w:t>
      </w:r>
    </w:p>
    <w:p>
      <w:pPr>
        <w:spacing w:after="100"/>
        <w:ind w:left="216"/>
      </w:pPr>
      <w:r>
        <w:rPr>
          <w:rFonts w:ascii="Consolas" w:hAnsi="Consolas"/>
          <w:color w:val="444444"/>
          <w:sz w:val="17"/>
        </w:rPr>
        <w:t>Fonte: docs/ARQUITETURA.md, docs/arquitetura-dados/README.md e os READMEs de cada tecnologia.</w:t>
      </w:r>
    </w:p>
    <w:p>
      <w:r>
        <w:br w:type="page"/>
      </w:r>
    </w:p>
    <w:p>
      <w:pPr>
        <w:pStyle w:val="Heading1"/>
      </w:pPr>
      <w:r>
        <w:rPr>
          <w:rFonts w:ascii="Aptos Display" w:hAnsi="Aptos Display"/>
          <w:b/>
          <w:color w:val="000000"/>
          <w:sz w:val="32"/>
        </w:rPr>
        <w:t>Apêndice A Índice de fontes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232"/>
            <w:shd w:fill="17365D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/>
                <w:color w:val="FFFFFF"/>
                <w:sz w:val="17"/>
              </w:rPr>
              <w:t>Tema</w:t>
            </w:r>
          </w:p>
        </w:tc>
        <w:tc>
          <w:tcPr>
            <w:tcW w:type="dxa" w:w="8136"/>
            <w:shd w:fill="17365D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/>
                <w:color w:val="FFFFFF"/>
                <w:sz w:val="17"/>
              </w:rPr>
              <w:t>Arquivos principais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7"/>
              </w:rPr>
              <w:t>Modelo lógico</w:t>
            </w:r>
          </w:p>
        </w:tc>
        <w:tc>
          <w:tcPr>
            <w:tcW w:type="dxa" w:w="813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7"/>
              </w:rPr>
              <w:t>docs/modelos lógicos/*.brM3; docs/modelos lógicos/previews/*.png; docs/modelos lógicos/MODEL_CARDINALIDADES.md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7"/>
              </w:rPr>
              <w:t>Snapshot físico</w:t>
            </w:r>
          </w:p>
        </w:tc>
        <w:tc>
          <w:tcPr>
            <w:tcW w:type="dxa" w:w="813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7"/>
              </w:rPr>
              <w:t>docs/database-logical-model.md; docs/database-logical-model.sql; docs/database-logical-model.svg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7"/>
              </w:rPr>
              <w:t>Schema e objetos</w:t>
            </w:r>
          </w:p>
        </w:tc>
        <w:tc>
          <w:tcPr>
            <w:tcW w:type="dxa" w:w="813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7"/>
              </w:rPr>
              <w:t>sql/00_schema.sql; sql/45_advanced_structures.sql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7"/>
              </w:rPr>
              <w:t>Seeds</w:t>
            </w:r>
          </w:p>
        </w:tc>
        <w:tc>
          <w:tcPr>
            <w:tcW w:type="dxa" w:w="813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7"/>
              </w:rPr>
              <w:t>sql/10_reference_seed.sql; sql/15_scoring_model_category_seed.sql; sql/20_regulation_seed.sql; sql/30_demo_seed.sql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7"/>
              </w:rPr>
              <w:t>BI</w:t>
            </w:r>
          </w:p>
        </w:tc>
        <w:tc>
          <w:tcPr>
            <w:tcW w:type="dxa" w:w="813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7"/>
              </w:rPr>
              <w:t>sql/50_bi.sql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7"/>
              </w:rPr>
              <w:t>Otimização</w:t>
            </w:r>
          </w:p>
        </w:tc>
        <w:tc>
          <w:tcPr>
            <w:tcW w:type="dxa" w:w="813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7"/>
              </w:rPr>
              <w:t>sql/55_optimization.sql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7"/>
              </w:rPr>
              <w:t>RPA</w:t>
            </w:r>
          </w:p>
        </w:tc>
        <w:tc>
          <w:tcPr>
            <w:tcW w:type="dxa" w:w="813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7"/>
              </w:rPr>
              <w:t>rpa_migrate.py; sql/60_rpa.sql; sql/rpa_queries.example.sql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7"/>
              </w:rPr>
              <w:t>Catálogo</w:t>
            </w:r>
          </w:p>
        </w:tc>
        <w:tc>
          <w:tcPr>
            <w:tcW w:type="dxa" w:w="813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7"/>
              </w:rPr>
              <w:t>sql/40_data_catalog.sql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7"/>
              </w:rPr>
              <w:t>Validação</w:t>
            </w:r>
          </w:p>
        </w:tc>
        <w:tc>
          <w:tcPr>
            <w:tcW w:type="dxa" w:w="813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7"/>
              </w:rPr>
              <w:t>sql/99_validation.sql; docs/OPERACAO.md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7"/>
              </w:rPr>
              <w:t>Backup</w:t>
            </w:r>
          </w:p>
        </w:tc>
        <w:tc>
          <w:tcPr>
            <w:tcW w:type="dxa" w:w="813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7"/>
              </w:rPr>
              <w:t>docs/BACKUP_RECOVERY.md; ops/backup.ps1; ops/restore.ps1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7"/>
              </w:rPr>
              <w:t>Arquitetura</w:t>
            </w:r>
          </w:p>
        </w:tc>
        <w:tc>
          <w:tcPr>
            <w:tcW w:type="dxa" w:w="813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7"/>
              </w:rPr>
              <w:t>README.md; docs/ARQUITETURA.md; docs/arquitetura-dados/README.md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Aptos Display" w:hAnsi="Aptos Display"/>
          <w:b/>
          <w:color w:val="000000"/>
          <w:sz w:val="32"/>
        </w:rPr>
        <w:t>Apêndice B Observação sobre os modelos</w:t>
      </w:r>
    </w:p>
    <w:p>
      <w:pPr>
        <w:spacing w:before="0" w:after="120" w:line="259" w:lineRule="auto"/>
      </w:pPr>
      <w:r>
        <w:rPr>
          <w:rFonts w:ascii="Aptos" w:hAnsi="Aptos"/>
          <w:color w:val="000000"/>
          <w:sz w:val="20"/>
        </w:rPr>
        <w:t>Os arquivos brM3 permanecem como artefatos editáveis do modelo lógico. O documento não substitui esses arquivos: ele os contextualiza, apresenta suas pré-visualizações e relaciona cada modelo aos requisitos acadêmicos. Para conferir o detalhe de cada campo, tipo, nulabilidade, constraint e FK, use o snapshot físico gerado em docs/database-logical-model.md.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59" w:lineRule="auto"/>
      <w:jc w:val="center"/>
    </w:pPr>
    <w:r>
      <w:rPr>
        <w:rFonts w:ascii="Aptos" w:hAnsi="Aptos"/>
        <w:color w:val="595959"/>
        <w:sz w:val="16"/>
      </w:rPr>
      <w:t xml:space="preserve">Venus-Banco | Relatório de requisitos | Página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ptos" w:hAnsi="Aptos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i/>
      <w:iCs/>
      <w:color w:val="595959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ptos" w:hAnsi="Aptos"/>
      <w:b/>
      <w:bCs/>
      <w:color w:val="595959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Relatório de Modelagem e Engenharia de Dados do Venus</dc:title>
  <dc:subject>Atendimento aos requisitos do Projeto Interdisciplinar</dc:subject>
  <dc:creator>Venus-Banco</dc:creator>
  <cp:keywords>Venus, PostgreSQL, modelagem, ETL, RPA, BI, governança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