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0B2545"/>
          <w:sz w:val="52"/>
        </w:rPr>
        <w:t>CSI500 Stock Selection</w:t>
        <w:br/>
        <w:t>Final Report</w:t>
      </w:r>
    </w:p>
    <w:p>
      <w:pPr>
        <w:jc w:val="center"/>
      </w:pPr>
      <w:r>
        <w:rPr>
          <w:color w:val="1F4D78"/>
          <w:sz w:val="26"/>
        </w:rPr>
        <w:t>Machine Learning Competition · Spring 2026</w:t>
      </w:r>
    </w:p>
    <w:p>
      <w:pPr>
        <w:jc w:val="center"/>
      </w:pPr>
      <w:r>
        <w:rPr>
          <w:color w:val="505050"/>
          <w:sz w:val="22"/>
        </w:rPr>
        <w:t>Author: Venus Chen</w:t>
        <w:br/>
        <w:t>Final Stage2 as-of date: 2026-05-08</w:t>
        <w:br/>
        <w:t>Report generated: 2026-05-11</w:t>
      </w:r>
    </w:p>
    <w:p/>
    <w:tbl>
      <w:tblPr>
        <w:tblStyle w:val="TableGrid"/>
        <w:tblW w:type="dxa" w:w="9360"/>
        <w:jc w:val="left"/>
        <w:tblLook w:firstColumn="1" w:firstRow="1" w:lastColumn="0" w:lastRow="0" w:noHBand="0" w:noVBand="1" w:val="04A0"/>
        <w:tblInd w:w="120" w:type="dxa"/>
      </w:tblPr>
      <w:tblGrid>
        <w:gridCol w:w="9360"/>
      </w:tblGrid>
      <w:tr>
        <w:tc>
          <w:tcPr>
            <w:tcW w:type="dxa" w:w="9360"/>
            <w:shd w:fill="F4F6F9"/>
          </w:tcPr>
          <w:p>
            <w:pPr>
              <w:spacing w:after="60"/>
            </w:pPr>
            <w:r>
              <w:rPr>
                <w:rFonts w:ascii="Calibri" w:hAnsi="Calibri" w:eastAsia="Calibri"/>
                <w:b/>
                <w:color w:val="1F4D78"/>
                <w:sz w:val="20"/>
              </w:rPr>
              <w:t>Executive summary</w:t>
            </w:r>
            <w:r>
              <w:rPr>
                <w:rFonts w:ascii="Calibri" w:hAnsi="Calibri" w:eastAsia="Calibri"/>
                <w:sz w:val="20"/>
              </w:rPr>
              <w:br/>
              <w:t>The final Stage2 system is a regime-gated ensemble for long-only CSI500 stock selection. It uses the official competition data only, separates prediction from portfolio construction, and selects among tree, weekly-alpha, weekly-cycle, and defensive baseline experts using only information observable at the submission as-of date. On 12 strict held-out Monday-Friday five-trading-day self-test windows, the final route achieved +4.001% mean excess return versus +0.527% for the original XGBoost baseline, with zero negative excess windows versus five for the baseline.</w:t>
            </w:r>
          </w:p>
        </w:tc>
      </w:tr>
    </w:tbl>
    <w:p/>
    <w:tbl>
      <w:tblPr>
        <w:tblStyle w:val="TableGrid"/>
        <w:tblW w:type="dxa" w:w="9360"/>
        <w:jc w:val="left"/>
        <w:tblLook w:firstColumn="1" w:firstRow="1" w:lastColumn="0" w:lastRow="0" w:noHBand="0" w:noVBand="1" w:val="04A0"/>
        <w:tblInd w:w="120" w:type="dxa"/>
      </w:tblPr>
      <w:tblGrid>
        <w:gridCol w:w="1900"/>
        <w:gridCol w:w="2200"/>
        <w:gridCol w:w="5260"/>
      </w:tblGrid>
      <w:tr>
        <w:tc>
          <w:tcPr>
            <w:tcW w:type="dxa" w:w="1900"/>
            <w:vAlign w:val="center"/>
            <w:shd w:fill="F2F4F7"/>
          </w:tcPr>
          <w:p>
            <w:pPr>
              <w:spacing w:after="40" w:line="252" w:lineRule="auto"/>
            </w:pPr>
            <w:r>
              <w:rPr>
                <w:rFonts w:ascii="Calibri" w:hAnsi="Calibri" w:eastAsia="Calibri"/>
                <w:b/>
                <w:color w:val="1F4D78"/>
                <w:sz w:val="18"/>
              </w:rPr>
              <w:t>Rubric item</w:t>
            </w:r>
          </w:p>
        </w:tc>
        <w:tc>
          <w:tcPr>
            <w:tcW w:type="dxa" w:w="2200"/>
            <w:vAlign w:val="center"/>
            <w:shd w:fill="F2F4F7"/>
          </w:tcPr>
          <w:p>
            <w:pPr>
              <w:spacing w:after="40" w:line="252" w:lineRule="auto"/>
            </w:pPr>
            <w:r>
              <w:rPr>
                <w:rFonts w:ascii="Calibri" w:hAnsi="Calibri" w:eastAsia="Calibri"/>
                <w:b/>
                <w:color w:val="1F4D78"/>
                <w:sz w:val="18"/>
              </w:rPr>
              <w:t>Where addressed</w:t>
            </w:r>
          </w:p>
        </w:tc>
        <w:tc>
          <w:tcPr>
            <w:tcW w:type="dxa" w:w="5260"/>
            <w:vAlign w:val="center"/>
            <w:shd w:fill="F2F4F7"/>
          </w:tcPr>
          <w:p>
            <w:pPr>
              <w:spacing w:after="40" w:line="252" w:lineRule="auto"/>
            </w:pPr>
            <w:r>
              <w:rPr>
                <w:rFonts w:ascii="Calibri" w:hAnsi="Calibri" w:eastAsia="Calibri"/>
                <w:b/>
                <w:color w:val="1F4D78"/>
                <w:sz w:val="18"/>
              </w:rPr>
              <w:t>Main evidence</w:t>
            </w:r>
          </w:p>
        </w:tc>
      </w:tr>
      <w:tr>
        <w:tc>
          <w:tcPr>
            <w:tcW w:type="dxa" w:w="1900"/>
            <w:vAlign w:val="center"/>
          </w:tcPr>
          <w:p>
            <w:pPr>
              <w:spacing w:after="40" w:line="252" w:lineRule="auto"/>
            </w:pPr>
            <w:r>
              <w:rPr>
                <w:rFonts w:ascii="Calibri" w:hAnsi="Calibri" w:eastAsia="Calibri"/>
                <w:sz w:val="18"/>
              </w:rPr>
              <w:t>Factors</w:t>
            </w:r>
          </w:p>
        </w:tc>
        <w:tc>
          <w:tcPr>
            <w:tcW w:type="dxa" w:w="2200"/>
            <w:vAlign w:val="center"/>
          </w:tcPr>
          <w:p>
            <w:pPr>
              <w:spacing w:after="40" w:line="252" w:lineRule="auto"/>
            </w:pPr>
            <w:r>
              <w:rPr>
                <w:rFonts w:ascii="Calibri" w:hAnsi="Calibri" w:eastAsia="Calibri"/>
                <w:sz w:val="18"/>
              </w:rPr>
              <w:t>Section 1</w:t>
            </w:r>
          </w:p>
        </w:tc>
        <w:tc>
          <w:tcPr>
            <w:tcW w:type="dxa" w:w="5260"/>
            <w:vAlign w:val="center"/>
          </w:tcPr>
          <w:p>
            <w:pPr>
              <w:spacing w:after="40" w:line="252" w:lineRule="auto"/>
            </w:pPr>
            <w:r>
              <w:rPr>
                <w:rFonts w:ascii="Calibri" w:hAnsi="Calibri" w:eastAsia="Calibri"/>
                <w:sz w:val="18"/>
              </w:rPr>
              <w:t>Momentum/reversal, volatility, liquidity, trend, rank-normalized, weekly-cycle and regime signals</w:t>
            </w:r>
          </w:p>
        </w:tc>
      </w:tr>
      <w:tr>
        <w:tc>
          <w:tcPr>
            <w:tcW w:type="dxa" w:w="1900"/>
            <w:vAlign w:val="center"/>
          </w:tcPr>
          <w:p>
            <w:pPr>
              <w:spacing w:after="40" w:line="252" w:lineRule="auto"/>
            </w:pPr>
            <w:r>
              <w:rPr>
                <w:rFonts w:ascii="Calibri" w:hAnsi="Calibri" w:eastAsia="Calibri"/>
                <w:sz w:val="18"/>
              </w:rPr>
              <w:t>Models</w:t>
            </w:r>
          </w:p>
        </w:tc>
        <w:tc>
          <w:tcPr>
            <w:tcW w:type="dxa" w:w="2200"/>
            <w:vAlign w:val="center"/>
          </w:tcPr>
          <w:p>
            <w:pPr>
              <w:spacing w:after="40" w:line="252" w:lineRule="auto"/>
            </w:pPr>
            <w:r>
              <w:rPr>
                <w:rFonts w:ascii="Calibri" w:hAnsi="Calibri" w:eastAsia="Calibri"/>
                <w:sz w:val="18"/>
              </w:rPr>
              <w:t>Section 2</w:t>
            </w:r>
          </w:p>
        </w:tc>
        <w:tc>
          <w:tcPr>
            <w:tcW w:type="dxa" w:w="5260"/>
            <w:vAlign w:val="center"/>
          </w:tcPr>
          <w:p>
            <w:pPr>
              <w:spacing w:after="40" w:line="252" w:lineRule="auto"/>
            </w:pPr>
            <w:r>
              <w:rPr>
                <w:rFonts w:ascii="Calibri" w:hAnsi="Calibri" w:eastAsia="Calibri"/>
                <w:sz w:val="18"/>
              </w:rPr>
              <w:t>XGBoost baseline fallback, LightGBM/XGBoost consensus, weekly alpha, weekly cycle tree, meta/LSTM fallback, regime gate</w:t>
            </w:r>
          </w:p>
        </w:tc>
      </w:tr>
      <w:tr>
        <w:tc>
          <w:tcPr>
            <w:tcW w:type="dxa" w:w="1900"/>
            <w:vAlign w:val="center"/>
          </w:tcPr>
          <w:p>
            <w:pPr>
              <w:spacing w:after="40" w:line="252" w:lineRule="auto"/>
            </w:pPr>
            <w:r>
              <w:rPr>
                <w:rFonts w:ascii="Calibri" w:hAnsi="Calibri" w:eastAsia="Calibri"/>
                <w:sz w:val="18"/>
              </w:rPr>
              <w:t>Results</w:t>
            </w:r>
          </w:p>
        </w:tc>
        <w:tc>
          <w:tcPr>
            <w:tcW w:type="dxa" w:w="2200"/>
            <w:vAlign w:val="center"/>
          </w:tcPr>
          <w:p>
            <w:pPr>
              <w:spacing w:after="40" w:line="252" w:lineRule="auto"/>
            </w:pPr>
            <w:r>
              <w:rPr>
                <w:rFonts w:ascii="Calibri" w:hAnsi="Calibri" w:eastAsia="Calibri"/>
                <w:sz w:val="18"/>
              </w:rPr>
              <w:t>Section 3</w:t>
            </w:r>
          </w:p>
        </w:tc>
        <w:tc>
          <w:tcPr>
            <w:tcW w:type="dxa" w:w="5260"/>
            <w:vAlign w:val="center"/>
          </w:tcPr>
          <w:p>
            <w:pPr>
              <w:spacing w:after="40" w:line="252" w:lineRule="auto"/>
            </w:pPr>
            <w:r>
              <w:rPr>
                <w:rFonts w:ascii="Calibri" w:hAnsi="Calibri" w:eastAsia="Calibri"/>
                <w:sz w:val="18"/>
              </w:rPr>
              <w:t>12 complete full-week self-test windows, portfolio metadata, baseline comparison</w:t>
            </w:r>
          </w:p>
        </w:tc>
      </w:tr>
      <w:tr>
        <w:tc>
          <w:tcPr>
            <w:tcW w:type="dxa" w:w="1900"/>
            <w:vAlign w:val="center"/>
          </w:tcPr>
          <w:p>
            <w:pPr>
              <w:spacing w:after="40" w:line="252" w:lineRule="auto"/>
            </w:pPr>
            <w:r>
              <w:rPr>
                <w:rFonts w:ascii="Calibri" w:hAnsi="Calibri" w:eastAsia="Calibri"/>
                <w:sz w:val="18"/>
              </w:rPr>
              <w:t>Analysis</w:t>
            </w:r>
          </w:p>
        </w:tc>
        <w:tc>
          <w:tcPr>
            <w:tcW w:type="dxa" w:w="2200"/>
            <w:vAlign w:val="center"/>
          </w:tcPr>
          <w:p>
            <w:pPr>
              <w:spacing w:after="40" w:line="252" w:lineRule="auto"/>
            </w:pPr>
            <w:r>
              <w:rPr>
                <w:rFonts w:ascii="Calibri" w:hAnsi="Calibri" w:eastAsia="Calibri"/>
                <w:sz w:val="18"/>
              </w:rPr>
              <w:t>Section 4</w:t>
            </w:r>
          </w:p>
        </w:tc>
        <w:tc>
          <w:tcPr>
            <w:tcW w:type="dxa" w:w="5260"/>
            <w:vAlign w:val="center"/>
          </w:tcPr>
          <w:p>
            <w:pPr>
              <w:spacing w:after="40" w:line="252" w:lineRule="auto"/>
            </w:pPr>
            <w:r>
              <w:rPr>
                <w:rFonts w:ascii="Calibri" w:hAnsi="Calibri" w:eastAsia="Calibri"/>
                <w:sz w:val="18"/>
              </w:rPr>
              <w:t>What worked, what failed, window-definition correction, overfitting/leakage controls</w:t>
            </w:r>
          </w:p>
        </w:tc>
      </w:tr>
    </w:tbl>
    <w:p/>
    <w:p>
      <w:pPr>
        <w:pStyle w:val="Heading1"/>
      </w:pPr>
      <w:r>
        <w:t>Repository and Data Path Audit</w:t>
      </w:r>
    </w:p>
    <w:p>
      <w:r>
        <w:t>Before writing the report, I checked that the current repository layout is consistent with the final submission workflow. The root path contains the Stage2 final generator, official data, validation scripts, and the single final Stage2 portfolio. Stage1 is archived separately and no longer participates in Stage2 generation.</w:t>
      </w:r>
    </w:p>
    <w:tbl>
      <w:tblPr>
        <w:tblStyle w:val="TableGrid"/>
        <w:tblW w:type="dxa" w:w="9360"/>
        <w:jc w:val="left"/>
        <w:tblLook w:firstColumn="1" w:firstRow="1" w:lastColumn="0" w:lastRow="0" w:noHBand="0" w:noVBand="1" w:val="04A0"/>
        <w:tblInd w:w="120" w:type="dxa"/>
      </w:tblPr>
      <w:tblGrid>
        <w:gridCol w:w="2100"/>
        <w:gridCol w:w="2900"/>
        <w:gridCol w:w="4360"/>
      </w:tblGrid>
      <w:tr>
        <w:tc>
          <w:tcPr>
            <w:tcW w:type="dxa" w:w="2100"/>
            <w:vAlign w:val="center"/>
            <w:shd w:fill="F2F4F7"/>
          </w:tcPr>
          <w:p>
            <w:pPr>
              <w:spacing w:after="40" w:line="252" w:lineRule="auto"/>
            </w:pPr>
            <w:r>
              <w:rPr>
                <w:rFonts w:ascii="Calibri" w:hAnsi="Calibri" w:eastAsia="Calibri"/>
                <w:b/>
                <w:color w:val="1F4D78"/>
                <w:sz w:val="18"/>
              </w:rPr>
              <w:t>Role</w:t>
            </w:r>
          </w:p>
        </w:tc>
        <w:tc>
          <w:tcPr>
            <w:tcW w:type="dxa" w:w="2900"/>
            <w:vAlign w:val="center"/>
            <w:shd w:fill="F2F4F7"/>
          </w:tcPr>
          <w:p>
            <w:pPr>
              <w:spacing w:after="40" w:line="252" w:lineRule="auto"/>
            </w:pPr>
            <w:r>
              <w:rPr>
                <w:rFonts w:ascii="Calibri" w:hAnsi="Calibri" w:eastAsia="Calibri"/>
                <w:b/>
                <w:color w:val="1F4D78"/>
                <w:sz w:val="18"/>
              </w:rPr>
              <w:t>Path</w:t>
            </w:r>
          </w:p>
        </w:tc>
        <w:tc>
          <w:tcPr>
            <w:tcW w:type="dxa" w:w="4360"/>
            <w:vAlign w:val="center"/>
            <w:shd w:fill="F2F4F7"/>
          </w:tcPr>
          <w:p>
            <w:pPr>
              <w:spacing w:after="40" w:line="252" w:lineRule="auto"/>
            </w:pPr>
            <w:r>
              <w:rPr>
                <w:rFonts w:ascii="Calibri" w:hAnsi="Calibri" w:eastAsia="Calibri"/>
                <w:b/>
                <w:color w:val="1F4D78"/>
                <w:sz w:val="18"/>
              </w:rPr>
              <w:t>Status / data provenance</w:t>
            </w:r>
          </w:p>
        </w:tc>
      </w:tr>
      <w:tr>
        <w:tc>
          <w:tcPr>
            <w:tcW w:type="dxa" w:w="2100"/>
            <w:vAlign w:val="center"/>
          </w:tcPr>
          <w:p>
            <w:pPr>
              <w:spacing w:after="40" w:line="252" w:lineRule="auto"/>
            </w:pPr>
            <w:r>
              <w:rPr>
                <w:rFonts w:ascii="Calibri" w:hAnsi="Calibri" w:eastAsia="Calibri"/>
                <w:sz w:val="18"/>
              </w:rPr>
              <w:t>Root final portfolio</w:t>
            </w:r>
          </w:p>
        </w:tc>
        <w:tc>
          <w:tcPr>
            <w:tcW w:type="dxa" w:w="2900"/>
            <w:vAlign w:val="center"/>
          </w:tcPr>
          <w:p>
            <w:pPr>
              <w:spacing w:after="40" w:line="252" w:lineRule="auto"/>
            </w:pPr>
            <w:r>
              <w:rPr>
                <w:rFonts w:ascii="Calibri" w:hAnsi="Calibri" w:eastAsia="Calibri"/>
                <w:sz w:val="18"/>
              </w:rPr>
              <w:t>stage2_final_portfolio.csv</w:t>
            </w:r>
          </w:p>
        </w:tc>
        <w:tc>
          <w:tcPr>
            <w:tcW w:type="dxa" w:w="4360"/>
            <w:vAlign w:val="center"/>
          </w:tcPr>
          <w:p>
            <w:pPr>
              <w:spacing w:after="40" w:line="252" w:lineRule="auto"/>
            </w:pPr>
            <w:r>
              <w:rPr>
                <w:rFonts w:ascii="Calibri" w:hAnsi="Calibri" w:eastAsia="Calibri"/>
                <w:sz w:val="18"/>
              </w:rPr>
              <w:t>Stage2 final submission CSV; 30 stocks; weights sum to 1.0</w:t>
            </w:r>
          </w:p>
        </w:tc>
      </w:tr>
      <w:tr>
        <w:tc>
          <w:tcPr>
            <w:tcW w:type="dxa" w:w="2100"/>
            <w:vAlign w:val="center"/>
          </w:tcPr>
          <w:p>
            <w:pPr>
              <w:spacing w:after="40" w:line="252" w:lineRule="auto"/>
            </w:pPr>
            <w:r>
              <w:rPr>
                <w:rFonts w:ascii="Calibri" w:hAnsi="Calibri" w:eastAsia="Calibri"/>
                <w:sz w:val="18"/>
              </w:rPr>
              <w:t>Official stock data</w:t>
            </w:r>
          </w:p>
        </w:tc>
        <w:tc>
          <w:tcPr>
            <w:tcW w:type="dxa" w:w="2900"/>
            <w:vAlign w:val="center"/>
          </w:tcPr>
          <w:p>
            <w:pPr>
              <w:spacing w:after="40" w:line="252" w:lineRule="auto"/>
            </w:pPr>
            <w:r>
              <w:rPr>
                <w:rFonts w:ascii="Calibri" w:hAnsi="Calibri" w:eastAsia="Calibri"/>
                <w:sz w:val="18"/>
              </w:rPr>
              <w:t>data/prices.parquet</w:t>
            </w:r>
          </w:p>
        </w:tc>
        <w:tc>
          <w:tcPr>
            <w:tcW w:type="dxa" w:w="4360"/>
            <w:vAlign w:val="center"/>
          </w:tcPr>
          <w:p>
            <w:pPr>
              <w:spacing w:after="40" w:line="252" w:lineRule="auto"/>
            </w:pPr>
            <w:r>
              <w:rPr>
                <w:rFonts w:ascii="Calibri" w:hAnsi="Calibri" w:eastAsia="Calibri"/>
                <w:sz w:val="18"/>
              </w:rPr>
              <w:t>397,757 rows; 2023-01-03 to 2026-05-08; 807 trading dates</w:t>
            </w:r>
          </w:p>
        </w:tc>
      </w:tr>
      <w:tr>
        <w:tc>
          <w:tcPr>
            <w:tcW w:type="dxa" w:w="2100"/>
            <w:vAlign w:val="center"/>
          </w:tcPr>
          <w:p>
            <w:pPr>
              <w:spacing w:after="40" w:line="252" w:lineRule="auto"/>
            </w:pPr>
            <w:r>
              <w:rPr>
                <w:rFonts w:ascii="Calibri" w:hAnsi="Calibri" w:eastAsia="Calibri"/>
                <w:sz w:val="18"/>
              </w:rPr>
              <w:t>Official index data</w:t>
            </w:r>
          </w:p>
        </w:tc>
        <w:tc>
          <w:tcPr>
            <w:tcW w:type="dxa" w:w="2900"/>
            <w:vAlign w:val="center"/>
          </w:tcPr>
          <w:p>
            <w:pPr>
              <w:spacing w:after="40" w:line="252" w:lineRule="auto"/>
            </w:pPr>
            <w:r>
              <w:rPr>
                <w:rFonts w:ascii="Calibri" w:hAnsi="Calibri" w:eastAsia="Calibri"/>
                <w:sz w:val="18"/>
              </w:rPr>
              <w:t>data/index.parquet</w:t>
            </w:r>
          </w:p>
        </w:tc>
        <w:tc>
          <w:tcPr>
            <w:tcW w:type="dxa" w:w="4360"/>
            <w:vAlign w:val="center"/>
          </w:tcPr>
          <w:p>
            <w:pPr>
              <w:spacing w:after="40" w:line="252" w:lineRule="auto"/>
            </w:pPr>
            <w:r>
              <w:rPr>
                <w:rFonts w:ascii="Calibri" w:hAnsi="Calibri" w:eastAsia="Calibri"/>
                <w:sz w:val="18"/>
              </w:rPr>
              <w:t>807 rows; 2023-01-03 to 2026-05-08; 807 trading dates</w:t>
            </w:r>
          </w:p>
        </w:tc>
      </w:tr>
      <w:tr>
        <w:tc>
          <w:tcPr>
            <w:tcW w:type="dxa" w:w="2100"/>
            <w:vAlign w:val="center"/>
          </w:tcPr>
          <w:p>
            <w:pPr>
              <w:spacing w:after="40" w:line="252" w:lineRule="auto"/>
            </w:pPr>
            <w:r>
              <w:rPr>
                <w:rFonts w:ascii="Calibri" w:hAnsi="Calibri" w:eastAsia="Calibri"/>
                <w:sz w:val="18"/>
              </w:rPr>
              <w:t>Universe file</w:t>
            </w:r>
          </w:p>
        </w:tc>
        <w:tc>
          <w:tcPr>
            <w:tcW w:type="dxa" w:w="2900"/>
            <w:vAlign w:val="center"/>
          </w:tcPr>
          <w:p>
            <w:pPr>
              <w:spacing w:after="40" w:line="252" w:lineRule="auto"/>
            </w:pPr>
            <w:r>
              <w:rPr>
                <w:rFonts w:ascii="Calibri" w:hAnsi="Calibri" w:eastAsia="Calibri"/>
                <w:sz w:val="18"/>
              </w:rPr>
              <w:t>data/constituents.csv</w:t>
            </w:r>
          </w:p>
        </w:tc>
        <w:tc>
          <w:tcPr>
            <w:tcW w:type="dxa" w:w="4360"/>
            <w:vAlign w:val="center"/>
          </w:tcPr>
          <w:p>
            <w:pPr>
              <w:spacing w:after="40" w:line="252" w:lineRule="auto"/>
            </w:pPr>
            <w:r>
              <w:rPr>
                <w:rFonts w:ascii="Calibri" w:hAnsi="Calibri" w:eastAsia="Calibri"/>
                <w:sz w:val="18"/>
              </w:rPr>
              <w:t>499 CSI500 constituents in local file</w:t>
            </w:r>
          </w:p>
        </w:tc>
      </w:tr>
      <w:tr>
        <w:tc>
          <w:tcPr>
            <w:tcW w:type="dxa" w:w="2100"/>
            <w:vAlign w:val="center"/>
          </w:tcPr>
          <w:p>
            <w:pPr>
              <w:spacing w:after="40" w:line="252" w:lineRule="auto"/>
            </w:pPr>
            <w:r>
              <w:rPr>
                <w:rFonts w:ascii="Calibri" w:hAnsi="Calibri" w:eastAsia="Calibri"/>
                <w:sz w:val="18"/>
              </w:rPr>
              <w:t>Stage1 final archive</w:t>
            </w:r>
          </w:p>
        </w:tc>
        <w:tc>
          <w:tcPr>
            <w:tcW w:type="dxa" w:w="2900"/>
            <w:vAlign w:val="center"/>
          </w:tcPr>
          <w:p>
            <w:pPr>
              <w:spacing w:after="40" w:line="252" w:lineRule="auto"/>
            </w:pPr>
            <w:r>
              <w:rPr>
                <w:rFonts w:ascii="Calibri" w:hAnsi="Calibri" w:eastAsia="Calibri"/>
                <w:sz w:val="18"/>
              </w:rPr>
              <w:t>stage1_report/stage1_final_portfolio.csv</w:t>
            </w:r>
          </w:p>
        </w:tc>
        <w:tc>
          <w:tcPr>
            <w:tcW w:type="dxa" w:w="4360"/>
            <w:vAlign w:val="center"/>
          </w:tcPr>
          <w:p>
            <w:pPr>
              <w:spacing w:after="40" w:line="252" w:lineRule="auto"/>
            </w:pPr>
            <w:r>
              <w:rPr>
                <w:rFonts w:ascii="Calibri" w:hAnsi="Calibri" w:eastAsia="Calibri"/>
                <w:sz w:val="18"/>
              </w:rPr>
              <w:t>Restored from archived guarded-ensemble final route</w:t>
            </w:r>
          </w:p>
        </w:tc>
      </w:tr>
      <w:tr>
        <w:tc>
          <w:tcPr>
            <w:tcW w:type="dxa" w:w="2100"/>
            <w:vAlign w:val="center"/>
          </w:tcPr>
          <w:p>
            <w:pPr>
              <w:spacing w:after="40" w:line="252" w:lineRule="auto"/>
            </w:pPr>
            <w:r>
              <w:rPr>
                <w:rFonts w:ascii="Calibri" w:hAnsi="Calibri" w:eastAsia="Calibri"/>
                <w:sz w:val="18"/>
              </w:rPr>
              <w:t>Stage2 evidence</w:t>
            </w:r>
          </w:p>
        </w:tc>
        <w:tc>
          <w:tcPr>
            <w:tcW w:type="dxa" w:w="2900"/>
            <w:vAlign w:val="center"/>
          </w:tcPr>
          <w:p>
            <w:pPr>
              <w:spacing w:after="40" w:line="252" w:lineRule="auto"/>
            </w:pPr>
            <w:r>
              <w:rPr>
                <w:rFonts w:ascii="Calibri" w:hAnsi="Calibri" w:eastAsia="Calibri"/>
                <w:sz w:val="18"/>
              </w:rPr>
              <w:t>stage2_report/final_report_materials/</w:t>
            </w:r>
          </w:p>
        </w:tc>
        <w:tc>
          <w:tcPr>
            <w:tcW w:type="dxa" w:w="4360"/>
            <w:vAlign w:val="center"/>
          </w:tcPr>
          <w:p>
            <w:pPr>
              <w:spacing w:after="40" w:line="252" w:lineRule="auto"/>
            </w:pPr>
            <w:r>
              <w:rPr>
                <w:rFonts w:ascii="Calibri" w:hAnsi="Calibri" w:eastAsia="Calibri"/>
                <w:sz w:val="18"/>
              </w:rPr>
              <w:t>Metadata, leakage audit, top-k check, and 12-window self-test results</w:t>
            </w:r>
          </w:p>
        </w:tc>
      </w:tr>
      <w:tr>
        <w:tc>
          <w:tcPr>
            <w:tcW w:type="dxa" w:w="2100"/>
            <w:vAlign w:val="center"/>
          </w:tcPr>
          <w:p>
            <w:pPr>
              <w:spacing w:after="40" w:line="252" w:lineRule="auto"/>
            </w:pPr>
            <w:r>
              <w:rPr>
                <w:rFonts w:ascii="Calibri" w:hAnsi="Calibri" w:eastAsia="Calibri"/>
                <w:sz w:val="18"/>
              </w:rPr>
              <w:t>Stage2 helper scripts</w:t>
            </w:r>
          </w:p>
        </w:tc>
        <w:tc>
          <w:tcPr>
            <w:tcW w:type="dxa" w:w="2900"/>
            <w:vAlign w:val="center"/>
          </w:tcPr>
          <w:p>
            <w:pPr>
              <w:spacing w:after="40" w:line="252" w:lineRule="auto"/>
            </w:pPr>
            <w:r>
              <w:rPr>
                <w:rFonts w:ascii="Calibri" w:hAnsi="Calibri" w:eastAsia="Calibri"/>
                <w:sz w:val="18"/>
              </w:rPr>
              <w:t>stage2_report/scripts/</w:t>
            </w:r>
          </w:p>
        </w:tc>
        <w:tc>
          <w:tcPr>
            <w:tcW w:type="dxa" w:w="4360"/>
            <w:vAlign w:val="center"/>
          </w:tcPr>
          <w:p>
            <w:pPr>
              <w:spacing w:after="40" w:line="252" w:lineRule="auto"/>
            </w:pPr>
            <w:r>
              <w:rPr>
                <w:rFonts w:ascii="Calibri" w:hAnsi="Calibri" w:eastAsia="Calibri"/>
                <w:sz w:val="18"/>
              </w:rPr>
              <w:t>LightGBM and tuned-XGBoost helpers used by tree consensus route</w:t>
            </w:r>
          </w:p>
        </w:tc>
      </w:tr>
      <w:tr>
        <w:tc>
          <w:tcPr>
            <w:tcW w:type="dxa" w:w="2100"/>
            <w:vAlign w:val="center"/>
          </w:tcPr>
          <w:p>
            <w:pPr>
              <w:spacing w:after="40" w:line="252" w:lineRule="auto"/>
            </w:pPr>
            <w:r>
              <w:rPr>
                <w:rFonts w:ascii="Calibri" w:hAnsi="Calibri" w:eastAsia="Calibri"/>
                <w:sz w:val="18"/>
              </w:rPr>
              <w:t>Validation tools</w:t>
            </w:r>
          </w:p>
        </w:tc>
        <w:tc>
          <w:tcPr>
            <w:tcW w:type="dxa" w:w="2900"/>
            <w:vAlign w:val="center"/>
          </w:tcPr>
          <w:p>
            <w:pPr>
              <w:spacing w:after="40" w:line="252" w:lineRule="auto"/>
            </w:pPr>
            <w:r>
              <w:rPr>
                <w:rFonts w:ascii="Calibri" w:hAnsi="Calibri" w:eastAsia="Calibri"/>
                <w:sz w:val="18"/>
              </w:rPr>
              <w:t>tools/stage2_validation/</w:t>
            </w:r>
          </w:p>
        </w:tc>
        <w:tc>
          <w:tcPr>
            <w:tcW w:type="dxa" w:w="4360"/>
            <w:vAlign w:val="center"/>
          </w:tcPr>
          <w:p>
            <w:pPr>
              <w:spacing w:after="40" w:line="252" w:lineRule="auto"/>
            </w:pPr>
            <w:r>
              <w:rPr>
                <w:rFonts w:ascii="Calibri" w:hAnsi="Calibri" w:eastAsia="Calibri"/>
                <w:sz w:val="18"/>
              </w:rPr>
              <w:t>Backtest, fast numpy scorer, and leakage audit scripts</w:t>
            </w:r>
          </w:p>
        </w:tc>
      </w:tr>
    </w:tbl>
    <w:p/>
    <w:p>
      <w:pPr>
        <w:pStyle w:val="Heading1"/>
      </w:pPr>
      <w:r>
        <w:t>1. Factors</w:t>
      </w:r>
    </w:p>
    <w:p>
      <w:r>
        <w:t>The task is cross-sectional: the model does not need to forecast the whole market level directly; it needs to select stocks that should outperform the CSI500 benchmark over the next five trading days. I therefore focused on signals that describe relative strength, risk, liquidity, and whether a stock is stretched or stable within its daily cross-section.</w:t>
      </w:r>
    </w:p>
    <w:tbl>
      <w:tblPr>
        <w:tblStyle w:val="TableGrid"/>
        <w:tblW w:type="dxa" w:w="9360"/>
        <w:jc w:val="left"/>
        <w:tblLook w:firstColumn="1" w:firstRow="1" w:lastColumn="0" w:lastRow="0" w:noHBand="0" w:noVBand="1" w:val="04A0"/>
        <w:tblInd w:w="120" w:type="dxa"/>
      </w:tblPr>
      <w:tblGrid>
        <w:gridCol w:w="1900"/>
        <w:gridCol w:w="2850"/>
        <w:gridCol w:w="4610"/>
      </w:tblGrid>
      <w:tr>
        <w:tc>
          <w:tcPr>
            <w:tcW w:type="dxa" w:w="1900"/>
            <w:vAlign w:val="center"/>
            <w:shd w:fill="F2F4F7"/>
          </w:tcPr>
          <w:p>
            <w:pPr>
              <w:spacing w:after="40" w:line="252" w:lineRule="auto"/>
            </w:pPr>
            <w:r>
              <w:rPr>
                <w:rFonts w:ascii="Calibri" w:hAnsi="Calibri" w:eastAsia="Calibri"/>
                <w:b/>
                <w:color w:val="1F4D78"/>
                <w:sz w:val="18"/>
              </w:rPr>
              <w:t>Factor block</w:t>
            </w:r>
          </w:p>
        </w:tc>
        <w:tc>
          <w:tcPr>
            <w:tcW w:type="dxa" w:w="2850"/>
            <w:vAlign w:val="center"/>
            <w:shd w:fill="F2F4F7"/>
          </w:tcPr>
          <w:p>
            <w:pPr>
              <w:spacing w:after="40" w:line="252" w:lineRule="auto"/>
            </w:pPr>
            <w:r>
              <w:rPr>
                <w:rFonts w:ascii="Calibri" w:hAnsi="Calibri" w:eastAsia="Calibri"/>
                <w:b/>
                <w:color w:val="1F4D78"/>
                <w:sz w:val="18"/>
              </w:rPr>
              <w:t>Examples used in code</w:t>
            </w:r>
          </w:p>
        </w:tc>
        <w:tc>
          <w:tcPr>
            <w:tcW w:type="dxa" w:w="4610"/>
            <w:vAlign w:val="center"/>
            <w:shd w:fill="F2F4F7"/>
          </w:tcPr>
          <w:p>
            <w:pPr>
              <w:spacing w:after="40" w:line="252" w:lineRule="auto"/>
            </w:pPr>
            <w:r>
              <w:rPr>
                <w:rFonts w:ascii="Calibri" w:hAnsi="Calibri" w:eastAsia="Calibri"/>
                <w:b/>
                <w:color w:val="1F4D78"/>
                <w:sz w:val="18"/>
              </w:rPr>
              <w:t>Reason for inclusion</w:t>
            </w:r>
          </w:p>
        </w:tc>
      </w:tr>
      <w:tr>
        <w:tc>
          <w:tcPr>
            <w:tcW w:type="dxa" w:w="1900"/>
            <w:vAlign w:val="center"/>
          </w:tcPr>
          <w:p>
            <w:pPr>
              <w:spacing w:after="40" w:line="252" w:lineRule="auto"/>
            </w:pPr>
            <w:r>
              <w:rPr>
                <w:rFonts w:ascii="Calibri" w:hAnsi="Calibri" w:eastAsia="Calibri"/>
                <w:sz w:val="18"/>
              </w:rPr>
              <w:t>Short/medium return state</w:t>
            </w:r>
          </w:p>
        </w:tc>
        <w:tc>
          <w:tcPr>
            <w:tcW w:type="dxa" w:w="2850"/>
            <w:vAlign w:val="center"/>
          </w:tcPr>
          <w:p>
            <w:pPr>
              <w:spacing w:after="40" w:line="252" w:lineRule="auto"/>
            </w:pPr>
            <w:r>
              <w:rPr>
                <w:rFonts w:ascii="Calibri" w:hAnsi="Calibri" w:eastAsia="Calibri"/>
                <w:sz w:val="18"/>
              </w:rPr>
              <w:t>ret_1d, ret_5d, ret_10d, ret_20d, ret_60d</w:t>
            </w:r>
          </w:p>
        </w:tc>
        <w:tc>
          <w:tcPr>
            <w:tcW w:type="dxa" w:w="4610"/>
            <w:vAlign w:val="center"/>
          </w:tcPr>
          <w:p>
            <w:pPr>
              <w:spacing w:after="40" w:line="252" w:lineRule="auto"/>
            </w:pPr>
            <w:r>
              <w:rPr>
                <w:rFonts w:ascii="Calibri" w:hAnsi="Calibri" w:eastAsia="Calibri"/>
                <w:sz w:val="18"/>
              </w:rPr>
              <w:t>Captures momentum, reversal, and short-cycle continuation. It was useful to keep both short and medium horizons because Stage1/Stage2 horizons behaved differently.</w:t>
            </w:r>
          </w:p>
        </w:tc>
      </w:tr>
      <w:tr>
        <w:tc>
          <w:tcPr>
            <w:tcW w:type="dxa" w:w="1900"/>
            <w:vAlign w:val="center"/>
          </w:tcPr>
          <w:p>
            <w:pPr>
              <w:spacing w:after="40" w:line="252" w:lineRule="auto"/>
            </w:pPr>
            <w:r>
              <w:rPr>
                <w:rFonts w:ascii="Calibri" w:hAnsi="Calibri" w:eastAsia="Calibri"/>
                <w:sz w:val="18"/>
              </w:rPr>
              <w:t>Trend location</w:t>
            </w:r>
          </w:p>
        </w:tc>
        <w:tc>
          <w:tcPr>
            <w:tcW w:type="dxa" w:w="2850"/>
            <w:vAlign w:val="center"/>
          </w:tcPr>
          <w:p>
            <w:pPr>
              <w:spacing w:after="40" w:line="252" w:lineRule="auto"/>
            </w:pPr>
            <w:r>
              <w:rPr>
                <w:rFonts w:ascii="Calibri" w:hAnsi="Calibri" w:eastAsia="Calibri"/>
                <w:sz w:val="18"/>
              </w:rPr>
              <w:t>close_over_ma20, close_over_ma60, rsi_14</w:t>
            </w:r>
          </w:p>
        </w:tc>
        <w:tc>
          <w:tcPr>
            <w:tcW w:type="dxa" w:w="4610"/>
            <w:vAlign w:val="center"/>
          </w:tcPr>
          <w:p>
            <w:pPr>
              <w:spacing w:after="40" w:line="252" w:lineRule="auto"/>
            </w:pPr>
            <w:r>
              <w:rPr>
                <w:rFonts w:ascii="Calibri" w:hAnsi="Calibri" w:eastAsia="Calibri"/>
                <w:sz w:val="18"/>
              </w:rPr>
              <w:t>Identifies whether recent price moves are trend-supported or overextended. Helps avoid pure return chasing.</w:t>
            </w:r>
          </w:p>
        </w:tc>
      </w:tr>
      <w:tr>
        <w:tc>
          <w:tcPr>
            <w:tcW w:type="dxa" w:w="1900"/>
            <w:vAlign w:val="center"/>
          </w:tcPr>
          <w:p>
            <w:pPr>
              <w:spacing w:after="40" w:line="252" w:lineRule="auto"/>
            </w:pPr>
            <w:r>
              <w:rPr>
                <w:rFonts w:ascii="Calibri" w:hAnsi="Calibri" w:eastAsia="Calibri"/>
                <w:sz w:val="18"/>
              </w:rPr>
              <w:t>Risk and volatility</w:t>
            </w:r>
          </w:p>
        </w:tc>
        <w:tc>
          <w:tcPr>
            <w:tcW w:type="dxa" w:w="2850"/>
            <w:vAlign w:val="center"/>
          </w:tcPr>
          <w:p>
            <w:pPr>
              <w:spacing w:after="40" w:line="252" w:lineRule="auto"/>
            </w:pPr>
            <w:r>
              <w:rPr>
                <w:rFonts w:ascii="Calibri" w:hAnsi="Calibri" w:eastAsia="Calibri"/>
                <w:sz w:val="18"/>
              </w:rPr>
              <w:t>vol_20d, vol_ratio_5_20, downside_vol_20d, drawdown_20d</w:t>
            </w:r>
          </w:p>
        </w:tc>
        <w:tc>
          <w:tcPr>
            <w:tcW w:type="dxa" w:w="4610"/>
            <w:vAlign w:val="center"/>
          </w:tcPr>
          <w:p>
            <w:pPr>
              <w:spacing w:after="40" w:line="252" w:lineRule="auto"/>
            </w:pPr>
            <w:r>
              <w:rPr>
                <w:rFonts w:ascii="Calibri" w:hAnsi="Calibri" w:eastAsia="Calibri"/>
                <w:sz w:val="18"/>
              </w:rPr>
              <w:t>High volatility can signal opportunity, but also crash risk; these variables feed confidence and defensive routes.</w:t>
            </w:r>
          </w:p>
        </w:tc>
      </w:tr>
      <w:tr>
        <w:tc>
          <w:tcPr>
            <w:tcW w:type="dxa" w:w="1900"/>
            <w:vAlign w:val="center"/>
          </w:tcPr>
          <w:p>
            <w:pPr>
              <w:spacing w:after="40" w:line="252" w:lineRule="auto"/>
            </w:pPr>
            <w:r>
              <w:rPr>
                <w:rFonts w:ascii="Calibri" w:hAnsi="Calibri" w:eastAsia="Calibri"/>
                <w:sz w:val="18"/>
              </w:rPr>
              <w:t>Liquidity/activity</w:t>
            </w:r>
          </w:p>
        </w:tc>
        <w:tc>
          <w:tcPr>
            <w:tcW w:type="dxa" w:w="2850"/>
            <w:vAlign w:val="center"/>
          </w:tcPr>
          <w:p>
            <w:pPr>
              <w:spacing w:after="40" w:line="252" w:lineRule="auto"/>
            </w:pPr>
            <w:r>
              <w:rPr>
                <w:rFonts w:ascii="Calibri" w:hAnsi="Calibri" w:eastAsia="Calibri"/>
                <w:sz w:val="18"/>
              </w:rPr>
              <w:t>volume_z_20d, turnover_ma_20d, amount_z_20d</w:t>
            </w:r>
          </w:p>
        </w:tc>
        <w:tc>
          <w:tcPr>
            <w:tcW w:type="dxa" w:w="4610"/>
            <w:vAlign w:val="center"/>
          </w:tcPr>
          <w:p>
            <w:pPr>
              <w:spacing w:after="40" w:line="252" w:lineRule="auto"/>
            </w:pPr>
            <w:r>
              <w:rPr>
                <w:rFonts w:ascii="Calibri" w:hAnsi="Calibri" w:eastAsia="Calibri"/>
                <w:sz w:val="18"/>
              </w:rPr>
              <w:t>Filters unreliable moves and gives tree models confirmation that a price signal is tradeable.</w:t>
            </w:r>
          </w:p>
        </w:tc>
      </w:tr>
      <w:tr>
        <w:tc>
          <w:tcPr>
            <w:tcW w:type="dxa" w:w="1900"/>
            <w:vAlign w:val="center"/>
          </w:tcPr>
          <w:p>
            <w:pPr>
              <w:spacing w:after="40" w:line="252" w:lineRule="auto"/>
            </w:pPr>
            <w:r>
              <w:rPr>
                <w:rFonts w:ascii="Calibri" w:hAnsi="Calibri" w:eastAsia="Calibri"/>
                <w:sz w:val="18"/>
              </w:rPr>
              <w:t>Cross-sectional ranks</w:t>
            </w:r>
          </w:p>
        </w:tc>
        <w:tc>
          <w:tcPr>
            <w:tcW w:type="dxa" w:w="2850"/>
            <w:vAlign w:val="center"/>
          </w:tcPr>
          <w:p>
            <w:pPr>
              <w:spacing w:after="40" w:line="252" w:lineRule="auto"/>
            </w:pPr>
            <w:r>
              <w:rPr>
                <w:rFonts w:ascii="Calibri" w:hAnsi="Calibri" w:eastAsia="Calibri"/>
                <w:sz w:val="18"/>
              </w:rPr>
              <w:t>ret_5d_rank, ret_20d_rank, vol_20d_rank</w:t>
            </w:r>
          </w:p>
        </w:tc>
        <w:tc>
          <w:tcPr>
            <w:tcW w:type="dxa" w:w="4610"/>
            <w:vAlign w:val="center"/>
          </w:tcPr>
          <w:p>
            <w:pPr>
              <w:spacing w:after="40" w:line="252" w:lineRule="auto"/>
            </w:pPr>
            <w:r>
              <w:rPr>
                <w:rFonts w:ascii="Calibri" w:hAnsi="Calibri" w:eastAsia="Calibri"/>
                <w:sz w:val="18"/>
              </w:rPr>
              <w:t>Daily rank normalization reduces market-wide level shifts and makes tree splits more stable across regimes.</w:t>
            </w:r>
          </w:p>
        </w:tc>
      </w:tr>
      <w:tr>
        <w:tc>
          <w:tcPr>
            <w:tcW w:type="dxa" w:w="1900"/>
            <w:vAlign w:val="center"/>
          </w:tcPr>
          <w:p>
            <w:pPr>
              <w:spacing w:after="40" w:line="252" w:lineRule="auto"/>
            </w:pPr>
            <w:r>
              <w:rPr>
                <w:rFonts w:ascii="Calibri" w:hAnsi="Calibri" w:eastAsia="Calibri"/>
                <w:sz w:val="18"/>
              </w:rPr>
              <w:t>Weekly/calendar features</w:t>
            </w:r>
          </w:p>
        </w:tc>
        <w:tc>
          <w:tcPr>
            <w:tcW w:type="dxa" w:w="2850"/>
            <w:vAlign w:val="center"/>
          </w:tcPr>
          <w:p>
            <w:pPr>
              <w:spacing w:after="40" w:line="252" w:lineRule="auto"/>
            </w:pPr>
            <w:r>
              <w:rPr>
                <w:rFonts w:ascii="Calibri" w:hAnsi="Calibri" w:eastAsia="Calibri"/>
                <w:sz w:val="18"/>
              </w:rPr>
              <w:t>Monday/Friday, month-start/end, post-gap reopening, weekly cycle terms</w:t>
            </w:r>
          </w:p>
        </w:tc>
        <w:tc>
          <w:tcPr>
            <w:tcW w:type="dxa" w:w="4610"/>
            <w:vAlign w:val="center"/>
          </w:tcPr>
          <w:p>
            <w:pPr>
              <w:spacing w:after="40" w:line="252" w:lineRule="auto"/>
            </w:pPr>
            <w:r>
              <w:rPr>
                <w:rFonts w:ascii="Calibri" w:hAnsi="Calibri" w:eastAsia="Calibri"/>
                <w:sz w:val="18"/>
              </w:rPr>
              <w:t>Added after discovering the Stage2 target is best represented by complete Monday-Friday workweeks.</w:t>
            </w:r>
          </w:p>
        </w:tc>
      </w:tr>
      <w:tr>
        <w:tc>
          <w:tcPr>
            <w:tcW w:type="dxa" w:w="1900"/>
            <w:vAlign w:val="center"/>
          </w:tcPr>
          <w:p>
            <w:pPr>
              <w:spacing w:after="40" w:line="252" w:lineRule="auto"/>
            </w:pPr>
            <w:r>
              <w:rPr>
                <w:rFonts w:ascii="Calibri" w:hAnsi="Calibri" w:eastAsia="Calibri"/>
                <w:sz w:val="18"/>
              </w:rPr>
              <w:t>Index and breadth regime</w:t>
            </w:r>
          </w:p>
        </w:tc>
        <w:tc>
          <w:tcPr>
            <w:tcW w:type="dxa" w:w="2850"/>
            <w:vAlign w:val="center"/>
          </w:tcPr>
          <w:p>
            <w:pPr>
              <w:spacing w:after="40" w:line="252" w:lineRule="auto"/>
            </w:pPr>
            <w:r>
              <w:rPr>
                <w:rFonts w:ascii="Calibri" w:hAnsi="Calibri" w:eastAsia="Calibri"/>
                <w:sz w:val="18"/>
              </w:rPr>
              <w:t>idx_ret_5d, idx_ret_20d, breadth_ret_5d_pos, median_ret_5d</w:t>
            </w:r>
          </w:p>
        </w:tc>
        <w:tc>
          <w:tcPr>
            <w:tcW w:type="dxa" w:w="4610"/>
            <w:vAlign w:val="center"/>
          </w:tcPr>
          <w:p>
            <w:pPr>
              <w:spacing w:after="40" w:line="252" w:lineRule="auto"/>
            </w:pPr>
            <w:r>
              <w:rPr>
                <w:rFonts w:ascii="Calibri" w:hAnsi="Calibri" w:eastAsia="Calibri"/>
                <w:sz w:val="18"/>
              </w:rPr>
              <w:t>Used by the final gate to avoid applying the same expert in overheated, selloff, or choppy markets.</w:t>
            </w:r>
          </w:p>
        </w:tc>
      </w:tr>
    </w:tbl>
    <w:p/>
    <w:tbl>
      <w:tblPr>
        <w:tblStyle w:val="TableGrid"/>
        <w:tblW w:type="dxa" w:w="9360"/>
        <w:jc w:val="left"/>
        <w:tblLook w:firstColumn="1" w:firstRow="1" w:lastColumn="0" w:lastRow="0" w:noHBand="0" w:noVBand="1" w:val="04A0"/>
        <w:tblInd w:w="120" w:type="dxa"/>
      </w:tblPr>
      <w:tblGrid>
        <w:gridCol w:w="9360"/>
      </w:tblGrid>
      <w:tr>
        <w:tc>
          <w:tcPr>
            <w:tcW w:type="dxa" w:w="9360"/>
            <w:shd w:fill="F4F6F9"/>
          </w:tcPr>
          <w:p>
            <w:pPr>
              <w:spacing w:after="60"/>
            </w:pPr>
            <w:r>
              <w:rPr>
                <w:rFonts w:ascii="Calibri" w:hAnsi="Calibri" w:eastAsia="Calibri"/>
                <w:b/>
                <w:color w:val="1F4D78"/>
                <w:sz w:val="20"/>
              </w:rPr>
              <w:t>Feature-selection lesson</w:t>
            </w:r>
            <w:r>
              <w:rPr>
                <w:rFonts w:ascii="Calibri" w:hAnsi="Calibri" w:eastAsia="Calibri"/>
                <w:sz w:val="20"/>
              </w:rPr>
              <w:br/>
              <w:t>The final route does not blindly maximize feature count. Open-data, graph/peer, and broad experimental feature sets sometimes improved a single window but failed to improve both mean excess and downside stability. The production system therefore keeps compact core features in defensive routes and uses richer features only inside specialized weekly experts.</w:t>
            </w:r>
          </w:p>
        </w:tc>
      </w:tr>
    </w:tbl>
    <w:p/>
    <w:p>
      <w:pPr>
        <w:pStyle w:val="Heading1"/>
      </w:pPr>
      <w:r>
        <w:t>2. Models and Portfolio Construction</w:t>
      </w:r>
    </w:p>
    <w:p>
      <w:r>
        <w:t>The final system separates three decisions: first, produce model scores or candidate portfolios using only information available at the as-of date; second, select an expert route based on market regime; third, convert the selected scores into a long-only constrained portfolio.</w:t>
      </w:r>
    </w:p>
    <w:tbl>
      <w:tblPr>
        <w:tblStyle w:val="TableGrid"/>
        <w:tblW w:type="dxa" w:w="9360"/>
        <w:jc w:val="left"/>
        <w:tblLook w:firstColumn="1" w:firstRow="1" w:lastColumn="0" w:lastRow="0" w:noHBand="0" w:noVBand="1" w:val="04A0"/>
        <w:tblInd w:w="120" w:type="dxa"/>
      </w:tblPr>
      <w:tblGrid>
        <w:gridCol w:w="2150"/>
        <w:gridCol w:w="3650"/>
        <w:gridCol w:w="3560"/>
      </w:tblGrid>
      <w:tr>
        <w:tc>
          <w:tcPr>
            <w:tcW w:type="dxa" w:w="2150"/>
            <w:vAlign w:val="center"/>
            <w:shd w:fill="F2F4F7"/>
          </w:tcPr>
          <w:p>
            <w:pPr>
              <w:spacing w:after="40" w:line="252" w:lineRule="auto"/>
            </w:pPr>
            <w:r>
              <w:rPr>
                <w:rFonts w:ascii="Calibri" w:hAnsi="Calibri" w:eastAsia="Calibri"/>
                <w:b/>
                <w:color w:val="1F4D78"/>
                <w:sz w:val="18"/>
              </w:rPr>
              <w:t>Model family</w:t>
            </w:r>
          </w:p>
        </w:tc>
        <w:tc>
          <w:tcPr>
            <w:tcW w:type="dxa" w:w="3650"/>
            <w:vAlign w:val="center"/>
            <w:shd w:fill="F2F4F7"/>
          </w:tcPr>
          <w:p>
            <w:pPr>
              <w:spacing w:after="40" w:line="252" w:lineRule="auto"/>
            </w:pPr>
            <w:r>
              <w:rPr>
                <w:rFonts w:ascii="Calibri" w:hAnsi="Calibri" w:eastAsia="Calibri"/>
                <w:b/>
                <w:color w:val="1F4D78"/>
                <w:sz w:val="18"/>
              </w:rPr>
              <w:t>Training target / role</w:t>
            </w:r>
          </w:p>
        </w:tc>
        <w:tc>
          <w:tcPr>
            <w:tcW w:type="dxa" w:w="3560"/>
            <w:vAlign w:val="center"/>
            <w:shd w:fill="F2F4F7"/>
          </w:tcPr>
          <w:p>
            <w:pPr>
              <w:spacing w:after="40" w:line="252" w:lineRule="auto"/>
            </w:pPr>
            <w:r>
              <w:rPr>
                <w:rFonts w:ascii="Calibri" w:hAnsi="Calibri" w:eastAsia="Calibri"/>
                <w:b/>
                <w:color w:val="1F4D78"/>
                <w:sz w:val="18"/>
              </w:rPr>
              <w:t>Final status</w:t>
            </w:r>
          </w:p>
        </w:tc>
      </w:tr>
      <w:tr>
        <w:tc>
          <w:tcPr>
            <w:tcW w:type="dxa" w:w="2150"/>
            <w:vAlign w:val="center"/>
          </w:tcPr>
          <w:p>
            <w:pPr>
              <w:spacing w:after="40" w:line="252" w:lineRule="auto"/>
            </w:pPr>
            <w:r>
              <w:rPr>
                <w:rFonts w:ascii="Calibri" w:hAnsi="Calibri" w:eastAsia="Calibri"/>
                <w:sz w:val="18"/>
              </w:rPr>
              <w:t>Official XGBoost-style baseline</w:t>
            </w:r>
          </w:p>
        </w:tc>
        <w:tc>
          <w:tcPr>
            <w:tcW w:type="dxa" w:w="3650"/>
            <w:vAlign w:val="center"/>
          </w:tcPr>
          <w:p>
            <w:pPr>
              <w:spacing w:after="40" w:line="252" w:lineRule="auto"/>
            </w:pPr>
            <w:r>
              <w:rPr>
                <w:rFonts w:ascii="Calibri" w:hAnsi="Calibri" w:eastAsia="Calibri"/>
                <w:sz w:val="18"/>
              </w:rPr>
              <w:t>Five-day forward return regressor with rank-weighted top names</w:t>
            </w:r>
          </w:p>
        </w:tc>
        <w:tc>
          <w:tcPr>
            <w:tcW w:type="dxa" w:w="3560"/>
            <w:vAlign w:val="center"/>
          </w:tcPr>
          <w:p>
            <w:pPr>
              <w:spacing w:after="40" w:line="252" w:lineRule="auto"/>
            </w:pPr>
            <w:r>
              <w:rPr>
                <w:rFonts w:ascii="Calibri" w:hAnsi="Calibri" w:eastAsia="Calibri"/>
                <w:sz w:val="18"/>
              </w:rPr>
              <w:t>Kept as the defensive fallback and selected for the final 2026-05-08 portfolio.</w:t>
            </w:r>
          </w:p>
        </w:tc>
      </w:tr>
      <w:tr>
        <w:tc>
          <w:tcPr>
            <w:tcW w:type="dxa" w:w="2150"/>
            <w:vAlign w:val="center"/>
          </w:tcPr>
          <w:p>
            <w:pPr>
              <w:spacing w:after="40" w:line="252" w:lineRule="auto"/>
            </w:pPr>
            <w:r>
              <w:rPr>
                <w:rFonts w:ascii="Calibri" w:hAnsi="Calibri" w:eastAsia="Calibri"/>
                <w:sz w:val="18"/>
              </w:rPr>
              <w:t>Tuned XGBoost</w:t>
            </w:r>
          </w:p>
        </w:tc>
        <w:tc>
          <w:tcPr>
            <w:tcW w:type="dxa" w:w="3650"/>
            <w:vAlign w:val="center"/>
          </w:tcPr>
          <w:p>
            <w:pPr>
              <w:spacing w:after="40" w:line="252" w:lineRule="auto"/>
            </w:pPr>
            <w:r>
              <w:rPr>
                <w:rFonts w:ascii="Calibri" w:hAnsi="Calibri" w:eastAsia="Calibri"/>
                <w:sz w:val="18"/>
              </w:rPr>
              <w:t>Validation-shaped tree ranker with top-k/power selection</w:t>
            </w:r>
          </w:p>
        </w:tc>
        <w:tc>
          <w:tcPr>
            <w:tcW w:type="dxa" w:w="3560"/>
            <w:vAlign w:val="center"/>
          </w:tcPr>
          <w:p>
            <w:pPr>
              <w:spacing w:after="40" w:line="252" w:lineRule="auto"/>
            </w:pPr>
            <w:r>
              <w:rPr>
                <w:rFonts w:ascii="Calibri" w:hAnsi="Calibri" w:eastAsia="Calibri"/>
                <w:sz w:val="18"/>
              </w:rPr>
              <w:t>Used as an ingredient inside the tree consensus route.</w:t>
            </w:r>
          </w:p>
        </w:tc>
      </w:tr>
      <w:tr>
        <w:tc>
          <w:tcPr>
            <w:tcW w:type="dxa" w:w="2150"/>
            <w:vAlign w:val="center"/>
          </w:tcPr>
          <w:p>
            <w:pPr>
              <w:spacing w:after="40" w:line="252" w:lineRule="auto"/>
            </w:pPr>
            <w:r>
              <w:rPr>
                <w:rFonts w:ascii="Calibri" w:hAnsi="Calibri" w:eastAsia="Calibri"/>
                <w:sz w:val="18"/>
              </w:rPr>
              <w:t>LightGBM</w:t>
            </w:r>
          </w:p>
        </w:tc>
        <w:tc>
          <w:tcPr>
            <w:tcW w:type="dxa" w:w="3650"/>
            <w:vAlign w:val="center"/>
          </w:tcPr>
          <w:p>
            <w:pPr>
              <w:spacing w:after="40" w:line="252" w:lineRule="auto"/>
            </w:pPr>
            <w:r>
              <w:rPr>
                <w:rFonts w:ascii="Calibri" w:hAnsi="Calibri" w:eastAsia="Calibri"/>
                <w:sz w:val="18"/>
              </w:rPr>
              <w:t>Fast tabular tree learner with similar feature space</w:t>
            </w:r>
          </w:p>
        </w:tc>
        <w:tc>
          <w:tcPr>
            <w:tcW w:type="dxa" w:w="3560"/>
            <w:vAlign w:val="center"/>
          </w:tcPr>
          <w:p>
            <w:pPr>
              <w:spacing w:after="40" w:line="252" w:lineRule="auto"/>
            </w:pPr>
            <w:r>
              <w:rPr>
                <w:rFonts w:ascii="Calibri" w:hAnsi="Calibri" w:eastAsia="Calibri"/>
                <w:sz w:val="18"/>
              </w:rPr>
              <w:t>Used with XGBoost for variance reduction and model confirmation.</w:t>
            </w:r>
          </w:p>
        </w:tc>
      </w:tr>
      <w:tr>
        <w:tc>
          <w:tcPr>
            <w:tcW w:type="dxa" w:w="2150"/>
            <w:vAlign w:val="center"/>
          </w:tcPr>
          <w:p>
            <w:pPr>
              <w:spacing w:after="40" w:line="252" w:lineRule="auto"/>
            </w:pPr>
            <w:r>
              <w:rPr>
                <w:rFonts w:ascii="Calibri" w:hAnsi="Calibri" w:eastAsia="Calibri"/>
                <w:sz w:val="18"/>
              </w:rPr>
              <w:t>LSTM rank/weight route</w:t>
            </w:r>
          </w:p>
        </w:tc>
        <w:tc>
          <w:tcPr>
            <w:tcW w:type="dxa" w:w="3650"/>
            <w:vAlign w:val="center"/>
          </w:tcPr>
          <w:p>
            <w:pPr>
              <w:spacing w:after="40" w:line="252" w:lineRule="auto"/>
            </w:pPr>
            <w:r>
              <w:rPr>
                <w:rFonts w:ascii="Calibri" w:hAnsi="Calibri" w:eastAsia="Calibri"/>
                <w:sz w:val="18"/>
              </w:rPr>
              <w:t>Sequence learner for short-run price dynamics and confidence weighting</w:t>
            </w:r>
          </w:p>
        </w:tc>
        <w:tc>
          <w:tcPr>
            <w:tcW w:type="dxa" w:w="3560"/>
            <w:vAlign w:val="center"/>
          </w:tcPr>
          <w:p>
            <w:pPr>
              <w:spacing w:after="40" w:line="252" w:lineRule="auto"/>
            </w:pPr>
            <w:r>
              <w:rPr>
                <w:rFonts w:ascii="Calibri" w:hAnsi="Calibri" w:eastAsia="Calibri"/>
                <w:sz w:val="18"/>
              </w:rPr>
              <w:t>Useful during Stage1 and old rolling tests; retained only as fallback dependency, not final backbone.</w:t>
            </w:r>
          </w:p>
        </w:tc>
      </w:tr>
      <w:tr>
        <w:tc>
          <w:tcPr>
            <w:tcW w:type="dxa" w:w="2150"/>
            <w:vAlign w:val="center"/>
          </w:tcPr>
          <w:p>
            <w:pPr>
              <w:spacing w:after="40" w:line="252" w:lineRule="auto"/>
            </w:pPr>
            <w:r>
              <w:rPr>
                <w:rFonts w:ascii="Calibri" w:hAnsi="Calibri" w:eastAsia="Calibri"/>
                <w:sz w:val="18"/>
              </w:rPr>
              <w:t>Weekly cycle tree</w:t>
            </w:r>
          </w:p>
        </w:tc>
        <w:tc>
          <w:tcPr>
            <w:tcW w:type="dxa" w:w="3650"/>
            <w:vAlign w:val="center"/>
          </w:tcPr>
          <w:p>
            <w:pPr>
              <w:spacing w:after="40" w:line="252" w:lineRule="auto"/>
            </w:pPr>
            <w:r>
              <w:rPr>
                <w:rFonts w:ascii="Calibri" w:hAnsi="Calibri" w:eastAsia="Calibri"/>
                <w:sz w:val="18"/>
              </w:rPr>
              <w:t>Full-week excess-return expert with calendar cycle features</w:t>
            </w:r>
          </w:p>
        </w:tc>
        <w:tc>
          <w:tcPr>
            <w:tcW w:type="dxa" w:w="3560"/>
            <w:vAlign w:val="center"/>
          </w:tcPr>
          <w:p>
            <w:pPr>
              <w:spacing w:after="40" w:line="252" w:lineRule="auto"/>
            </w:pPr>
            <w:r>
              <w:rPr>
                <w:rFonts w:ascii="Calibri" w:hAnsi="Calibri" w:eastAsia="Calibri"/>
                <w:sz w:val="18"/>
              </w:rPr>
              <w:t>Kept as a specialized Stage2 expert after the window-definition correction.</w:t>
            </w:r>
          </w:p>
        </w:tc>
      </w:tr>
      <w:tr>
        <w:tc>
          <w:tcPr>
            <w:tcW w:type="dxa" w:w="2150"/>
            <w:vAlign w:val="center"/>
          </w:tcPr>
          <w:p>
            <w:pPr>
              <w:spacing w:after="40" w:line="252" w:lineRule="auto"/>
            </w:pPr>
            <w:r>
              <w:rPr>
                <w:rFonts w:ascii="Calibri" w:hAnsi="Calibri" w:eastAsia="Calibri"/>
                <w:sz w:val="18"/>
              </w:rPr>
              <w:t>Weekly alpha overlay</w:t>
            </w:r>
          </w:p>
        </w:tc>
        <w:tc>
          <w:tcPr>
            <w:tcW w:type="dxa" w:w="3650"/>
            <w:vAlign w:val="center"/>
          </w:tcPr>
          <w:p>
            <w:pPr>
              <w:spacing w:after="40" w:line="252" w:lineRule="auto"/>
            </w:pPr>
            <w:r>
              <w:rPr>
                <w:rFonts w:ascii="Calibri" w:hAnsi="Calibri" w:eastAsia="Calibri"/>
                <w:sz w:val="18"/>
              </w:rPr>
              <w:t>Combines base portfolio with flow/volatility/OBV/gap confidence signals</w:t>
            </w:r>
          </w:p>
        </w:tc>
        <w:tc>
          <w:tcPr>
            <w:tcW w:type="dxa" w:w="3560"/>
            <w:vAlign w:val="center"/>
          </w:tcPr>
          <w:p>
            <w:pPr>
              <w:spacing w:after="40" w:line="252" w:lineRule="auto"/>
            </w:pPr>
            <w:r>
              <w:rPr>
                <w:rFonts w:ascii="Calibri" w:hAnsi="Calibri" w:eastAsia="Calibri"/>
                <w:sz w:val="18"/>
              </w:rPr>
              <w:t>Kept as a route expert; not forced globally.</w:t>
            </w:r>
          </w:p>
        </w:tc>
      </w:tr>
      <w:tr>
        <w:tc>
          <w:tcPr>
            <w:tcW w:type="dxa" w:w="2150"/>
            <w:vAlign w:val="center"/>
          </w:tcPr>
          <w:p>
            <w:pPr>
              <w:spacing w:after="40" w:line="252" w:lineRule="auto"/>
            </w:pPr>
            <w:r>
              <w:rPr>
                <w:rFonts w:ascii="Calibri" w:hAnsi="Calibri" w:eastAsia="Calibri"/>
                <w:sz w:val="18"/>
              </w:rPr>
              <w:t>Regime-gated ensemble</w:t>
            </w:r>
          </w:p>
        </w:tc>
        <w:tc>
          <w:tcPr>
            <w:tcW w:type="dxa" w:w="3650"/>
            <w:vAlign w:val="center"/>
          </w:tcPr>
          <w:p>
            <w:pPr>
              <w:spacing w:after="40" w:line="252" w:lineRule="auto"/>
            </w:pPr>
            <w:r>
              <w:rPr>
                <w:rFonts w:ascii="Calibri" w:hAnsi="Calibri" w:eastAsia="Calibri"/>
                <w:sz w:val="18"/>
              </w:rPr>
              <w:t>As-of observable route selector across the above experts</w:t>
            </w:r>
          </w:p>
        </w:tc>
        <w:tc>
          <w:tcPr>
            <w:tcW w:type="dxa" w:w="3560"/>
            <w:vAlign w:val="center"/>
          </w:tcPr>
          <w:p>
            <w:pPr>
              <w:spacing w:after="40" w:line="252" w:lineRule="auto"/>
            </w:pPr>
            <w:r>
              <w:rPr>
                <w:rFonts w:ascii="Calibri" w:hAnsi="Calibri" w:eastAsia="Calibri"/>
                <w:sz w:val="18"/>
              </w:rPr>
              <w:t>Final production route: baseline_guard_adaptive.</w:t>
            </w:r>
          </w:p>
        </w:tc>
      </w:tr>
    </w:tbl>
    <w:p/>
    <w:tbl>
      <w:tblPr>
        <w:tblStyle w:val="TableGrid"/>
        <w:tblW w:type="dxa" w:w="9360"/>
        <w:jc w:val="left"/>
        <w:tblLook w:firstColumn="1" w:firstRow="1" w:lastColumn="0" w:lastRow="0" w:noHBand="0" w:noVBand="1" w:val="04A0"/>
        <w:tblInd w:w="120" w:type="dxa"/>
      </w:tblPr>
      <w:tblGrid>
        <w:gridCol w:w="2500"/>
        <w:gridCol w:w="2200"/>
        <w:gridCol w:w="4660"/>
      </w:tblGrid>
      <w:tr>
        <w:tc>
          <w:tcPr>
            <w:tcW w:type="dxa" w:w="2500"/>
            <w:vAlign w:val="center"/>
            <w:shd w:fill="F2F4F7"/>
          </w:tcPr>
          <w:p>
            <w:pPr>
              <w:spacing w:after="40" w:line="252" w:lineRule="auto"/>
            </w:pPr>
            <w:r>
              <w:rPr>
                <w:rFonts w:ascii="Calibri" w:hAnsi="Calibri" w:eastAsia="Calibri"/>
                <w:b/>
                <w:color w:val="1F4D78"/>
                <w:sz w:val="18"/>
              </w:rPr>
              <w:t>Portfolio choice</w:t>
            </w:r>
          </w:p>
        </w:tc>
        <w:tc>
          <w:tcPr>
            <w:tcW w:type="dxa" w:w="2200"/>
            <w:vAlign w:val="center"/>
            <w:shd w:fill="F2F4F7"/>
          </w:tcPr>
          <w:p>
            <w:pPr>
              <w:spacing w:after="40" w:line="252" w:lineRule="auto"/>
            </w:pPr>
            <w:r>
              <w:rPr>
                <w:rFonts w:ascii="Calibri" w:hAnsi="Calibri" w:eastAsia="Calibri"/>
                <w:b/>
                <w:color w:val="1F4D78"/>
                <w:sz w:val="18"/>
              </w:rPr>
              <w:t>Final setting</w:t>
            </w:r>
          </w:p>
        </w:tc>
        <w:tc>
          <w:tcPr>
            <w:tcW w:type="dxa" w:w="4660"/>
            <w:vAlign w:val="center"/>
            <w:shd w:fill="F2F4F7"/>
          </w:tcPr>
          <w:p>
            <w:pPr>
              <w:spacing w:after="40" w:line="252" w:lineRule="auto"/>
            </w:pPr>
            <w:r>
              <w:rPr>
                <w:rFonts w:ascii="Calibri" w:hAnsi="Calibri" w:eastAsia="Calibri"/>
                <w:b/>
                <w:color w:val="1F4D78"/>
                <w:sz w:val="18"/>
              </w:rPr>
              <w:t>Rationale</w:t>
            </w:r>
          </w:p>
        </w:tc>
      </w:tr>
      <w:tr>
        <w:tc>
          <w:tcPr>
            <w:tcW w:type="dxa" w:w="2500"/>
            <w:vAlign w:val="center"/>
          </w:tcPr>
          <w:p>
            <w:pPr>
              <w:spacing w:after="40" w:line="252" w:lineRule="auto"/>
            </w:pPr>
            <w:r>
              <w:rPr>
                <w:rFonts w:ascii="Calibri" w:hAnsi="Calibri" w:eastAsia="Calibri"/>
                <w:sz w:val="18"/>
              </w:rPr>
              <w:t>Submission constraints</w:t>
            </w:r>
          </w:p>
        </w:tc>
        <w:tc>
          <w:tcPr>
            <w:tcW w:type="dxa" w:w="2200"/>
            <w:vAlign w:val="center"/>
          </w:tcPr>
          <w:p>
            <w:pPr>
              <w:spacing w:after="40" w:line="252" w:lineRule="auto"/>
            </w:pPr>
            <w:r>
              <w:rPr>
                <w:rFonts w:ascii="Calibri" w:hAnsi="Calibri" w:eastAsia="Calibri"/>
                <w:sz w:val="18"/>
              </w:rPr>
              <w:t>&gt;=30 stocks, non-negative weights, sum to 1, max single stock &lt;=10%</w:t>
            </w:r>
          </w:p>
        </w:tc>
        <w:tc>
          <w:tcPr>
            <w:tcW w:type="dxa" w:w="4660"/>
            <w:vAlign w:val="center"/>
          </w:tcPr>
          <w:p>
            <w:pPr>
              <w:spacing w:after="40" w:line="252" w:lineRule="auto"/>
            </w:pPr>
            <w:r>
              <w:rPr>
                <w:rFonts w:ascii="Calibri" w:hAnsi="Calibri" w:eastAsia="Calibri"/>
                <w:sz w:val="18"/>
              </w:rPr>
              <w:t>Matches validate_submission.py and the competition rule.</w:t>
            </w:r>
          </w:p>
        </w:tc>
      </w:tr>
      <w:tr>
        <w:tc>
          <w:tcPr>
            <w:tcW w:type="dxa" w:w="2500"/>
            <w:vAlign w:val="center"/>
          </w:tcPr>
          <w:p>
            <w:pPr>
              <w:spacing w:after="40" w:line="252" w:lineRule="auto"/>
            </w:pPr>
            <w:r>
              <w:rPr>
                <w:rFonts w:ascii="Calibri" w:hAnsi="Calibri" w:eastAsia="Calibri"/>
                <w:sz w:val="18"/>
              </w:rPr>
              <w:t>Final Stage2 selected names</w:t>
            </w:r>
          </w:p>
        </w:tc>
        <w:tc>
          <w:tcPr>
            <w:tcW w:type="dxa" w:w="2200"/>
            <w:vAlign w:val="center"/>
          </w:tcPr>
          <w:p>
            <w:pPr>
              <w:spacing w:after="40" w:line="252" w:lineRule="auto"/>
            </w:pPr>
            <w:r>
              <w:rPr>
                <w:rFonts w:ascii="Calibri" w:hAnsi="Calibri" w:eastAsia="Calibri"/>
                <w:sz w:val="18"/>
              </w:rPr>
              <w:t>30</w:t>
            </w:r>
          </w:p>
        </w:tc>
        <w:tc>
          <w:tcPr>
            <w:tcW w:type="dxa" w:w="4660"/>
            <w:vAlign w:val="center"/>
          </w:tcPr>
          <w:p>
            <w:pPr>
              <w:spacing w:after="40" w:line="252" w:lineRule="auto"/>
            </w:pPr>
            <w:r>
              <w:rPr>
                <w:rFonts w:ascii="Calibri" w:hAnsi="Calibri" w:eastAsia="Calibri"/>
                <w:sz w:val="18"/>
              </w:rPr>
              <w:t>Top-k sanity checks showed top30 had the best mean/min excess in similar baseline-guard regimes.</w:t>
            </w:r>
          </w:p>
        </w:tc>
      </w:tr>
      <w:tr>
        <w:tc>
          <w:tcPr>
            <w:tcW w:type="dxa" w:w="2500"/>
            <w:vAlign w:val="center"/>
          </w:tcPr>
          <w:p>
            <w:pPr>
              <w:spacing w:after="40" w:line="252" w:lineRule="auto"/>
            </w:pPr>
            <w:r>
              <w:rPr>
                <w:rFonts w:ascii="Calibri" w:hAnsi="Calibri" w:eastAsia="Calibri"/>
                <w:sz w:val="18"/>
              </w:rPr>
              <w:t>Final max weight</w:t>
            </w:r>
          </w:p>
        </w:tc>
        <w:tc>
          <w:tcPr>
            <w:tcW w:type="dxa" w:w="2200"/>
            <w:vAlign w:val="center"/>
          </w:tcPr>
          <w:p>
            <w:pPr>
              <w:spacing w:after="40" w:line="252" w:lineRule="auto"/>
            </w:pPr>
            <w:r>
              <w:rPr>
                <w:rFonts w:ascii="Calibri" w:hAnsi="Calibri" w:eastAsia="Calibri"/>
                <w:sz w:val="18"/>
              </w:rPr>
              <w:t>6.452%</w:t>
            </w:r>
          </w:p>
        </w:tc>
        <w:tc>
          <w:tcPr>
            <w:tcW w:type="dxa" w:w="4660"/>
            <w:vAlign w:val="center"/>
          </w:tcPr>
          <w:p>
            <w:pPr>
              <w:spacing w:after="40" w:line="252" w:lineRule="auto"/>
            </w:pPr>
            <w:r>
              <w:rPr>
                <w:rFonts w:ascii="Calibri" w:hAnsi="Calibri" w:eastAsia="Calibri"/>
                <w:sz w:val="18"/>
              </w:rPr>
              <w:t>Concentrated enough to preserve rank signal while staying below the 10% cap.</w:t>
            </w:r>
          </w:p>
        </w:tc>
      </w:tr>
      <w:tr>
        <w:tc>
          <w:tcPr>
            <w:tcW w:type="dxa" w:w="2500"/>
            <w:vAlign w:val="center"/>
          </w:tcPr>
          <w:p>
            <w:pPr>
              <w:spacing w:after="40" w:line="252" w:lineRule="auto"/>
            </w:pPr>
            <w:r>
              <w:rPr>
                <w:rFonts w:ascii="Calibri" w:hAnsi="Calibri" w:eastAsia="Calibri"/>
                <w:sz w:val="18"/>
              </w:rPr>
              <w:t>Effective names</w:t>
            </w:r>
          </w:p>
        </w:tc>
        <w:tc>
          <w:tcPr>
            <w:tcW w:type="dxa" w:w="2200"/>
            <w:vAlign w:val="center"/>
          </w:tcPr>
          <w:p>
            <w:pPr>
              <w:spacing w:after="40" w:line="252" w:lineRule="auto"/>
            </w:pPr>
            <w:r>
              <w:rPr>
                <w:rFonts w:ascii="Calibri" w:hAnsi="Calibri" w:eastAsia="Calibri"/>
                <w:sz w:val="18"/>
              </w:rPr>
              <w:t>22.87</w:t>
            </w:r>
          </w:p>
        </w:tc>
        <w:tc>
          <w:tcPr>
            <w:tcW w:type="dxa" w:w="4660"/>
            <w:vAlign w:val="center"/>
          </w:tcPr>
          <w:p>
            <w:pPr>
              <w:spacing w:after="40" w:line="252" w:lineRule="auto"/>
            </w:pPr>
            <w:r>
              <w:rPr>
                <w:rFonts w:ascii="Calibri" w:hAnsi="Calibri" w:eastAsia="Calibri"/>
                <w:sz w:val="18"/>
              </w:rPr>
              <w:t>Not equal-weighted; the portfolio gives more capital to stronger ranked names.</w:t>
            </w:r>
          </w:p>
        </w:tc>
      </w:tr>
      <w:tr>
        <w:tc>
          <w:tcPr>
            <w:tcW w:type="dxa" w:w="2500"/>
            <w:vAlign w:val="center"/>
          </w:tcPr>
          <w:p>
            <w:pPr>
              <w:spacing w:after="40" w:line="252" w:lineRule="auto"/>
            </w:pPr>
            <w:r>
              <w:rPr>
                <w:rFonts w:ascii="Calibri" w:hAnsi="Calibri" w:eastAsia="Calibri"/>
                <w:sz w:val="18"/>
              </w:rPr>
              <w:t>Final route on 2026-05-08</w:t>
            </w:r>
          </w:p>
        </w:tc>
        <w:tc>
          <w:tcPr>
            <w:tcW w:type="dxa" w:w="2200"/>
            <w:vAlign w:val="center"/>
          </w:tcPr>
          <w:p>
            <w:pPr>
              <w:spacing w:after="40" w:line="252" w:lineRule="auto"/>
            </w:pPr>
            <w:r>
              <w:rPr>
                <w:rFonts w:ascii="Calibri" w:hAnsi="Calibri" w:eastAsia="Calibri"/>
                <w:sz w:val="18"/>
              </w:rPr>
              <w:t>baseline_xgb branch of the gated ensemble</w:t>
            </w:r>
          </w:p>
        </w:tc>
        <w:tc>
          <w:tcPr>
            <w:tcW w:type="dxa" w:w="4660"/>
            <w:vAlign w:val="center"/>
          </w:tcPr>
          <w:p>
            <w:pPr>
              <w:spacing w:after="40" w:line="252" w:lineRule="auto"/>
            </w:pPr>
            <w:r>
              <w:rPr>
                <w:rFonts w:ascii="Calibri" w:hAnsi="Calibri" w:eastAsia="Calibri"/>
                <w:sz w:val="18"/>
              </w:rPr>
              <w:t>The gate detected an overheated high-breadth rebound where the defensive fallback had historically better floor.</w:t>
            </w:r>
          </w:p>
        </w:tc>
      </w:tr>
    </w:tbl>
    <w:p/>
    <w:tbl>
      <w:tblPr>
        <w:tblStyle w:val="TableGrid"/>
        <w:tblW w:type="dxa" w:w="9360"/>
        <w:jc w:val="left"/>
        <w:tblLook w:firstColumn="1" w:firstRow="1" w:lastColumn="0" w:lastRow="0" w:noHBand="0" w:noVBand="1" w:val="04A0"/>
        <w:tblInd w:w="120" w:type="dxa"/>
      </w:tblPr>
      <w:tblGrid>
        <w:gridCol w:w="3600"/>
        <w:gridCol w:w="5760"/>
      </w:tblGrid>
      <w:tr>
        <w:tc>
          <w:tcPr>
            <w:tcW w:type="dxa" w:w="3600"/>
            <w:vAlign w:val="center"/>
            <w:shd w:fill="F2F4F7"/>
          </w:tcPr>
          <w:p>
            <w:pPr>
              <w:spacing w:after="40" w:line="252" w:lineRule="auto"/>
            </w:pPr>
            <w:r>
              <w:rPr>
                <w:rFonts w:ascii="Calibri" w:hAnsi="Calibri" w:eastAsia="Calibri"/>
                <w:b/>
                <w:color w:val="1F4D78"/>
                <w:sz w:val="18"/>
              </w:rPr>
              <w:t>Final metadata field</w:t>
            </w:r>
          </w:p>
        </w:tc>
        <w:tc>
          <w:tcPr>
            <w:tcW w:type="dxa" w:w="5760"/>
            <w:vAlign w:val="center"/>
            <w:shd w:fill="F2F4F7"/>
          </w:tcPr>
          <w:p>
            <w:pPr>
              <w:spacing w:after="40" w:line="252" w:lineRule="auto"/>
            </w:pPr>
            <w:r>
              <w:rPr>
                <w:rFonts w:ascii="Calibri" w:hAnsi="Calibri" w:eastAsia="Calibri"/>
                <w:b/>
                <w:color w:val="1F4D78"/>
                <w:sz w:val="18"/>
              </w:rPr>
              <w:t>Value</w:t>
            </w:r>
          </w:p>
        </w:tc>
      </w:tr>
      <w:tr>
        <w:tc>
          <w:tcPr>
            <w:tcW w:type="dxa" w:w="3600"/>
            <w:vAlign w:val="center"/>
          </w:tcPr>
          <w:p>
            <w:pPr>
              <w:spacing w:after="40" w:line="252" w:lineRule="auto"/>
            </w:pPr>
            <w:r>
              <w:rPr>
                <w:rFonts w:ascii="Calibri" w:hAnsi="Calibri" w:eastAsia="Calibri"/>
                <w:sz w:val="18"/>
              </w:rPr>
              <w:t>Final as-of date</w:t>
            </w:r>
          </w:p>
        </w:tc>
        <w:tc>
          <w:tcPr>
            <w:tcW w:type="dxa" w:w="5760"/>
            <w:vAlign w:val="center"/>
          </w:tcPr>
          <w:p>
            <w:pPr>
              <w:spacing w:after="40" w:line="252" w:lineRule="auto"/>
            </w:pPr>
            <w:r>
              <w:rPr>
                <w:rFonts w:ascii="Calibri" w:hAnsi="Calibri" w:eastAsia="Calibri"/>
                <w:sz w:val="18"/>
              </w:rPr>
              <w:t>2026-05-08</w:t>
            </w:r>
          </w:p>
        </w:tc>
      </w:tr>
      <w:tr>
        <w:tc>
          <w:tcPr>
            <w:tcW w:type="dxa" w:w="3600"/>
            <w:vAlign w:val="center"/>
          </w:tcPr>
          <w:p>
            <w:pPr>
              <w:spacing w:after="40" w:line="252" w:lineRule="auto"/>
            </w:pPr>
            <w:r>
              <w:rPr>
                <w:rFonts w:ascii="Calibri" w:hAnsi="Calibri" w:eastAsia="Calibri"/>
                <w:sz w:val="18"/>
              </w:rPr>
              <w:t>Selected route</w:t>
            </w:r>
          </w:p>
        </w:tc>
        <w:tc>
          <w:tcPr>
            <w:tcW w:type="dxa" w:w="5760"/>
            <w:vAlign w:val="center"/>
          </w:tcPr>
          <w:p>
            <w:pPr>
              <w:spacing w:after="40" w:line="252" w:lineRule="auto"/>
            </w:pPr>
            <w:r>
              <w:rPr>
                <w:rFonts w:ascii="Calibri" w:hAnsi="Calibri" w:eastAsia="Calibri"/>
                <w:sz w:val="18"/>
              </w:rPr>
              <w:t>baseline_xgb</w:t>
            </w:r>
          </w:p>
        </w:tc>
      </w:tr>
      <w:tr>
        <w:tc>
          <w:tcPr>
            <w:tcW w:type="dxa" w:w="3600"/>
            <w:vAlign w:val="center"/>
          </w:tcPr>
          <w:p>
            <w:pPr>
              <w:spacing w:after="40" w:line="252" w:lineRule="auto"/>
            </w:pPr>
            <w:r>
              <w:rPr>
                <w:rFonts w:ascii="Calibri" w:hAnsi="Calibri" w:eastAsia="Calibri"/>
                <w:sz w:val="18"/>
              </w:rPr>
              <w:t>Guard reason</w:t>
            </w:r>
          </w:p>
        </w:tc>
        <w:tc>
          <w:tcPr>
            <w:tcW w:type="dxa" w:w="5760"/>
            <w:vAlign w:val="center"/>
          </w:tcPr>
          <w:p>
            <w:pPr>
              <w:spacing w:after="40" w:line="252" w:lineRule="auto"/>
            </w:pPr>
            <w:r>
              <w:rPr>
                <w:rFonts w:ascii="Calibri" w:hAnsi="Calibri" w:eastAsia="Calibri"/>
                <w:sz w:val="18"/>
              </w:rPr>
              <w:t>baseline_guard_overheated_high_breadth</w:t>
            </w:r>
          </w:p>
        </w:tc>
      </w:tr>
      <w:tr>
        <w:tc>
          <w:tcPr>
            <w:tcW w:type="dxa" w:w="3600"/>
            <w:vAlign w:val="center"/>
          </w:tcPr>
          <w:p>
            <w:pPr>
              <w:spacing w:after="40" w:line="252" w:lineRule="auto"/>
            </w:pPr>
            <w:r>
              <w:rPr>
                <w:rFonts w:ascii="Calibri" w:hAnsi="Calibri" w:eastAsia="Calibri"/>
                <w:sz w:val="18"/>
              </w:rPr>
              <w:t>Recent index return, 5d / 20d</w:t>
            </w:r>
          </w:p>
        </w:tc>
        <w:tc>
          <w:tcPr>
            <w:tcW w:type="dxa" w:w="5760"/>
            <w:vAlign w:val="center"/>
          </w:tcPr>
          <w:p>
            <w:pPr>
              <w:spacing w:after="40" w:line="252" w:lineRule="auto"/>
            </w:pPr>
            <w:r>
              <w:rPr>
                <w:rFonts w:ascii="Calibri" w:hAnsi="Calibri" w:eastAsia="Calibri"/>
                <w:sz w:val="18"/>
              </w:rPr>
              <w:t>5.975% / 14.833%</w:t>
            </w:r>
          </w:p>
        </w:tc>
      </w:tr>
      <w:tr>
        <w:tc>
          <w:tcPr>
            <w:tcW w:type="dxa" w:w="3600"/>
            <w:vAlign w:val="center"/>
          </w:tcPr>
          <w:p>
            <w:pPr>
              <w:spacing w:after="40" w:line="252" w:lineRule="auto"/>
            </w:pPr>
            <w:r>
              <w:rPr>
                <w:rFonts w:ascii="Calibri" w:hAnsi="Calibri" w:eastAsia="Calibri"/>
                <w:sz w:val="18"/>
              </w:rPr>
              <w:t>Positive breadth, recent 5d</w:t>
            </w:r>
          </w:p>
        </w:tc>
        <w:tc>
          <w:tcPr>
            <w:tcW w:type="dxa" w:w="5760"/>
            <w:vAlign w:val="center"/>
          </w:tcPr>
          <w:p>
            <w:pPr>
              <w:spacing w:after="40" w:line="252" w:lineRule="auto"/>
            </w:pPr>
            <w:r>
              <w:rPr>
                <w:rFonts w:ascii="Calibri" w:hAnsi="Calibri" w:eastAsia="Calibri"/>
                <w:sz w:val="18"/>
              </w:rPr>
              <w:t>70.741%</w:t>
            </w:r>
          </w:p>
        </w:tc>
      </w:tr>
      <w:tr>
        <w:tc>
          <w:tcPr>
            <w:tcW w:type="dxa" w:w="3600"/>
            <w:vAlign w:val="center"/>
          </w:tcPr>
          <w:p>
            <w:pPr>
              <w:spacing w:after="40" w:line="252" w:lineRule="auto"/>
            </w:pPr>
            <w:r>
              <w:rPr>
                <w:rFonts w:ascii="Calibri" w:hAnsi="Calibri" w:eastAsia="Calibri"/>
                <w:sz w:val="18"/>
              </w:rPr>
              <w:t>Holdings / max weight / effective names</w:t>
            </w:r>
          </w:p>
        </w:tc>
        <w:tc>
          <w:tcPr>
            <w:tcW w:type="dxa" w:w="5760"/>
            <w:vAlign w:val="center"/>
          </w:tcPr>
          <w:p>
            <w:pPr>
              <w:spacing w:after="40" w:line="252" w:lineRule="auto"/>
            </w:pPr>
            <w:r>
              <w:rPr>
                <w:rFonts w:ascii="Calibri" w:hAnsi="Calibri" w:eastAsia="Calibri"/>
                <w:sz w:val="18"/>
              </w:rPr>
              <w:t>30 / 6.452% / 22.87</w:t>
            </w:r>
          </w:p>
        </w:tc>
      </w:tr>
    </w:tbl>
    <w:p/>
    <w:p>
      <w:pPr>
        <w:pStyle w:val="Heading1"/>
      </w:pPr>
      <w:r>
        <w:t>3. Results and Self-test</w:t>
      </w:r>
    </w:p>
    <w:p>
      <w:pPr>
        <w:pStyle w:val="Heading2"/>
      </w:pPr>
      <w:r>
        <w:t>3.1 Validation and Test Split</w:t>
      </w:r>
    </w:p>
    <w:p>
      <w:r>
        <w:t>Random splitting would leak information because five-day forward labels overlap across nearby dates. The self-test therefore uses chronological complete Monday-Friday windows. For each as-of date, the model sees only stock and index rows at or before as_of. Inside training, the route uses a trailing validation block and an embargo so that labels near the prediction date do not overlap with the test holding period.</w:t>
      </w:r>
    </w:p>
    <w:tbl>
      <w:tblPr>
        <w:tblStyle w:val="TableGrid"/>
        <w:tblW w:type="dxa" w:w="9360"/>
        <w:jc w:val="left"/>
        <w:tblLook w:firstColumn="1" w:firstRow="1" w:lastColumn="0" w:lastRow="0" w:noHBand="0" w:noVBand="1" w:val="04A0"/>
        <w:tblInd w:w="120" w:type="dxa"/>
      </w:tblPr>
      <w:tblGrid>
        <w:gridCol w:w="2200"/>
        <w:gridCol w:w="4150"/>
        <w:gridCol w:w="3010"/>
      </w:tblGrid>
      <w:tr>
        <w:tc>
          <w:tcPr>
            <w:tcW w:type="dxa" w:w="2200"/>
            <w:vAlign w:val="center"/>
            <w:shd w:fill="F2F4F7"/>
          </w:tcPr>
          <w:p>
            <w:pPr>
              <w:spacing w:after="40" w:line="252" w:lineRule="auto"/>
            </w:pPr>
            <w:r>
              <w:rPr>
                <w:rFonts w:ascii="Calibri" w:hAnsi="Calibri" w:eastAsia="Calibri"/>
                <w:b/>
                <w:color w:val="1F4D78"/>
                <w:sz w:val="18"/>
              </w:rPr>
              <w:t>Split component</w:t>
            </w:r>
          </w:p>
        </w:tc>
        <w:tc>
          <w:tcPr>
            <w:tcW w:type="dxa" w:w="4150"/>
            <w:vAlign w:val="center"/>
            <w:shd w:fill="F2F4F7"/>
          </w:tcPr>
          <w:p>
            <w:pPr>
              <w:spacing w:after="40" w:line="252" w:lineRule="auto"/>
            </w:pPr>
            <w:r>
              <w:rPr>
                <w:rFonts w:ascii="Calibri" w:hAnsi="Calibri" w:eastAsia="Calibri"/>
                <w:b/>
                <w:color w:val="1F4D78"/>
                <w:sz w:val="18"/>
              </w:rPr>
              <w:t>Definition in this project</w:t>
            </w:r>
          </w:p>
        </w:tc>
        <w:tc>
          <w:tcPr>
            <w:tcW w:type="dxa" w:w="3010"/>
            <w:vAlign w:val="center"/>
            <w:shd w:fill="F2F4F7"/>
          </w:tcPr>
          <w:p>
            <w:pPr>
              <w:spacing w:after="40" w:line="252" w:lineRule="auto"/>
            </w:pPr>
            <w:r>
              <w:rPr>
                <w:rFonts w:ascii="Calibri" w:hAnsi="Calibri" w:eastAsia="Calibri"/>
                <w:b/>
                <w:color w:val="1F4D78"/>
                <w:sz w:val="18"/>
              </w:rPr>
              <w:t>Leakage control</w:t>
            </w:r>
          </w:p>
        </w:tc>
      </w:tr>
      <w:tr>
        <w:tc>
          <w:tcPr>
            <w:tcW w:type="dxa" w:w="2200"/>
            <w:vAlign w:val="center"/>
          </w:tcPr>
          <w:p>
            <w:pPr>
              <w:spacing w:after="40" w:line="252" w:lineRule="auto"/>
            </w:pPr>
            <w:r>
              <w:rPr>
                <w:rFonts w:ascii="Calibri" w:hAnsi="Calibri" w:eastAsia="Calibri"/>
                <w:sz w:val="18"/>
              </w:rPr>
              <w:t>Training</w:t>
            </w:r>
          </w:p>
        </w:tc>
        <w:tc>
          <w:tcPr>
            <w:tcW w:type="dxa" w:w="4150"/>
            <w:vAlign w:val="center"/>
          </w:tcPr>
          <w:p>
            <w:pPr>
              <w:spacing w:after="40" w:line="252" w:lineRule="auto"/>
            </w:pPr>
            <w:r>
              <w:rPr>
                <w:rFonts w:ascii="Calibri" w:hAnsi="Calibri" w:eastAsia="Calibri"/>
                <w:sz w:val="18"/>
              </w:rPr>
              <w:t>Historical rows before the internal validation block and before the as-of prediction date</w:t>
            </w:r>
          </w:p>
        </w:tc>
        <w:tc>
          <w:tcPr>
            <w:tcW w:type="dxa" w:w="3010"/>
            <w:vAlign w:val="center"/>
          </w:tcPr>
          <w:p>
            <w:pPr>
              <w:spacing w:after="40" w:line="252" w:lineRule="auto"/>
            </w:pPr>
            <w:r>
              <w:rPr>
                <w:rFonts w:ascii="Calibri" w:hAnsi="Calibri" w:eastAsia="Calibri"/>
                <w:sz w:val="18"/>
              </w:rPr>
              <w:t>No future rows are passed to feature construction; labels use forward shifts only inside historical training rows.</w:t>
            </w:r>
          </w:p>
        </w:tc>
      </w:tr>
      <w:tr>
        <w:tc>
          <w:tcPr>
            <w:tcW w:type="dxa" w:w="2200"/>
            <w:vAlign w:val="center"/>
          </w:tcPr>
          <w:p>
            <w:pPr>
              <w:spacing w:after="40" w:line="252" w:lineRule="auto"/>
            </w:pPr>
            <w:r>
              <w:rPr>
                <w:rFonts w:ascii="Calibri" w:hAnsi="Calibri" w:eastAsia="Calibri"/>
                <w:sz w:val="18"/>
              </w:rPr>
              <w:t>Validation</w:t>
            </w:r>
          </w:p>
        </w:tc>
        <w:tc>
          <w:tcPr>
            <w:tcW w:type="dxa" w:w="4150"/>
            <w:vAlign w:val="center"/>
          </w:tcPr>
          <w:p>
            <w:pPr>
              <w:spacing w:after="40" w:line="252" w:lineRule="auto"/>
            </w:pPr>
            <w:r>
              <w:rPr>
                <w:rFonts w:ascii="Calibri" w:hAnsi="Calibri" w:eastAsia="Calibri"/>
                <w:sz w:val="18"/>
              </w:rPr>
              <w:t>Recent pre-as-of block used by route-specific model/portfolio choices</w:t>
            </w:r>
          </w:p>
        </w:tc>
        <w:tc>
          <w:tcPr>
            <w:tcW w:type="dxa" w:w="3010"/>
            <w:vAlign w:val="center"/>
          </w:tcPr>
          <w:p>
            <w:pPr>
              <w:spacing w:after="40" w:line="252" w:lineRule="auto"/>
            </w:pPr>
            <w:r>
              <w:rPr>
                <w:rFonts w:ascii="Calibri" w:hAnsi="Calibri" w:eastAsia="Calibri"/>
                <w:sz w:val="18"/>
              </w:rPr>
              <w:t>Embargo separates validation/prediction from forward-return labels. Final metadata records train_end and val_start.</w:t>
            </w:r>
          </w:p>
        </w:tc>
      </w:tr>
      <w:tr>
        <w:tc>
          <w:tcPr>
            <w:tcW w:type="dxa" w:w="2200"/>
            <w:vAlign w:val="center"/>
          </w:tcPr>
          <w:p>
            <w:pPr>
              <w:spacing w:after="40" w:line="252" w:lineRule="auto"/>
            </w:pPr>
            <w:r>
              <w:rPr>
                <w:rFonts w:ascii="Calibri" w:hAnsi="Calibri" w:eastAsia="Calibri"/>
                <w:sz w:val="18"/>
              </w:rPr>
              <w:t>Self-test / held-out windows</w:t>
            </w:r>
          </w:p>
        </w:tc>
        <w:tc>
          <w:tcPr>
            <w:tcW w:type="dxa" w:w="4150"/>
            <w:vAlign w:val="center"/>
          </w:tcPr>
          <w:p>
            <w:pPr>
              <w:spacing w:after="40" w:line="252" w:lineRule="auto"/>
            </w:pPr>
            <w:r>
              <w:rPr>
                <w:rFonts w:ascii="Calibri" w:hAnsi="Calibri" w:eastAsia="Calibri"/>
                <w:sz w:val="18"/>
              </w:rPr>
              <w:t>12 complete Monday-Friday five-trading-day windows from 2026-01-12 to 2026-04-24</w:t>
            </w:r>
          </w:p>
        </w:tc>
        <w:tc>
          <w:tcPr>
            <w:tcW w:type="dxa" w:w="3010"/>
            <w:vAlign w:val="center"/>
          </w:tcPr>
          <w:p>
            <w:pPr>
              <w:spacing w:after="40" w:line="252" w:lineRule="auto"/>
            </w:pPr>
            <w:r>
              <w:rPr>
                <w:rFonts w:ascii="Calibri" w:hAnsi="Calibri" w:eastAsia="Calibri"/>
                <w:sz w:val="18"/>
              </w:rPr>
              <w:t>Each test window is strictly after its as-of date and scored only after portfolio generation.</w:t>
            </w:r>
          </w:p>
        </w:tc>
      </w:tr>
      <w:tr>
        <w:tc>
          <w:tcPr>
            <w:tcW w:type="dxa" w:w="2200"/>
            <w:vAlign w:val="center"/>
          </w:tcPr>
          <w:p>
            <w:pPr>
              <w:spacing w:after="40" w:line="252" w:lineRule="auto"/>
            </w:pPr>
            <w:r>
              <w:rPr>
                <w:rFonts w:ascii="Calibri" w:hAnsi="Calibri" w:eastAsia="Calibri"/>
                <w:sz w:val="18"/>
              </w:rPr>
              <w:t>Final submission</w:t>
            </w:r>
          </w:p>
        </w:tc>
        <w:tc>
          <w:tcPr>
            <w:tcW w:type="dxa" w:w="4150"/>
            <w:vAlign w:val="center"/>
          </w:tcPr>
          <w:p>
            <w:pPr>
              <w:spacing w:after="40" w:line="252" w:lineRule="auto"/>
            </w:pPr>
            <w:r>
              <w:rPr>
                <w:rFonts w:ascii="Calibri" w:hAnsi="Calibri" w:eastAsia="Calibri"/>
                <w:sz w:val="18"/>
              </w:rPr>
              <w:t>as_of=2026-05-08, target is the next five trading days</w:t>
            </w:r>
          </w:p>
        </w:tc>
        <w:tc>
          <w:tcPr>
            <w:tcW w:type="dxa" w:w="3010"/>
            <w:vAlign w:val="center"/>
          </w:tcPr>
          <w:p>
            <w:pPr>
              <w:spacing w:after="40" w:line="252" w:lineRule="auto"/>
            </w:pPr>
            <w:r>
              <w:rPr>
                <w:rFonts w:ascii="Calibri" w:hAnsi="Calibri" w:eastAsia="Calibri"/>
                <w:sz w:val="18"/>
              </w:rPr>
              <w:t>The future official window is not in local data, so it is not used in tuning or scoring.</w:t>
            </w:r>
          </w:p>
        </w:tc>
      </w:tr>
    </w:tbl>
    <w:p/>
    <w:p>
      <w:pPr>
        <w:pStyle w:val="Heading2"/>
      </w:pPr>
      <w:r>
        <w:t>3.2 Aggregate Self-test Performance</w:t>
      </w:r>
    </w:p>
    <w:tbl>
      <w:tblPr>
        <w:tblStyle w:val="TableGrid"/>
        <w:tblW w:type="dxa" w:w="9360"/>
        <w:jc w:val="left"/>
        <w:tblLook w:firstColumn="1" w:firstRow="1" w:lastColumn="0" w:lastRow="0" w:noHBand="0" w:noVBand="1" w:val="04A0"/>
        <w:tblInd w:w="120" w:type="dxa"/>
      </w:tblPr>
      <w:tblGrid>
        <w:gridCol w:w="2500"/>
        <w:gridCol w:w="1450"/>
        <w:gridCol w:w="1450"/>
        <w:gridCol w:w="1450"/>
        <w:gridCol w:w="1450"/>
        <w:gridCol w:w="1060"/>
      </w:tblGrid>
      <w:tr>
        <w:tc>
          <w:tcPr>
            <w:tcW w:type="dxa" w:w="2500"/>
            <w:vAlign w:val="center"/>
            <w:shd w:fill="F2F4F7"/>
          </w:tcPr>
          <w:p>
            <w:pPr>
              <w:spacing w:after="40" w:line="252" w:lineRule="auto"/>
            </w:pPr>
            <w:r>
              <w:rPr>
                <w:rFonts w:ascii="Calibri" w:hAnsi="Calibri" w:eastAsia="Calibri"/>
                <w:b/>
                <w:color w:val="1F4D78"/>
                <w:sz w:val="18"/>
              </w:rPr>
              <w:t>Model</w:t>
            </w:r>
          </w:p>
        </w:tc>
        <w:tc>
          <w:tcPr>
            <w:tcW w:type="dxa" w:w="1450"/>
            <w:vAlign w:val="center"/>
            <w:shd w:fill="F2F4F7"/>
          </w:tcPr>
          <w:p>
            <w:pPr>
              <w:spacing w:after="40" w:line="252" w:lineRule="auto"/>
            </w:pPr>
            <w:r>
              <w:rPr>
                <w:rFonts w:ascii="Calibri" w:hAnsi="Calibri" w:eastAsia="Calibri"/>
                <w:b/>
                <w:color w:val="1F4D78"/>
                <w:sz w:val="18"/>
              </w:rPr>
              <w:t>Mean excess</w:t>
            </w:r>
          </w:p>
        </w:tc>
        <w:tc>
          <w:tcPr>
            <w:tcW w:type="dxa" w:w="1450"/>
            <w:vAlign w:val="center"/>
            <w:shd w:fill="F2F4F7"/>
          </w:tcPr>
          <w:p>
            <w:pPr>
              <w:spacing w:after="40" w:line="252" w:lineRule="auto"/>
            </w:pPr>
            <w:r>
              <w:rPr>
                <w:rFonts w:ascii="Calibri" w:hAnsi="Calibri" w:eastAsia="Calibri"/>
                <w:b/>
                <w:color w:val="1F4D78"/>
                <w:sz w:val="18"/>
              </w:rPr>
              <w:t>Median excess</w:t>
            </w:r>
          </w:p>
        </w:tc>
        <w:tc>
          <w:tcPr>
            <w:tcW w:type="dxa" w:w="1450"/>
            <w:vAlign w:val="center"/>
            <w:shd w:fill="F2F4F7"/>
          </w:tcPr>
          <w:p>
            <w:pPr>
              <w:spacing w:after="40" w:line="252" w:lineRule="auto"/>
            </w:pPr>
            <w:r>
              <w:rPr>
                <w:rFonts w:ascii="Calibri" w:hAnsi="Calibri" w:eastAsia="Calibri"/>
                <w:b/>
                <w:color w:val="1F4D78"/>
                <w:sz w:val="18"/>
              </w:rPr>
              <w:t>Min excess</w:t>
            </w:r>
          </w:p>
        </w:tc>
        <w:tc>
          <w:tcPr>
            <w:tcW w:type="dxa" w:w="1450"/>
            <w:vAlign w:val="center"/>
            <w:shd w:fill="F2F4F7"/>
          </w:tcPr>
          <w:p>
            <w:pPr>
              <w:spacing w:after="40" w:line="252" w:lineRule="auto"/>
            </w:pPr>
            <w:r>
              <w:rPr>
                <w:rFonts w:ascii="Calibri" w:hAnsi="Calibri" w:eastAsia="Calibri"/>
                <w:b/>
                <w:color w:val="1F4D78"/>
                <w:sz w:val="18"/>
              </w:rPr>
              <w:t>Max excess</w:t>
            </w:r>
          </w:p>
        </w:tc>
        <w:tc>
          <w:tcPr>
            <w:tcW w:type="dxa" w:w="1060"/>
            <w:vAlign w:val="center"/>
            <w:shd w:fill="F2F4F7"/>
          </w:tcPr>
          <w:p>
            <w:pPr>
              <w:spacing w:after="40" w:line="252" w:lineRule="auto"/>
            </w:pPr>
            <w:r>
              <w:rPr>
                <w:rFonts w:ascii="Calibri" w:hAnsi="Calibri" w:eastAsia="Calibri"/>
                <w:b/>
                <w:color w:val="1F4D78"/>
                <w:sz w:val="18"/>
              </w:rPr>
              <w:t>Negative windows</w:t>
            </w:r>
          </w:p>
        </w:tc>
      </w:tr>
      <w:tr>
        <w:tc>
          <w:tcPr>
            <w:tcW w:type="dxa" w:w="2500"/>
            <w:vAlign w:val="center"/>
          </w:tcPr>
          <w:p>
            <w:pPr>
              <w:spacing w:after="40" w:line="252" w:lineRule="auto"/>
            </w:pPr>
            <w:r>
              <w:rPr>
                <w:rFonts w:ascii="Calibri" w:hAnsi="Calibri" w:eastAsia="Calibri"/>
                <w:sz w:val="18"/>
              </w:rPr>
              <w:t>baseline_guard_adaptive</w:t>
            </w:r>
          </w:p>
        </w:tc>
        <w:tc>
          <w:tcPr>
            <w:tcW w:type="dxa" w:w="1450"/>
            <w:vAlign w:val="center"/>
          </w:tcPr>
          <w:p>
            <w:pPr>
              <w:spacing w:after="40" w:line="252" w:lineRule="auto"/>
            </w:pPr>
            <w:r>
              <w:rPr>
                <w:rFonts w:ascii="Calibri" w:hAnsi="Calibri" w:eastAsia="Calibri"/>
                <w:sz w:val="18"/>
              </w:rPr>
              <w:t>+4.001%</w:t>
            </w:r>
          </w:p>
        </w:tc>
        <w:tc>
          <w:tcPr>
            <w:tcW w:type="dxa" w:w="1450"/>
            <w:vAlign w:val="center"/>
          </w:tcPr>
          <w:p>
            <w:pPr>
              <w:spacing w:after="40" w:line="252" w:lineRule="auto"/>
            </w:pPr>
            <w:r>
              <w:rPr>
                <w:rFonts w:ascii="Calibri" w:hAnsi="Calibri" w:eastAsia="Calibri"/>
                <w:sz w:val="18"/>
              </w:rPr>
              <w:t>+3.001%</w:t>
            </w:r>
          </w:p>
        </w:tc>
        <w:tc>
          <w:tcPr>
            <w:tcW w:type="dxa" w:w="1450"/>
            <w:vAlign w:val="center"/>
          </w:tcPr>
          <w:p>
            <w:pPr>
              <w:spacing w:after="40" w:line="252" w:lineRule="auto"/>
            </w:pPr>
            <w:r>
              <w:rPr>
                <w:rFonts w:ascii="Calibri" w:hAnsi="Calibri" w:eastAsia="Calibri"/>
                <w:sz w:val="18"/>
              </w:rPr>
              <w:t>+0.907%</w:t>
            </w:r>
          </w:p>
        </w:tc>
        <w:tc>
          <w:tcPr>
            <w:tcW w:type="dxa" w:w="1450"/>
            <w:vAlign w:val="center"/>
          </w:tcPr>
          <w:p>
            <w:pPr>
              <w:spacing w:after="40" w:line="252" w:lineRule="auto"/>
            </w:pPr>
            <w:r>
              <w:rPr>
                <w:rFonts w:ascii="Calibri" w:hAnsi="Calibri" w:eastAsia="Calibri"/>
                <w:sz w:val="18"/>
              </w:rPr>
              <w:t>+12.308%</w:t>
            </w:r>
          </w:p>
        </w:tc>
        <w:tc>
          <w:tcPr>
            <w:tcW w:type="dxa" w:w="1060"/>
            <w:vAlign w:val="center"/>
          </w:tcPr>
          <w:p>
            <w:pPr>
              <w:spacing w:after="40" w:line="252" w:lineRule="auto"/>
            </w:pPr>
            <w:r>
              <w:rPr>
                <w:rFonts w:ascii="Calibri" w:hAnsi="Calibri" w:eastAsia="Calibri"/>
                <w:sz w:val="18"/>
              </w:rPr>
              <w:t>0 / 12</w:t>
            </w:r>
          </w:p>
        </w:tc>
      </w:tr>
      <w:tr>
        <w:tc>
          <w:tcPr>
            <w:tcW w:type="dxa" w:w="2500"/>
            <w:vAlign w:val="center"/>
          </w:tcPr>
          <w:p>
            <w:pPr>
              <w:spacing w:after="40" w:line="252" w:lineRule="auto"/>
            </w:pPr>
            <w:r>
              <w:rPr>
                <w:rFonts w:ascii="Calibri" w:hAnsi="Calibri" w:eastAsia="Calibri"/>
                <w:sz w:val="18"/>
              </w:rPr>
              <w:t>baseline_xgb</w:t>
            </w:r>
          </w:p>
        </w:tc>
        <w:tc>
          <w:tcPr>
            <w:tcW w:type="dxa" w:w="1450"/>
            <w:vAlign w:val="center"/>
          </w:tcPr>
          <w:p>
            <w:pPr>
              <w:spacing w:after="40" w:line="252" w:lineRule="auto"/>
            </w:pPr>
            <w:r>
              <w:rPr>
                <w:rFonts w:ascii="Calibri" w:hAnsi="Calibri" w:eastAsia="Calibri"/>
                <w:sz w:val="18"/>
              </w:rPr>
              <w:t>+0.527%</w:t>
            </w:r>
          </w:p>
        </w:tc>
        <w:tc>
          <w:tcPr>
            <w:tcW w:type="dxa" w:w="1450"/>
            <w:vAlign w:val="center"/>
          </w:tcPr>
          <w:p>
            <w:pPr>
              <w:spacing w:after="40" w:line="252" w:lineRule="auto"/>
            </w:pPr>
            <w:r>
              <w:rPr>
                <w:rFonts w:ascii="Calibri" w:hAnsi="Calibri" w:eastAsia="Calibri"/>
                <w:sz w:val="18"/>
              </w:rPr>
              <w:t>+0.264%</w:t>
            </w:r>
          </w:p>
        </w:tc>
        <w:tc>
          <w:tcPr>
            <w:tcW w:type="dxa" w:w="1450"/>
            <w:vAlign w:val="center"/>
          </w:tcPr>
          <w:p>
            <w:pPr>
              <w:spacing w:after="40" w:line="252" w:lineRule="auto"/>
            </w:pPr>
            <w:r>
              <w:rPr>
                <w:rFonts w:ascii="Calibri" w:hAnsi="Calibri" w:eastAsia="Calibri"/>
                <w:sz w:val="18"/>
              </w:rPr>
              <w:t>-1.221%</w:t>
            </w:r>
          </w:p>
        </w:tc>
        <w:tc>
          <w:tcPr>
            <w:tcW w:type="dxa" w:w="1450"/>
            <w:vAlign w:val="center"/>
          </w:tcPr>
          <w:p>
            <w:pPr>
              <w:spacing w:after="40" w:line="252" w:lineRule="auto"/>
            </w:pPr>
            <w:r>
              <w:rPr>
                <w:rFonts w:ascii="Calibri" w:hAnsi="Calibri" w:eastAsia="Calibri"/>
                <w:sz w:val="18"/>
              </w:rPr>
              <w:t>+2.916%</w:t>
            </w:r>
          </w:p>
        </w:tc>
        <w:tc>
          <w:tcPr>
            <w:tcW w:type="dxa" w:w="1060"/>
            <w:vAlign w:val="center"/>
          </w:tcPr>
          <w:p>
            <w:pPr>
              <w:spacing w:after="40" w:line="252" w:lineRule="auto"/>
            </w:pPr>
            <w:r>
              <w:rPr>
                <w:rFonts w:ascii="Calibri" w:hAnsi="Calibri" w:eastAsia="Calibri"/>
                <w:sz w:val="18"/>
              </w:rPr>
              <w:t>5 / 12</w:t>
            </w:r>
          </w:p>
        </w:tc>
      </w:tr>
    </w:tbl>
    <w:p/>
    <w:p>
      <w:r>
        <w:t>The final route exceeded the provided baseline by 3.474 percentage points in mean weekly excess return on the 12-window self-test. More importantly, the baseline had five negative excess windows, while the final route had none. This was the main reason for choosing the regime-gated system over higher-upside but less stable candidates.</w:t>
      </w:r>
    </w:p>
    <w:p>
      <w:pPr>
        <w:pStyle w:val="Heading2"/>
      </w:pPr>
      <w:r>
        <w:t>3.3 Per-window Held-out Results</w:t>
      </w:r>
    </w:p>
    <w:tbl>
      <w:tblPr>
        <w:tblStyle w:val="TableGrid"/>
        <w:tblW w:type="dxa" w:w="8600"/>
        <w:jc w:val="left"/>
        <w:tblLook w:firstColumn="1" w:firstRow="1" w:lastColumn="0" w:lastRow="0" w:noHBand="0" w:noVBand="1" w:val="04A0"/>
        <w:tblInd w:w="120" w:type="dxa"/>
      </w:tblPr>
      <w:tblGrid>
        <w:gridCol w:w="2850"/>
        <w:gridCol w:w="1850"/>
        <w:gridCol w:w="2050"/>
        <w:gridCol w:w="1850"/>
      </w:tblGrid>
      <w:tr>
        <w:tc>
          <w:tcPr>
            <w:tcW w:type="dxa" w:w="2850"/>
            <w:vAlign w:val="center"/>
            <w:shd w:fill="F2F4F7"/>
          </w:tcPr>
          <w:p>
            <w:pPr>
              <w:spacing w:after="40" w:line="252" w:lineRule="auto"/>
            </w:pPr>
            <w:r>
              <w:rPr>
                <w:rFonts w:ascii="Calibri" w:hAnsi="Calibri" w:eastAsia="Calibri"/>
                <w:b/>
                <w:color w:val="1F4D78"/>
                <w:sz w:val="18"/>
              </w:rPr>
              <w:t>Test window</w:t>
            </w:r>
          </w:p>
        </w:tc>
        <w:tc>
          <w:tcPr>
            <w:tcW w:type="dxa" w:w="1850"/>
            <w:vAlign w:val="center"/>
            <w:shd w:fill="F2F4F7"/>
          </w:tcPr>
          <w:p>
            <w:pPr>
              <w:spacing w:after="40" w:line="252" w:lineRule="auto"/>
            </w:pPr>
            <w:r>
              <w:rPr>
                <w:rFonts w:ascii="Calibri" w:hAnsi="Calibri" w:eastAsia="Calibri"/>
                <w:b/>
                <w:color w:val="1F4D78"/>
                <w:sz w:val="18"/>
              </w:rPr>
              <w:t>Baseline excess</w:t>
            </w:r>
          </w:p>
        </w:tc>
        <w:tc>
          <w:tcPr>
            <w:tcW w:type="dxa" w:w="2050"/>
            <w:vAlign w:val="center"/>
            <w:shd w:fill="F2F4F7"/>
          </w:tcPr>
          <w:p>
            <w:pPr>
              <w:spacing w:after="40" w:line="252" w:lineRule="auto"/>
            </w:pPr>
            <w:r>
              <w:rPr>
                <w:rFonts w:ascii="Calibri" w:hAnsi="Calibri" w:eastAsia="Calibri"/>
                <w:b/>
                <w:color w:val="1F4D78"/>
                <w:sz w:val="18"/>
              </w:rPr>
              <w:t>Final route excess</w:t>
            </w:r>
          </w:p>
        </w:tc>
        <w:tc>
          <w:tcPr>
            <w:tcW w:type="dxa" w:w="1850"/>
            <w:vAlign w:val="center"/>
            <w:shd w:fill="F2F4F7"/>
          </w:tcPr>
          <w:p>
            <w:pPr>
              <w:spacing w:after="40" w:line="252" w:lineRule="auto"/>
            </w:pPr>
            <w:r>
              <w:rPr>
                <w:rFonts w:ascii="Calibri" w:hAnsi="Calibri" w:eastAsia="Calibri"/>
                <w:b/>
                <w:color w:val="1F4D78"/>
                <w:sz w:val="18"/>
              </w:rPr>
              <w:t>Difference</w:t>
            </w:r>
          </w:p>
        </w:tc>
      </w:tr>
      <w:tr>
        <w:tc>
          <w:tcPr>
            <w:tcW w:type="dxa" w:w="2850"/>
            <w:vAlign w:val="center"/>
          </w:tcPr>
          <w:p>
            <w:pPr>
              <w:spacing w:after="40" w:line="252" w:lineRule="auto"/>
            </w:pPr>
            <w:r>
              <w:rPr>
                <w:rFonts w:ascii="Calibri" w:hAnsi="Calibri" w:eastAsia="Calibri"/>
                <w:sz w:val="18"/>
              </w:rPr>
              <w:t>2026-01-12 to 2026-01-16</w:t>
            </w:r>
          </w:p>
        </w:tc>
        <w:tc>
          <w:tcPr>
            <w:tcW w:type="dxa" w:w="1850"/>
            <w:vAlign w:val="center"/>
          </w:tcPr>
          <w:p>
            <w:pPr>
              <w:spacing w:after="40" w:line="252" w:lineRule="auto"/>
            </w:pPr>
            <w:r>
              <w:rPr>
                <w:rFonts w:ascii="Calibri" w:hAnsi="Calibri" w:eastAsia="Calibri"/>
                <w:sz w:val="18"/>
              </w:rPr>
              <w:t>+1.356%</w:t>
            </w:r>
          </w:p>
        </w:tc>
        <w:tc>
          <w:tcPr>
            <w:tcW w:type="dxa" w:w="2050"/>
            <w:vAlign w:val="center"/>
          </w:tcPr>
          <w:p>
            <w:pPr>
              <w:spacing w:after="40" w:line="252" w:lineRule="auto"/>
            </w:pPr>
            <w:r>
              <w:rPr>
                <w:rFonts w:ascii="Calibri" w:hAnsi="Calibri" w:eastAsia="Calibri"/>
                <w:sz w:val="18"/>
              </w:rPr>
              <w:t>+2.948%</w:t>
            </w:r>
          </w:p>
        </w:tc>
        <w:tc>
          <w:tcPr>
            <w:tcW w:type="dxa" w:w="1850"/>
            <w:vAlign w:val="center"/>
          </w:tcPr>
          <w:p>
            <w:pPr>
              <w:spacing w:after="40" w:line="252" w:lineRule="auto"/>
            </w:pPr>
            <w:r>
              <w:rPr>
                <w:rFonts w:ascii="Calibri" w:hAnsi="Calibri" w:eastAsia="Calibri"/>
                <w:sz w:val="18"/>
              </w:rPr>
              <w:t>+1.593%</w:t>
            </w:r>
          </w:p>
        </w:tc>
      </w:tr>
      <w:tr>
        <w:tc>
          <w:tcPr>
            <w:tcW w:type="dxa" w:w="2850"/>
            <w:vAlign w:val="center"/>
          </w:tcPr>
          <w:p>
            <w:pPr>
              <w:spacing w:after="40" w:line="252" w:lineRule="auto"/>
            </w:pPr>
            <w:r>
              <w:rPr>
                <w:rFonts w:ascii="Calibri" w:hAnsi="Calibri" w:eastAsia="Calibri"/>
                <w:sz w:val="18"/>
              </w:rPr>
              <w:t>2026-01-19 to 2026-01-23</w:t>
            </w:r>
          </w:p>
        </w:tc>
        <w:tc>
          <w:tcPr>
            <w:tcW w:type="dxa" w:w="1850"/>
            <w:vAlign w:val="center"/>
          </w:tcPr>
          <w:p>
            <w:pPr>
              <w:spacing w:after="40" w:line="252" w:lineRule="auto"/>
            </w:pPr>
            <w:r>
              <w:rPr>
                <w:rFonts w:ascii="Calibri" w:hAnsi="Calibri" w:eastAsia="Calibri"/>
                <w:sz w:val="18"/>
              </w:rPr>
              <w:t>-0.581%</w:t>
            </w:r>
          </w:p>
        </w:tc>
        <w:tc>
          <w:tcPr>
            <w:tcW w:type="dxa" w:w="2050"/>
            <w:vAlign w:val="center"/>
          </w:tcPr>
          <w:p>
            <w:pPr>
              <w:spacing w:after="40" w:line="252" w:lineRule="auto"/>
            </w:pPr>
            <w:r>
              <w:rPr>
                <w:rFonts w:ascii="Calibri" w:hAnsi="Calibri" w:eastAsia="Calibri"/>
                <w:sz w:val="18"/>
              </w:rPr>
              <w:t>+6.633%</w:t>
            </w:r>
          </w:p>
        </w:tc>
        <w:tc>
          <w:tcPr>
            <w:tcW w:type="dxa" w:w="1850"/>
            <w:vAlign w:val="center"/>
          </w:tcPr>
          <w:p>
            <w:pPr>
              <w:spacing w:after="40" w:line="252" w:lineRule="auto"/>
            </w:pPr>
            <w:r>
              <w:rPr>
                <w:rFonts w:ascii="Calibri" w:hAnsi="Calibri" w:eastAsia="Calibri"/>
                <w:sz w:val="18"/>
              </w:rPr>
              <w:t>+7.214%</w:t>
            </w:r>
          </w:p>
        </w:tc>
      </w:tr>
      <w:tr>
        <w:tc>
          <w:tcPr>
            <w:tcW w:type="dxa" w:w="2850"/>
            <w:vAlign w:val="center"/>
          </w:tcPr>
          <w:p>
            <w:pPr>
              <w:spacing w:after="40" w:line="252" w:lineRule="auto"/>
            </w:pPr>
            <w:r>
              <w:rPr>
                <w:rFonts w:ascii="Calibri" w:hAnsi="Calibri" w:eastAsia="Calibri"/>
                <w:sz w:val="18"/>
              </w:rPr>
              <w:t>2026-01-26 to 2026-01-30</w:t>
            </w:r>
          </w:p>
        </w:tc>
        <w:tc>
          <w:tcPr>
            <w:tcW w:type="dxa" w:w="1850"/>
            <w:vAlign w:val="center"/>
          </w:tcPr>
          <w:p>
            <w:pPr>
              <w:spacing w:after="40" w:line="252" w:lineRule="auto"/>
            </w:pPr>
            <w:r>
              <w:rPr>
                <w:rFonts w:ascii="Calibri" w:hAnsi="Calibri" w:eastAsia="Calibri"/>
                <w:sz w:val="18"/>
              </w:rPr>
              <w:t>-0.380%</w:t>
            </w:r>
          </w:p>
        </w:tc>
        <w:tc>
          <w:tcPr>
            <w:tcW w:type="dxa" w:w="2050"/>
            <w:vAlign w:val="center"/>
          </w:tcPr>
          <w:p>
            <w:pPr>
              <w:spacing w:after="40" w:line="252" w:lineRule="auto"/>
            </w:pPr>
            <w:r>
              <w:rPr>
                <w:rFonts w:ascii="Calibri" w:hAnsi="Calibri" w:eastAsia="Calibri"/>
                <w:sz w:val="18"/>
              </w:rPr>
              <w:t>+1.141%</w:t>
            </w:r>
          </w:p>
        </w:tc>
        <w:tc>
          <w:tcPr>
            <w:tcW w:type="dxa" w:w="1850"/>
            <w:vAlign w:val="center"/>
          </w:tcPr>
          <w:p>
            <w:pPr>
              <w:spacing w:after="40" w:line="252" w:lineRule="auto"/>
            </w:pPr>
            <w:r>
              <w:rPr>
                <w:rFonts w:ascii="Calibri" w:hAnsi="Calibri" w:eastAsia="Calibri"/>
                <w:sz w:val="18"/>
              </w:rPr>
              <w:t>+1.521%</w:t>
            </w:r>
          </w:p>
        </w:tc>
      </w:tr>
      <w:tr>
        <w:tc>
          <w:tcPr>
            <w:tcW w:type="dxa" w:w="2850"/>
            <w:vAlign w:val="center"/>
          </w:tcPr>
          <w:p>
            <w:pPr>
              <w:spacing w:after="40" w:line="252" w:lineRule="auto"/>
            </w:pPr>
            <w:r>
              <w:rPr>
                <w:rFonts w:ascii="Calibri" w:hAnsi="Calibri" w:eastAsia="Calibri"/>
                <w:sz w:val="18"/>
              </w:rPr>
              <w:t>2026-02-02 to 2026-02-06</w:t>
            </w:r>
          </w:p>
        </w:tc>
        <w:tc>
          <w:tcPr>
            <w:tcW w:type="dxa" w:w="1850"/>
            <w:vAlign w:val="center"/>
          </w:tcPr>
          <w:p>
            <w:pPr>
              <w:spacing w:after="40" w:line="252" w:lineRule="auto"/>
            </w:pPr>
            <w:r>
              <w:rPr>
                <w:rFonts w:ascii="Calibri" w:hAnsi="Calibri" w:eastAsia="Calibri"/>
                <w:sz w:val="18"/>
              </w:rPr>
              <w:t>-0.228%</w:t>
            </w:r>
          </w:p>
        </w:tc>
        <w:tc>
          <w:tcPr>
            <w:tcW w:type="dxa" w:w="2050"/>
            <w:vAlign w:val="center"/>
          </w:tcPr>
          <w:p>
            <w:pPr>
              <w:spacing w:after="40" w:line="252" w:lineRule="auto"/>
            </w:pPr>
            <w:r>
              <w:rPr>
                <w:rFonts w:ascii="Calibri" w:hAnsi="Calibri" w:eastAsia="Calibri"/>
                <w:sz w:val="18"/>
              </w:rPr>
              <w:t>+2.741%</w:t>
            </w:r>
          </w:p>
        </w:tc>
        <w:tc>
          <w:tcPr>
            <w:tcW w:type="dxa" w:w="1850"/>
            <w:vAlign w:val="center"/>
          </w:tcPr>
          <w:p>
            <w:pPr>
              <w:spacing w:after="40" w:line="252" w:lineRule="auto"/>
            </w:pPr>
            <w:r>
              <w:rPr>
                <w:rFonts w:ascii="Calibri" w:hAnsi="Calibri" w:eastAsia="Calibri"/>
                <w:sz w:val="18"/>
              </w:rPr>
              <w:t>+2.969%</w:t>
            </w:r>
          </w:p>
        </w:tc>
      </w:tr>
      <w:tr>
        <w:tc>
          <w:tcPr>
            <w:tcW w:type="dxa" w:w="2850"/>
            <w:vAlign w:val="center"/>
          </w:tcPr>
          <w:p>
            <w:pPr>
              <w:spacing w:after="40" w:line="252" w:lineRule="auto"/>
            </w:pPr>
            <w:r>
              <w:rPr>
                <w:rFonts w:ascii="Calibri" w:hAnsi="Calibri" w:eastAsia="Calibri"/>
                <w:sz w:val="18"/>
              </w:rPr>
              <w:t>2026-02-09 to 2026-02-13</w:t>
            </w:r>
          </w:p>
        </w:tc>
        <w:tc>
          <w:tcPr>
            <w:tcW w:type="dxa" w:w="1850"/>
            <w:vAlign w:val="center"/>
          </w:tcPr>
          <w:p>
            <w:pPr>
              <w:spacing w:after="40" w:line="252" w:lineRule="auto"/>
            </w:pPr>
            <w:r>
              <w:rPr>
                <w:rFonts w:ascii="Calibri" w:hAnsi="Calibri" w:eastAsia="Calibri"/>
                <w:sz w:val="18"/>
              </w:rPr>
              <w:t>+0.392%</w:t>
            </w:r>
          </w:p>
        </w:tc>
        <w:tc>
          <w:tcPr>
            <w:tcW w:type="dxa" w:w="2050"/>
            <w:vAlign w:val="center"/>
          </w:tcPr>
          <w:p>
            <w:pPr>
              <w:spacing w:after="40" w:line="252" w:lineRule="auto"/>
            </w:pPr>
            <w:r>
              <w:rPr>
                <w:rFonts w:ascii="Calibri" w:hAnsi="Calibri" w:eastAsia="Calibri"/>
                <w:sz w:val="18"/>
              </w:rPr>
              <w:t>+6.872%</w:t>
            </w:r>
          </w:p>
        </w:tc>
        <w:tc>
          <w:tcPr>
            <w:tcW w:type="dxa" w:w="1850"/>
            <w:vAlign w:val="center"/>
          </w:tcPr>
          <w:p>
            <w:pPr>
              <w:spacing w:after="40" w:line="252" w:lineRule="auto"/>
            </w:pPr>
            <w:r>
              <w:rPr>
                <w:rFonts w:ascii="Calibri" w:hAnsi="Calibri" w:eastAsia="Calibri"/>
                <w:sz w:val="18"/>
              </w:rPr>
              <w:t>+6.480%</w:t>
            </w:r>
          </w:p>
        </w:tc>
      </w:tr>
      <w:tr>
        <w:tc>
          <w:tcPr>
            <w:tcW w:type="dxa" w:w="2850"/>
            <w:vAlign w:val="center"/>
          </w:tcPr>
          <w:p>
            <w:pPr>
              <w:spacing w:after="40" w:line="252" w:lineRule="auto"/>
            </w:pPr>
            <w:r>
              <w:rPr>
                <w:rFonts w:ascii="Calibri" w:hAnsi="Calibri" w:eastAsia="Calibri"/>
                <w:sz w:val="18"/>
              </w:rPr>
              <w:t>2026-03-02 to 2026-03-06</w:t>
            </w:r>
          </w:p>
        </w:tc>
        <w:tc>
          <w:tcPr>
            <w:tcW w:type="dxa" w:w="1850"/>
            <w:vAlign w:val="center"/>
          </w:tcPr>
          <w:p>
            <w:pPr>
              <w:spacing w:after="40" w:line="252" w:lineRule="auto"/>
            </w:pPr>
            <w:r>
              <w:rPr>
                <w:rFonts w:ascii="Calibri" w:hAnsi="Calibri" w:eastAsia="Calibri"/>
                <w:sz w:val="18"/>
              </w:rPr>
              <w:t>-1.221%</w:t>
            </w:r>
          </w:p>
        </w:tc>
        <w:tc>
          <w:tcPr>
            <w:tcW w:type="dxa" w:w="2050"/>
            <w:vAlign w:val="center"/>
          </w:tcPr>
          <w:p>
            <w:pPr>
              <w:spacing w:after="40" w:line="252" w:lineRule="auto"/>
            </w:pPr>
            <w:r>
              <w:rPr>
                <w:rFonts w:ascii="Calibri" w:hAnsi="Calibri" w:eastAsia="Calibri"/>
                <w:sz w:val="18"/>
              </w:rPr>
              <w:t>+3.253%</w:t>
            </w:r>
          </w:p>
        </w:tc>
        <w:tc>
          <w:tcPr>
            <w:tcW w:type="dxa" w:w="1850"/>
            <w:vAlign w:val="center"/>
          </w:tcPr>
          <w:p>
            <w:pPr>
              <w:spacing w:after="40" w:line="252" w:lineRule="auto"/>
            </w:pPr>
            <w:r>
              <w:rPr>
                <w:rFonts w:ascii="Calibri" w:hAnsi="Calibri" w:eastAsia="Calibri"/>
                <w:sz w:val="18"/>
              </w:rPr>
              <w:t>+4.474%</w:t>
            </w:r>
          </w:p>
        </w:tc>
      </w:tr>
      <w:tr>
        <w:tc>
          <w:tcPr>
            <w:tcW w:type="dxa" w:w="2850"/>
            <w:vAlign w:val="center"/>
          </w:tcPr>
          <w:p>
            <w:pPr>
              <w:spacing w:after="40" w:line="252" w:lineRule="auto"/>
            </w:pPr>
            <w:r>
              <w:rPr>
                <w:rFonts w:ascii="Calibri" w:hAnsi="Calibri" w:eastAsia="Calibri"/>
                <w:sz w:val="18"/>
              </w:rPr>
              <w:t>2026-03-09 to 2026-03-13</w:t>
            </w:r>
          </w:p>
        </w:tc>
        <w:tc>
          <w:tcPr>
            <w:tcW w:type="dxa" w:w="1850"/>
            <w:vAlign w:val="center"/>
          </w:tcPr>
          <w:p>
            <w:pPr>
              <w:spacing w:after="40" w:line="252" w:lineRule="auto"/>
            </w:pPr>
            <w:r>
              <w:rPr>
                <w:rFonts w:ascii="Calibri" w:hAnsi="Calibri" w:eastAsia="Calibri"/>
                <w:sz w:val="18"/>
              </w:rPr>
              <w:t>+0.136%</w:t>
            </w:r>
          </w:p>
        </w:tc>
        <w:tc>
          <w:tcPr>
            <w:tcW w:type="dxa" w:w="2050"/>
            <w:vAlign w:val="center"/>
          </w:tcPr>
          <w:p>
            <w:pPr>
              <w:spacing w:after="40" w:line="252" w:lineRule="auto"/>
            </w:pPr>
            <w:r>
              <w:rPr>
                <w:rFonts w:ascii="Calibri" w:hAnsi="Calibri" w:eastAsia="Calibri"/>
                <w:sz w:val="18"/>
              </w:rPr>
              <w:t>+12.308%</w:t>
            </w:r>
          </w:p>
        </w:tc>
        <w:tc>
          <w:tcPr>
            <w:tcW w:type="dxa" w:w="1850"/>
            <w:vAlign w:val="center"/>
          </w:tcPr>
          <w:p>
            <w:pPr>
              <w:spacing w:after="40" w:line="252" w:lineRule="auto"/>
            </w:pPr>
            <w:r>
              <w:rPr>
                <w:rFonts w:ascii="Calibri" w:hAnsi="Calibri" w:eastAsia="Calibri"/>
                <w:sz w:val="18"/>
              </w:rPr>
              <w:t>+12.172%</w:t>
            </w:r>
          </w:p>
        </w:tc>
      </w:tr>
      <w:tr>
        <w:tc>
          <w:tcPr>
            <w:tcW w:type="dxa" w:w="2850"/>
            <w:vAlign w:val="center"/>
          </w:tcPr>
          <w:p>
            <w:pPr>
              <w:spacing w:after="40" w:line="252" w:lineRule="auto"/>
            </w:pPr>
            <w:r>
              <w:rPr>
                <w:rFonts w:ascii="Calibri" w:hAnsi="Calibri" w:eastAsia="Calibri"/>
                <w:sz w:val="18"/>
              </w:rPr>
              <w:t>2026-03-16 to 2026-03-20</w:t>
            </w:r>
          </w:p>
        </w:tc>
        <w:tc>
          <w:tcPr>
            <w:tcW w:type="dxa" w:w="1850"/>
            <w:vAlign w:val="center"/>
          </w:tcPr>
          <w:p>
            <w:pPr>
              <w:spacing w:after="40" w:line="252" w:lineRule="auto"/>
            </w:pPr>
            <w:r>
              <w:rPr>
                <w:rFonts w:ascii="Calibri" w:hAnsi="Calibri" w:eastAsia="Calibri"/>
                <w:sz w:val="18"/>
              </w:rPr>
              <w:t>+1.325%</w:t>
            </w:r>
          </w:p>
        </w:tc>
        <w:tc>
          <w:tcPr>
            <w:tcW w:type="dxa" w:w="2050"/>
            <w:vAlign w:val="center"/>
          </w:tcPr>
          <w:p>
            <w:pPr>
              <w:spacing w:after="40" w:line="252" w:lineRule="auto"/>
            </w:pPr>
            <w:r>
              <w:rPr>
                <w:rFonts w:ascii="Calibri" w:hAnsi="Calibri" w:eastAsia="Calibri"/>
                <w:sz w:val="18"/>
              </w:rPr>
              <w:t>+2.211%</w:t>
            </w:r>
          </w:p>
        </w:tc>
        <w:tc>
          <w:tcPr>
            <w:tcW w:type="dxa" w:w="1850"/>
            <w:vAlign w:val="center"/>
          </w:tcPr>
          <w:p>
            <w:pPr>
              <w:spacing w:after="40" w:line="252" w:lineRule="auto"/>
            </w:pPr>
            <w:r>
              <w:rPr>
                <w:rFonts w:ascii="Calibri" w:hAnsi="Calibri" w:eastAsia="Calibri"/>
                <w:sz w:val="18"/>
              </w:rPr>
              <w:t>+0.886%</w:t>
            </w:r>
          </w:p>
        </w:tc>
      </w:tr>
      <w:tr>
        <w:tc>
          <w:tcPr>
            <w:tcW w:type="dxa" w:w="2850"/>
            <w:vAlign w:val="center"/>
          </w:tcPr>
          <w:p>
            <w:pPr>
              <w:spacing w:after="40" w:line="252" w:lineRule="auto"/>
            </w:pPr>
            <w:r>
              <w:rPr>
                <w:rFonts w:ascii="Calibri" w:hAnsi="Calibri" w:eastAsia="Calibri"/>
                <w:sz w:val="18"/>
              </w:rPr>
              <w:t>2026-03-23 to 2026-03-27</w:t>
            </w:r>
          </w:p>
        </w:tc>
        <w:tc>
          <w:tcPr>
            <w:tcW w:type="dxa" w:w="1850"/>
            <w:vAlign w:val="center"/>
          </w:tcPr>
          <w:p>
            <w:pPr>
              <w:spacing w:after="40" w:line="252" w:lineRule="auto"/>
            </w:pPr>
            <w:r>
              <w:rPr>
                <w:rFonts w:ascii="Calibri" w:hAnsi="Calibri" w:eastAsia="Calibri"/>
                <w:sz w:val="18"/>
              </w:rPr>
              <w:t>+2.916%</w:t>
            </w:r>
          </w:p>
        </w:tc>
        <w:tc>
          <w:tcPr>
            <w:tcW w:type="dxa" w:w="2050"/>
            <w:vAlign w:val="center"/>
          </w:tcPr>
          <w:p>
            <w:pPr>
              <w:spacing w:after="40" w:line="252" w:lineRule="auto"/>
            </w:pPr>
            <w:r>
              <w:rPr>
                <w:rFonts w:ascii="Calibri" w:hAnsi="Calibri" w:eastAsia="Calibri"/>
                <w:sz w:val="18"/>
              </w:rPr>
              <w:t>+3.098%</w:t>
            </w:r>
          </w:p>
        </w:tc>
        <w:tc>
          <w:tcPr>
            <w:tcW w:type="dxa" w:w="1850"/>
            <w:vAlign w:val="center"/>
          </w:tcPr>
          <w:p>
            <w:pPr>
              <w:spacing w:after="40" w:line="252" w:lineRule="auto"/>
            </w:pPr>
            <w:r>
              <w:rPr>
                <w:rFonts w:ascii="Calibri" w:hAnsi="Calibri" w:eastAsia="Calibri"/>
                <w:sz w:val="18"/>
              </w:rPr>
              <w:t>+0.182%</w:t>
            </w:r>
          </w:p>
        </w:tc>
      </w:tr>
      <w:tr>
        <w:tc>
          <w:tcPr>
            <w:tcW w:type="dxa" w:w="2850"/>
            <w:vAlign w:val="center"/>
          </w:tcPr>
          <w:p>
            <w:pPr>
              <w:spacing w:after="40" w:line="252" w:lineRule="auto"/>
            </w:pPr>
            <w:r>
              <w:rPr>
                <w:rFonts w:ascii="Calibri" w:hAnsi="Calibri" w:eastAsia="Calibri"/>
                <w:sz w:val="18"/>
              </w:rPr>
              <w:t>2026-03-30 to 2026-04-03</w:t>
            </w:r>
          </w:p>
        </w:tc>
        <w:tc>
          <w:tcPr>
            <w:tcW w:type="dxa" w:w="1850"/>
            <w:vAlign w:val="center"/>
          </w:tcPr>
          <w:p>
            <w:pPr>
              <w:spacing w:after="40" w:line="252" w:lineRule="auto"/>
            </w:pPr>
            <w:r>
              <w:rPr>
                <w:rFonts w:ascii="Calibri" w:hAnsi="Calibri" w:eastAsia="Calibri"/>
                <w:sz w:val="18"/>
              </w:rPr>
              <w:t>-0.392%</w:t>
            </w:r>
          </w:p>
        </w:tc>
        <w:tc>
          <w:tcPr>
            <w:tcW w:type="dxa" w:w="2050"/>
            <w:vAlign w:val="center"/>
          </w:tcPr>
          <w:p>
            <w:pPr>
              <w:spacing w:after="40" w:line="252" w:lineRule="auto"/>
            </w:pPr>
            <w:r>
              <w:rPr>
                <w:rFonts w:ascii="Calibri" w:hAnsi="Calibri" w:eastAsia="Calibri"/>
                <w:sz w:val="18"/>
              </w:rPr>
              <w:t>+0.907%</w:t>
            </w:r>
          </w:p>
        </w:tc>
        <w:tc>
          <w:tcPr>
            <w:tcW w:type="dxa" w:w="1850"/>
            <w:vAlign w:val="center"/>
          </w:tcPr>
          <w:p>
            <w:pPr>
              <w:spacing w:after="40" w:line="252" w:lineRule="auto"/>
            </w:pPr>
            <w:r>
              <w:rPr>
                <w:rFonts w:ascii="Calibri" w:hAnsi="Calibri" w:eastAsia="Calibri"/>
                <w:sz w:val="18"/>
              </w:rPr>
              <w:t>+1.298%</w:t>
            </w:r>
          </w:p>
        </w:tc>
      </w:tr>
      <w:tr>
        <w:tc>
          <w:tcPr>
            <w:tcW w:type="dxa" w:w="2850"/>
            <w:vAlign w:val="center"/>
          </w:tcPr>
          <w:p>
            <w:pPr>
              <w:spacing w:after="40" w:line="252" w:lineRule="auto"/>
            </w:pPr>
            <w:r>
              <w:rPr>
                <w:rFonts w:ascii="Calibri" w:hAnsi="Calibri" w:eastAsia="Calibri"/>
                <w:sz w:val="18"/>
              </w:rPr>
              <w:t>2026-04-13 to 2026-04-17</w:t>
            </w:r>
          </w:p>
        </w:tc>
        <w:tc>
          <w:tcPr>
            <w:tcW w:type="dxa" w:w="1850"/>
            <w:vAlign w:val="center"/>
          </w:tcPr>
          <w:p>
            <w:pPr>
              <w:spacing w:after="40" w:line="252" w:lineRule="auto"/>
            </w:pPr>
            <w:r>
              <w:rPr>
                <w:rFonts w:ascii="Calibri" w:hAnsi="Calibri" w:eastAsia="Calibri"/>
                <w:sz w:val="18"/>
              </w:rPr>
              <w:t>+1.830%</w:t>
            </w:r>
          </w:p>
        </w:tc>
        <w:tc>
          <w:tcPr>
            <w:tcW w:type="dxa" w:w="2050"/>
            <w:vAlign w:val="center"/>
          </w:tcPr>
          <w:p>
            <w:pPr>
              <w:spacing w:after="40" w:line="252" w:lineRule="auto"/>
            </w:pPr>
            <w:r>
              <w:rPr>
                <w:rFonts w:ascii="Calibri" w:hAnsi="Calibri" w:eastAsia="Calibri"/>
                <w:sz w:val="18"/>
              </w:rPr>
              <w:t>+2.841%</w:t>
            </w:r>
          </w:p>
        </w:tc>
        <w:tc>
          <w:tcPr>
            <w:tcW w:type="dxa" w:w="1850"/>
            <w:vAlign w:val="center"/>
          </w:tcPr>
          <w:p>
            <w:pPr>
              <w:spacing w:after="40" w:line="252" w:lineRule="auto"/>
            </w:pPr>
            <w:r>
              <w:rPr>
                <w:rFonts w:ascii="Calibri" w:hAnsi="Calibri" w:eastAsia="Calibri"/>
                <w:sz w:val="18"/>
              </w:rPr>
              <w:t>+1.011%</w:t>
            </w:r>
          </w:p>
        </w:tc>
      </w:tr>
      <w:tr>
        <w:tc>
          <w:tcPr>
            <w:tcW w:type="dxa" w:w="2850"/>
            <w:vAlign w:val="center"/>
          </w:tcPr>
          <w:p>
            <w:pPr>
              <w:spacing w:after="40" w:line="252" w:lineRule="auto"/>
            </w:pPr>
            <w:r>
              <w:rPr>
                <w:rFonts w:ascii="Calibri" w:hAnsi="Calibri" w:eastAsia="Calibri"/>
                <w:sz w:val="18"/>
              </w:rPr>
              <w:t>2026-04-20 to 2026-04-24</w:t>
            </w:r>
          </w:p>
        </w:tc>
        <w:tc>
          <w:tcPr>
            <w:tcW w:type="dxa" w:w="1850"/>
            <w:vAlign w:val="center"/>
          </w:tcPr>
          <w:p>
            <w:pPr>
              <w:spacing w:after="40" w:line="252" w:lineRule="auto"/>
            </w:pPr>
            <w:r>
              <w:rPr>
                <w:rFonts w:ascii="Calibri" w:hAnsi="Calibri" w:eastAsia="Calibri"/>
                <w:sz w:val="18"/>
              </w:rPr>
              <w:t>+1.170%</w:t>
            </w:r>
          </w:p>
        </w:tc>
        <w:tc>
          <w:tcPr>
            <w:tcW w:type="dxa" w:w="2050"/>
            <w:vAlign w:val="center"/>
          </w:tcPr>
          <w:p>
            <w:pPr>
              <w:spacing w:after="40" w:line="252" w:lineRule="auto"/>
            </w:pPr>
            <w:r>
              <w:rPr>
                <w:rFonts w:ascii="Calibri" w:hAnsi="Calibri" w:eastAsia="Calibri"/>
                <w:sz w:val="18"/>
              </w:rPr>
              <w:t>+3.054%</w:t>
            </w:r>
          </w:p>
        </w:tc>
        <w:tc>
          <w:tcPr>
            <w:tcW w:type="dxa" w:w="1850"/>
            <w:vAlign w:val="center"/>
          </w:tcPr>
          <w:p>
            <w:pPr>
              <w:spacing w:after="40" w:line="252" w:lineRule="auto"/>
            </w:pPr>
            <w:r>
              <w:rPr>
                <w:rFonts w:ascii="Calibri" w:hAnsi="Calibri" w:eastAsia="Calibri"/>
                <w:sz w:val="18"/>
              </w:rPr>
              <w:t>+1.884%</w:t>
            </w:r>
          </w:p>
        </w:tc>
      </w:tr>
    </w:tbl>
    <w:p/>
    <w:p>
      <w:pPr>
        <w:pStyle w:val="Heading2"/>
      </w:pPr>
      <w:r>
        <w:t>3.4 Stage1 versus Stage2 Context</w:t>
      </w:r>
    </w:p>
    <w:p>
      <w:r>
        <w:t>Stage1 used a three-trading-day target. The archived final Stage1 route was the guarded ensemble portfolio now stored as stage1_report/stage1_final_portfolio.csv. Stage1 was useful because it exposed the danger of horizon-specific overfitting: LSTM-heavy short-window portfolios could look strong locally but did not remain reliable after the Stage2 objective shifted back to five-day full-week behavior.</w:t>
      </w:r>
    </w:p>
    <w:p>
      <w:pPr>
        <w:pStyle w:val="Heading1"/>
      </w:pPr>
      <w:r>
        <w:t>4. Analysis</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shd w:fill="F2F4F7"/>
          </w:tcPr>
          <w:p>
            <w:pPr>
              <w:spacing w:after="40" w:line="252" w:lineRule="auto"/>
            </w:pPr>
            <w:r>
              <w:rPr>
                <w:rFonts w:ascii="Calibri" w:hAnsi="Calibri" w:eastAsia="Calibri"/>
                <w:b/>
                <w:color w:val="1F4D78"/>
                <w:sz w:val="18"/>
              </w:rPr>
              <w:t>Worked</w:t>
            </w:r>
          </w:p>
        </w:tc>
        <w:tc>
          <w:tcPr>
            <w:tcW w:type="dxa" w:w="6660"/>
            <w:vAlign w:val="center"/>
            <w:shd w:fill="F2F4F7"/>
          </w:tcPr>
          <w:p>
            <w:pPr>
              <w:spacing w:after="40" w:line="252" w:lineRule="auto"/>
            </w:pPr>
            <w:r>
              <w:rPr>
                <w:rFonts w:ascii="Calibri" w:hAnsi="Calibri" w:eastAsia="Calibri"/>
                <w:b/>
                <w:color w:val="1F4D78"/>
                <w:sz w:val="18"/>
              </w:rPr>
              <w:t>Why it worked</w:t>
            </w:r>
          </w:p>
        </w:tc>
      </w:tr>
      <w:tr>
        <w:tc>
          <w:tcPr>
            <w:tcW w:type="dxa" w:w="2700"/>
            <w:vAlign w:val="center"/>
          </w:tcPr>
          <w:p>
            <w:pPr>
              <w:spacing w:after="40" w:line="252" w:lineRule="auto"/>
            </w:pPr>
            <w:r>
              <w:rPr>
                <w:rFonts w:ascii="Calibri" w:hAnsi="Calibri" w:eastAsia="Calibri"/>
                <w:sz w:val="18"/>
              </w:rPr>
              <w:t>Chronological full-week self-test</w:t>
            </w:r>
          </w:p>
        </w:tc>
        <w:tc>
          <w:tcPr>
            <w:tcW w:type="dxa" w:w="6660"/>
            <w:vAlign w:val="center"/>
          </w:tcPr>
          <w:p>
            <w:pPr>
              <w:spacing w:after="40" w:line="252" w:lineRule="auto"/>
            </w:pPr>
            <w:r>
              <w:rPr>
                <w:rFonts w:ascii="Calibri" w:hAnsi="Calibri" w:eastAsia="Calibri"/>
                <w:sz w:val="18"/>
              </w:rPr>
              <w:t>It aligned validation with the final Stage2 cadence and corrected earlier optimistic results from weekend-crossing windows.</w:t>
            </w:r>
          </w:p>
        </w:tc>
      </w:tr>
      <w:tr>
        <w:tc>
          <w:tcPr>
            <w:tcW w:type="dxa" w:w="2700"/>
            <w:vAlign w:val="center"/>
          </w:tcPr>
          <w:p>
            <w:pPr>
              <w:spacing w:after="40" w:line="252" w:lineRule="auto"/>
            </w:pPr>
            <w:r>
              <w:rPr>
                <w:rFonts w:ascii="Calibri" w:hAnsi="Calibri" w:eastAsia="Calibri"/>
                <w:sz w:val="18"/>
              </w:rPr>
              <w:t>Regime gating</w:t>
            </w:r>
          </w:p>
        </w:tc>
        <w:tc>
          <w:tcPr>
            <w:tcW w:type="dxa" w:w="6660"/>
            <w:vAlign w:val="center"/>
          </w:tcPr>
          <w:p>
            <w:pPr>
              <w:spacing w:after="40" w:line="252" w:lineRule="auto"/>
            </w:pPr>
            <w:r>
              <w:rPr>
                <w:rFonts w:ascii="Calibri" w:hAnsi="Calibri" w:eastAsia="Calibri"/>
                <w:sz w:val="18"/>
              </w:rPr>
              <w:t>Different experts are useful in different tapes; one global model was unstable across rally, selloff, and rebound regimes.</w:t>
            </w:r>
          </w:p>
        </w:tc>
      </w:tr>
      <w:tr>
        <w:tc>
          <w:tcPr>
            <w:tcW w:type="dxa" w:w="2700"/>
            <w:vAlign w:val="center"/>
          </w:tcPr>
          <w:p>
            <w:pPr>
              <w:spacing w:after="40" w:line="252" w:lineRule="auto"/>
            </w:pPr>
            <w:r>
              <w:rPr>
                <w:rFonts w:ascii="Calibri" w:hAnsi="Calibri" w:eastAsia="Calibri"/>
                <w:sz w:val="18"/>
              </w:rPr>
              <w:t>Tree-based core</w:t>
            </w:r>
          </w:p>
        </w:tc>
        <w:tc>
          <w:tcPr>
            <w:tcW w:type="dxa" w:w="6660"/>
            <w:vAlign w:val="center"/>
          </w:tcPr>
          <w:p>
            <w:pPr>
              <w:spacing w:after="40" w:line="252" w:lineRule="auto"/>
            </w:pPr>
            <w:r>
              <w:rPr>
                <w:rFonts w:ascii="Calibri" w:hAnsi="Calibri" w:eastAsia="Calibri"/>
                <w:sz w:val="18"/>
              </w:rPr>
              <w:t>XGBoost/LightGBM handled small noisy tabular data better than data-hungry deep models.</w:t>
            </w:r>
          </w:p>
        </w:tc>
      </w:tr>
      <w:tr>
        <w:tc>
          <w:tcPr>
            <w:tcW w:type="dxa" w:w="2700"/>
            <w:vAlign w:val="center"/>
          </w:tcPr>
          <w:p>
            <w:pPr>
              <w:spacing w:after="40" w:line="252" w:lineRule="auto"/>
            </w:pPr>
            <w:r>
              <w:rPr>
                <w:rFonts w:ascii="Calibri" w:hAnsi="Calibri" w:eastAsia="Calibri"/>
                <w:sz w:val="18"/>
              </w:rPr>
              <w:t>Rank-weighted portfolio layer</w:t>
            </w:r>
          </w:p>
        </w:tc>
        <w:tc>
          <w:tcPr>
            <w:tcW w:type="dxa" w:w="6660"/>
            <w:vAlign w:val="center"/>
          </w:tcPr>
          <w:p>
            <w:pPr>
              <w:spacing w:after="40" w:line="252" w:lineRule="auto"/>
            </w:pPr>
            <w:r>
              <w:rPr>
                <w:rFonts w:ascii="Calibri" w:hAnsi="Calibri" w:eastAsia="Calibri"/>
                <w:sz w:val="18"/>
              </w:rPr>
              <w:t>It avoided equal-weight dilution while staying under the single-name cap.</w:t>
            </w:r>
          </w:p>
        </w:tc>
      </w:tr>
      <w:tr>
        <w:tc>
          <w:tcPr>
            <w:tcW w:type="dxa" w:w="2700"/>
            <w:vAlign w:val="center"/>
          </w:tcPr>
          <w:p>
            <w:pPr>
              <w:spacing w:after="40" w:line="252" w:lineRule="auto"/>
            </w:pPr>
            <w:r>
              <w:rPr>
                <w:rFonts w:ascii="Calibri" w:hAnsi="Calibri" w:eastAsia="Calibri"/>
                <w:sz w:val="18"/>
              </w:rPr>
              <w:t>Dynamic leakage audit</w:t>
            </w:r>
          </w:p>
        </w:tc>
        <w:tc>
          <w:tcPr>
            <w:tcW w:type="dxa" w:w="6660"/>
            <w:vAlign w:val="center"/>
          </w:tcPr>
          <w:p>
            <w:pPr>
              <w:spacing w:after="40" w:line="252" w:lineRule="auto"/>
            </w:pPr>
            <w:r>
              <w:rPr>
                <w:rFonts w:ascii="Calibri" w:hAnsi="Calibri" w:eastAsia="Calibri"/>
                <w:sz w:val="18"/>
              </w:rPr>
              <w:t>Full-data and physically truncated as-of generation matched exactly, giving confidence that future rows were not used.</w:t>
            </w:r>
          </w:p>
        </w:tc>
      </w:tr>
    </w:tbl>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shd w:fill="F2F4F7"/>
          </w:tcPr>
          <w:p>
            <w:pPr>
              <w:spacing w:after="40" w:line="252" w:lineRule="auto"/>
            </w:pPr>
            <w:r>
              <w:rPr>
                <w:rFonts w:ascii="Calibri" w:hAnsi="Calibri" w:eastAsia="Calibri"/>
                <w:b/>
                <w:color w:val="1F4D78"/>
                <w:sz w:val="18"/>
              </w:rPr>
              <w:t>Did not work</w:t>
            </w:r>
          </w:p>
        </w:tc>
        <w:tc>
          <w:tcPr>
            <w:tcW w:type="dxa" w:w="6660"/>
            <w:vAlign w:val="center"/>
            <w:shd w:fill="F2F4F7"/>
          </w:tcPr>
          <w:p>
            <w:pPr>
              <w:spacing w:after="40" w:line="252" w:lineRule="auto"/>
            </w:pPr>
            <w:r>
              <w:rPr>
                <w:rFonts w:ascii="Calibri" w:hAnsi="Calibri" w:eastAsia="Calibri"/>
                <w:b/>
                <w:color w:val="1F4D78"/>
                <w:sz w:val="18"/>
              </w:rPr>
              <w:t>Why it was rejected or limited</w:t>
            </w:r>
          </w:p>
        </w:tc>
      </w:tr>
      <w:tr>
        <w:tc>
          <w:tcPr>
            <w:tcW w:type="dxa" w:w="2700"/>
            <w:vAlign w:val="center"/>
          </w:tcPr>
          <w:p>
            <w:pPr>
              <w:spacing w:after="40" w:line="252" w:lineRule="auto"/>
            </w:pPr>
            <w:r>
              <w:rPr>
                <w:rFonts w:ascii="Calibri" w:hAnsi="Calibri" w:eastAsia="Calibri"/>
                <w:sz w:val="18"/>
              </w:rPr>
              <w:t>Directly learning final weights</w:t>
            </w:r>
          </w:p>
        </w:tc>
        <w:tc>
          <w:tcPr>
            <w:tcW w:type="dxa" w:w="6660"/>
            <w:vAlign w:val="center"/>
          </w:tcPr>
          <w:p>
            <w:pPr>
              <w:spacing w:after="40" w:line="252" w:lineRule="auto"/>
            </w:pPr>
            <w:r>
              <w:rPr>
                <w:rFonts w:ascii="Calibri" w:hAnsi="Calibri" w:eastAsia="Calibri"/>
                <w:sz w:val="18"/>
              </w:rPr>
              <w:t>The target was noisy and sometimes produced unstable or overly uniform weights. Ranking plus a controlled portfolio layer was easier to validate.</w:t>
            </w:r>
          </w:p>
        </w:tc>
      </w:tr>
      <w:tr>
        <w:tc>
          <w:tcPr>
            <w:tcW w:type="dxa" w:w="2700"/>
            <w:vAlign w:val="center"/>
          </w:tcPr>
          <w:p>
            <w:pPr>
              <w:spacing w:after="40" w:line="252" w:lineRule="auto"/>
            </w:pPr>
            <w:r>
              <w:rPr>
                <w:rFonts w:ascii="Calibri" w:hAnsi="Calibri" w:eastAsia="Calibri"/>
                <w:sz w:val="18"/>
              </w:rPr>
              <w:t>LSTM as final backbone</w:t>
            </w:r>
          </w:p>
        </w:tc>
        <w:tc>
          <w:tcPr>
            <w:tcW w:type="dxa" w:w="6660"/>
            <w:vAlign w:val="center"/>
          </w:tcPr>
          <w:p>
            <w:pPr>
              <w:spacing w:after="40" w:line="252" w:lineRule="auto"/>
            </w:pPr>
            <w:r>
              <w:rPr>
                <w:rFonts w:ascii="Calibri" w:hAnsi="Calibri" w:eastAsia="Calibri"/>
                <w:sz w:val="18"/>
              </w:rPr>
              <w:t>It captured bursts in short windows but showed regime instability on the corrected five-day full-week objective.</w:t>
            </w:r>
          </w:p>
        </w:tc>
      </w:tr>
      <w:tr>
        <w:tc>
          <w:tcPr>
            <w:tcW w:type="dxa" w:w="2700"/>
            <w:vAlign w:val="center"/>
          </w:tcPr>
          <w:p>
            <w:pPr>
              <w:spacing w:after="40" w:line="252" w:lineRule="auto"/>
            </w:pPr>
            <w:r>
              <w:rPr>
                <w:rFonts w:ascii="Calibri" w:hAnsi="Calibri" w:eastAsia="Calibri"/>
                <w:sz w:val="18"/>
              </w:rPr>
              <w:t>Open-data enhancement</w:t>
            </w:r>
          </w:p>
        </w:tc>
        <w:tc>
          <w:tcPr>
            <w:tcW w:type="dxa" w:w="6660"/>
            <w:vAlign w:val="center"/>
          </w:tcPr>
          <w:p>
            <w:pPr>
              <w:spacing w:after="40" w:line="252" w:lineRule="auto"/>
            </w:pPr>
            <w:r>
              <w:rPr>
                <w:rFonts w:ascii="Calibri" w:hAnsi="Calibri" w:eastAsia="Calibri"/>
                <w:sz w:val="18"/>
              </w:rPr>
              <w:t>Valuation, regime, and fund-flow data were cleaned and lagged, but did not improve mean and downside floor together.</w:t>
            </w:r>
          </w:p>
        </w:tc>
      </w:tr>
      <w:tr>
        <w:tc>
          <w:tcPr>
            <w:tcW w:type="dxa" w:w="2700"/>
            <w:vAlign w:val="center"/>
          </w:tcPr>
          <w:p>
            <w:pPr>
              <w:spacing w:after="40" w:line="252" w:lineRule="auto"/>
            </w:pPr>
            <w:r>
              <w:rPr>
                <w:rFonts w:ascii="Calibri" w:hAnsi="Calibri" w:eastAsia="Calibri"/>
                <w:sz w:val="18"/>
              </w:rPr>
              <w:t>Blind feature expansion</w:t>
            </w:r>
          </w:p>
        </w:tc>
        <w:tc>
          <w:tcPr>
            <w:tcW w:type="dxa" w:w="6660"/>
            <w:vAlign w:val="center"/>
          </w:tcPr>
          <w:p>
            <w:pPr>
              <w:spacing w:after="40" w:line="252" w:lineRule="auto"/>
            </w:pPr>
            <w:r>
              <w:rPr>
                <w:rFonts w:ascii="Calibri" w:hAnsi="Calibri" w:eastAsia="Calibri"/>
                <w:sz w:val="18"/>
              </w:rPr>
              <w:t>More features often improved one window while hurting other regimes; correlation filtering alone was not enough.</w:t>
            </w:r>
          </w:p>
        </w:tc>
      </w:tr>
      <w:tr>
        <w:tc>
          <w:tcPr>
            <w:tcW w:type="dxa" w:w="2700"/>
            <w:vAlign w:val="center"/>
          </w:tcPr>
          <w:p>
            <w:pPr>
              <w:spacing w:after="40" w:line="252" w:lineRule="auto"/>
            </w:pPr>
            <w:r>
              <w:rPr>
                <w:rFonts w:ascii="Calibri" w:hAnsi="Calibri" w:eastAsia="Calibri"/>
                <w:sz w:val="18"/>
              </w:rPr>
              <w:t>Optimizing old rolling windows</w:t>
            </w:r>
          </w:p>
        </w:tc>
        <w:tc>
          <w:tcPr>
            <w:tcW w:type="dxa" w:w="6660"/>
            <w:vAlign w:val="center"/>
          </w:tcPr>
          <w:p>
            <w:pPr>
              <w:spacing w:after="40" w:line="252" w:lineRule="auto"/>
            </w:pPr>
            <w:r>
              <w:rPr>
                <w:rFonts w:ascii="Calibri" w:hAnsi="Calibri" w:eastAsia="Calibri"/>
                <w:sz w:val="18"/>
              </w:rPr>
              <w:t>Old tests crossed weekends/holidays and overstated performance for the final Stage2 objective.</w:t>
            </w:r>
          </w:p>
        </w:tc>
      </w:tr>
    </w:tbl>
    <w:p/>
    <w:tbl>
      <w:tblPr>
        <w:tblStyle w:val="TableGrid"/>
        <w:tblW w:type="dxa" w:w="9360"/>
        <w:jc w:val="left"/>
        <w:tblLook w:firstColumn="1" w:firstRow="1" w:lastColumn="0" w:lastRow="0" w:noHBand="0" w:noVBand="1" w:val="04A0"/>
        <w:tblInd w:w="120" w:type="dxa"/>
      </w:tblPr>
      <w:tblGrid>
        <w:gridCol w:w="9360"/>
      </w:tblGrid>
      <w:tr>
        <w:tc>
          <w:tcPr>
            <w:tcW w:type="dxa" w:w="9360"/>
            <w:shd w:fill="F4F6F9"/>
          </w:tcPr>
          <w:p>
            <w:pPr>
              <w:spacing w:after="60"/>
            </w:pPr>
            <w:r>
              <w:rPr>
                <w:rFonts w:ascii="Calibri" w:hAnsi="Calibri" w:eastAsia="Calibri"/>
                <w:b/>
                <w:color w:val="1F4D78"/>
                <w:sz w:val="20"/>
              </w:rPr>
              <w:t>Key interpretation</w:t>
            </w:r>
            <w:r>
              <w:rPr>
                <w:rFonts w:ascii="Calibri" w:hAnsi="Calibri" w:eastAsia="Calibri"/>
                <w:sz w:val="20"/>
              </w:rPr>
              <w:br/>
              <w:t>The final portfolio selecting the baseline_xgb branch does not mean the project reverted to the original baseline. It means the full gated ensemble chose its conservative expert for the final as-of regime. The model design is the route-selection framework plus all expert candidates, with the baseline branch acting as a risk-control expert in overheated high-breadth markets.</w:t>
            </w:r>
          </w:p>
        </w:tc>
      </w:tr>
    </w:tbl>
    <w:p/>
    <w:p>
      <w:pPr>
        <w:pStyle w:val="Heading1"/>
      </w:pPr>
      <w:r>
        <w:t>Appendix: Reproducibility</w:t>
      </w:r>
    </w:p>
    <w:p>
      <w:r>
        <w:t>Primary commands used to reproduce and validate the final Stage2 submission:</w:t>
      </w:r>
    </w:p>
    <w:p>
      <w:pPr>
        <w:spacing w:before="40" w:after="120"/>
        <w:ind w:left="360"/>
      </w:pPr>
      <w:r>
        <w:rPr>
          <w:rFonts w:ascii="Courier New" w:hAnsi="Courier New" w:eastAsia="Courier New"/>
          <w:color w:val="282828"/>
          <w:sz w:val="17"/>
        </w:rPr>
        <w:t>conda activate mlcomp-sp26</w:t>
        <w:br/>
        <w:t>python stage2_baseline_guard_ensemble.py --as-of 20260508 --baseline-top-k 0 --out stage2_final_portfolio.csv --meta-out stage2_report/final_report_materials/01_final_portfolio_metadata.csv</w:t>
        <w:br/>
        <w:t>python validate_submission.py stage2_final_portfolio.csv</w:t>
      </w:r>
    </w:p>
    <w:p>
      <w:r>
        <w:t>Leakage audit command:</w:t>
      </w:r>
    </w:p>
    <w:p>
      <w:pPr>
        <w:spacing w:before="40" w:after="120"/>
        <w:ind w:left="360"/>
      </w:pPr>
      <w:r>
        <w:rPr>
          <w:rFonts w:ascii="Courier New" w:hAnsi="Courier New" w:eastAsia="Courier New"/>
          <w:color w:val="282828"/>
          <w:sz w:val="17"/>
        </w:rPr>
        <w:t>python tools/stage2_validation/stage2_leakage_audit.py --as-of 20260109 20260227 20260313 20260327 20260410 20260508 --models baseline_guard_adaptive --out stage2_report/final_report_materials/05_final_leakage_audit_dynamic.csv --static-out stage2_report/final_report_materials/06_final_leakage_audit_static_scan.csv</w:t>
      </w:r>
    </w:p>
    <w:p>
      <w:r>
        <w:t>Full-week self-test command:</w:t>
      </w:r>
    </w:p>
    <w:p>
      <w:pPr>
        <w:spacing w:before="40" w:after="120"/>
        <w:ind w:left="360"/>
      </w:pPr>
      <w:r>
        <w:rPr>
          <w:rFonts w:ascii="Courier New" w:hAnsi="Courier New" w:eastAsia="Courier New"/>
          <w:color w:val="282828"/>
          <w:sz w:val="17"/>
        </w:rPr>
        <w:t>python tools/stage2_validation/stage2_backtest_5day.py --models baseline_xgb baseline_guard_adaptive --full-week-only --windows 12 --jobs 4 --out-dir stage2_report/backtests/final_check --summary-out stage2_report/final_report_materials/02_full_week_12_window_performance_summary.csv</w:t>
      </w:r>
    </w:p>
    <w:tbl>
      <w:tblPr>
        <w:tblStyle w:val="TableGrid"/>
        <w:tblW w:type="dxa" w:w="9360"/>
        <w:jc w:val="left"/>
        <w:tblLook w:firstColumn="1" w:firstRow="1" w:lastColumn="0" w:lastRow="0" w:noHBand="0" w:noVBand="1" w:val="04A0"/>
        <w:tblInd w:w="120" w:type="dxa"/>
      </w:tblPr>
      <w:tblGrid>
        <w:gridCol w:w="2800"/>
        <w:gridCol w:w="6560"/>
      </w:tblGrid>
      <w:tr>
        <w:tc>
          <w:tcPr>
            <w:tcW w:type="dxa" w:w="2800"/>
            <w:vAlign w:val="center"/>
            <w:shd w:fill="F2F4F7"/>
          </w:tcPr>
          <w:p>
            <w:pPr>
              <w:spacing w:after="40" w:line="252" w:lineRule="auto"/>
            </w:pPr>
            <w:r>
              <w:rPr>
                <w:rFonts w:ascii="Calibri" w:hAnsi="Calibri" w:eastAsia="Calibri"/>
                <w:b/>
                <w:color w:val="1F4D78"/>
                <w:sz w:val="18"/>
              </w:rPr>
              <w:t>Self-test check</w:t>
            </w:r>
          </w:p>
        </w:tc>
        <w:tc>
          <w:tcPr>
            <w:tcW w:type="dxa" w:w="6560"/>
            <w:vAlign w:val="center"/>
            <w:shd w:fill="F2F4F7"/>
          </w:tcPr>
          <w:p>
            <w:pPr>
              <w:spacing w:after="40" w:line="252" w:lineRule="auto"/>
            </w:pPr>
            <w:r>
              <w:rPr>
                <w:rFonts w:ascii="Calibri" w:hAnsi="Calibri" w:eastAsia="Calibri"/>
                <w:b/>
                <w:color w:val="1F4D78"/>
                <w:sz w:val="18"/>
              </w:rPr>
              <w:t>Result</w:t>
            </w:r>
          </w:p>
        </w:tc>
      </w:tr>
      <w:tr>
        <w:tc>
          <w:tcPr>
            <w:tcW w:type="dxa" w:w="2800"/>
            <w:vAlign w:val="center"/>
          </w:tcPr>
          <w:p>
            <w:pPr>
              <w:spacing w:after="40" w:line="252" w:lineRule="auto"/>
            </w:pPr>
            <w:r>
              <w:rPr>
                <w:rFonts w:ascii="Calibri" w:hAnsi="Calibri" w:eastAsia="Calibri"/>
                <w:sz w:val="18"/>
              </w:rPr>
              <w:t>Format validation</w:t>
            </w:r>
          </w:p>
        </w:tc>
        <w:tc>
          <w:tcPr>
            <w:tcW w:type="dxa" w:w="6560"/>
            <w:vAlign w:val="center"/>
          </w:tcPr>
          <w:p>
            <w:pPr>
              <w:spacing w:after="40" w:line="252" w:lineRule="auto"/>
            </w:pPr>
            <w:r>
              <w:rPr>
                <w:rFonts w:ascii="Calibri" w:hAnsi="Calibri" w:eastAsia="Calibri"/>
                <w:sz w:val="18"/>
              </w:rPr>
              <w:t>Stage2 final CSV passes validate_submission.py.</w:t>
            </w:r>
          </w:p>
        </w:tc>
      </w:tr>
      <w:tr>
        <w:tc>
          <w:tcPr>
            <w:tcW w:type="dxa" w:w="2800"/>
            <w:vAlign w:val="center"/>
          </w:tcPr>
          <w:p>
            <w:pPr>
              <w:spacing w:after="40" w:line="252" w:lineRule="auto"/>
            </w:pPr>
            <w:r>
              <w:rPr>
                <w:rFonts w:ascii="Calibri" w:hAnsi="Calibri" w:eastAsia="Calibri"/>
                <w:sz w:val="18"/>
              </w:rPr>
              <w:t>Stage1 archive validation</w:t>
            </w:r>
          </w:p>
        </w:tc>
        <w:tc>
          <w:tcPr>
            <w:tcW w:type="dxa" w:w="6560"/>
            <w:vAlign w:val="center"/>
          </w:tcPr>
          <w:p>
            <w:pPr>
              <w:spacing w:after="40" w:line="252" w:lineRule="auto"/>
            </w:pPr>
            <w:r>
              <w:rPr>
                <w:rFonts w:ascii="Calibri" w:hAnsi="Calibri" w:eastAsia="Calibri"/>
                <w:sz w:val="18"/>
              </w:rPr>
              <w:t>Stage1 final CSV passes validate_submission.py.</w:t>
            </w:r>
          </w:p>
        </w:tc>
      </w:tr>
      <w:tr>
        <w:tc>
          <w:tcPr>
            <w:tcW w:type="dxa" w:w="2800"/>
            <w:vAlign w:val="center"/>
          </w:tcPr>
          <w:p>
            <w:pPr>
              <w:spacing w:after="40" w:line="252" w:lineRule="auto"/>
            </w:pPr>
            <w:r>
              <w:rPr>
                <w:rFonts w:ascii="Calibri" w:hAnsi="Calibri" w:eastAsia="Calibri"/>
                <w:sz w:val="18"/>
              </w:rPr>
              <w:t>Regeneration</w:t>
            </w:r>
          </w:p>
        </w:tc>
        <w:tc>
          <w:tcPr>
            <w:tcW w:type="dxa" w:w="6560"/>
            <w:vAlign w:val="center"/>
          </w:tcPr>
          <w:p>
            <w:pPr>
              <w:spacing w:after="40" w:line="252" w:lineRule="auto"/>
            </w:pPr>
            <w:r>
              <w:rPr>
                <w:rFonts w:ascii="Calibri" w:hAnsi="Calibri" w:eastAsia="Calibri"/>
                <w:sz w:val="18"/>
              </w:rPr>
              <w:t>Regenerating as_of=20260508 produced an exact match to stage2_final_portfolio.csv.</w:t>
            </w:r>
          </w:p>
        </w:tc>
      </w:tr>
      <w:tr>
        <w:tc>
          <w:tcPr>
            <w:tcW w:type="dxa" w:w="2800"/>
            <w:vAlign w:val="center"/>
          </w:tcPr>
          <w:p>
            <w:pPr>
              <w:spacing w:after="40" w:line="252" w:lineRule="auto"/>
            </w:pPr>
            <w:r>
              <w:rPr>
                <w:rFonts w:ascii="Calibri" w:hAnsi="Calibri" w:eastAsia="Calibri"/>
                <w:sz w:val="18"/>
              </w:rPr>
              <w:t>Dynamic leakage audit</w:t>
            </w:r>
          </w:p>
        </w:tc>
        <w:tc>
          <w:tcPr>
            <w:tcW w:type="dxa" w:w="6560"/>
            <w:vAlign w:val="center"/>
          </w:tcPr>
          <w:p>
            <w:pPr>
              <w:spacing w:after="40" w:line="252" w:lineRule="auto"/>
            </w:pPr>
            <w:r>
              <w:rPr>
                <w:rFonts w:ascii="Calibri" w:hAnsi="Calibri" w:eastAsia="Calibri"/>
                <w:sz w:val="18"/>
              </w:rPr>
              <w:t>pass=True; max_abs_diff=0.0; l1_diff=0.0; changed_names=0 for audited dates.</w:t>
            </w:r>
          </w:p>
        </w:tc>
      </w:tr>
      <w:tr>
        <w:tc>
          <w:tcPr>
            <w:tcW w:type="dxa" w:w="2800"/>
            <w:vAlign w:val="center"/>
          </w:tcPr>
          <w:p>
            <w:pPr>
              <w:spacing w:after="40" w:line="252" w:lineRule="auto"/>
            </w:pPr>
            <w:r>
              <w:rPr>
                <w:rFonts w:ascii="Calibri" w:hAnsi="Calibri" w:eastAsia="Calibri"/>
                <w:sz w:val="18"/>
              </w:rPr>
              <w:t>Path audit</w:t>
            </w:r>
          </w:p>
        </w:tc>
        <w:tc>
          <w:tcPr>
            <w:tcW w:type="dxa" w:w="6560"/>
            <w:vAlign w:val="center"/>
          </w:tcPr>
          <w:p>
            <w:pPr>
              <w:spacing w:after="40" w:line="252" w:lineRule="auto"/>
            </w:pPr>
            <w:r>
              <w:rPr>
                <w:rFonts w:ascii="Calibri" w:hAnsi="Calibri" w:eastAsia="Calibri"/>
                <w:sz w:val="18"/>
              </w:rPr>
              <w:t>Root, stage1_report, stage2_report, data, and tools/stage2_validation paths are consistent with current README and PROJECT_LAYOUT.md.</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ML Competition Spring 2026 · Venus Chen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CSI500 Stock Selection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