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FC4BD0">
      <w:pPr>
        <w:spacing w:before="1600" w:after="100"/>
        <w:jc w:val="center"/>
      </w:pPr>
      <w:r>
        <w:rPr>
          <w:rFonts w:ascii="Calibri" w:hAnsi="Calibri" w:eastAsia="Calibri" w:cs="Calibri"/>
          <w:b/>
          <w:bCs/>
          <w:caps/>
          <w:color w:val="2E6FDB"/>
          <w:sz w:val="22"/>
          <w:szCs w:val="22"/>
        </w:rPr>
        <w:t>ENGINEERING EXCELLENCE EXPO 2026</w:t>
      </w:r>
      <w:bookmarkStart w:id="0" w:name="_GoBack"/>
      <w:bookmarkEnd w:id="0"/>
    </w:p>
    <w:p w14:paraId="18CADE27">
      <w:pPr>
        <w:spacing w:before="200" w:after="260"/>
        <w:jc w:val="center"/>
      </w:pPr>
      <w:r>
        <w:rPr>
          <w:rFonts w:ascii="Calibri" w:hAnsi="Calibri" w:eastAsia="Calibri" w:cs="Calibri"/>
          <w:b/>
          <w:bCs/>
          <w:caps/>
          <w:color w:val="6B7280"/>
          <w:sz w:val="20"/>
          <w:szCs w:val="20"/>
        </w:rPr>
        <w:t>CASE STUDY</w:t>
      </w:r>
    </w:p>
    <w:p w14:paraId="5960E6DB">
      <w:pPr>
        <w:spacing w:before="200" w:after="260"/>
        <w:jc w:val="center"/>
      </w:pPr>
      <w:r>
        <w:rPr>
          <w:rFonts w:ascii="Calibri" w:hAnsi="Calibri" w:eastAsia="Calibri" w:cs="Calibri"/>
          <w:b/>
          <w:bCs/>
          <w:color w:val="0B1F3A"/>
          <w:sz w:val="52"/>
          <w:szCs w:val="52"/>
        </w:rPr>
        <w:t>Enterprise Autonomous ITSM Platform</w:t>
      </w:r>
    </w:p>
    <w:p w14:paraId="41904F23">
      <w:pPr>
        <w:spacing w:after="500"/>
        <w:jc w:val="center"/>
      </w:pPr>
      <w:r>
        <w:rPr>
          <w:rFonts w:ascii="Calibri" w:hAnsi="Calibri" w:eastAsia="Calibri" w:cs="Calibri"/>
          <w:b/>
          <w:bCs/>
          <w:color w:val="2E6FDB"/>
          <w:sz w:val="52"/>
          <w:szCs w:val="52"/>
        </w:rPr>
        <w:t>&amp; Agentic SRE Control Tower</w:t>
      </w:r>
    </w:p>
    <w:p w14:paraId="0E57E46E">
      <w:pPr>
        <w:spacing w:after="700"/>
        <w:jc w:val="center"/>
      </w:pPr>
      <w:r>
        <w:rPr>
          <w:rFonts w:ascii="Calibri" w:hAnsi="Calibri" w:eastAsia="Calibri" w:cs="Calibri"/>
          <w:i/>
          <w:iCs/>
          <w:color w:val="44546A"/>
          <w:sz w:val="24"/>
          <w:szCs w:val="24"/>
        </w:rPr>
        <w:t>Modernizing Infrastructure Operations with Decoupled Multi-Agent AI, Hybrid RAG, In-Guest Verification, and Governed SRE Control Planes</w:t>
      </w:r>
    </w:p>
    <w:tbl>
      <w:tblPr>
        <w:tblStyle w:val="9"/>
        <w:tblW w:w="7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33"/>
        <w:gridCol w:w="2533"/>
        <w:gridCol w:w="2534"/>
      </w:tblGrid>
      <w:tr w14:paraId="4C4A1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33" w:type="dxa"/>
            <w:shd w:val="clear" w:color="auto" w:fill="0B1F3A"/>
            <w:tcMar>
              <w:top w:w="160" w:type="dxa"/>
              <w:left w:w="120" w:type="dxa"/>
              <w:bottom w:w="160" w:type="dxa"/>
              <w:right w:w="120" w:type="dxa"/>
            </w:tcMar>
          </w:tcPr>
          <w:p w14:paraId="62C0FB46">
            <w:pPr>
              <w:jc w:val="center"/>
            </w:pPr>
            <w:r>
              <w:rPr>
                <w:rFonts w:ascii="Calibri" w:hAnsi="Calibri" w:eastAsia="Calibri" w:cs="Calibri"/>
                <w:b/>
                <w:bCs/>
                <w:color w:val="9FB4D8"/>
                <w:sz w:val="15"/>
                <w:szCs w:val="15"/>
              </w:rPr>
              <w:t>EVENT</w:t>
            </w:r>
          </w:p>
          <w:p w14:paraId="345A3F35">
            <w:pPr>
              <w:jc w:val="center"/>
            </w:pPr>
            <w:r>
              <w:rPr>
                <w:rFonts w:ascii="Calibri" w:hAnsi="Calibri" w:eastAsia="Calibri" w:cs="Calibri"/>
                <w:color w:val="FFFFFF"/>
                <w:sz w:val="18"/>
                <w:szCs w:val="18"/>
              </w:rPr>
              <w:t>Engineering Excellence Expo 2026</w:t>
            </w:r>
          </w:p>
        </w:tc>
        <w:tc>
          <w:tcPr>
            <w:tcW w:w="2533" w:type="dxa"/>
            <w:shd w:val="clear" w:color="auto" w:fill="0B1F3A"/>
            <w:tcMar>
              <w:top w:w="160" w:type="dxa"/>
              <w:left w:w="120" w:type="dxa"/>
              <w:bottom w:w="160" w:type="dxa"/>
              <w:right w:w="120" w:type="dxa"/>
            </w:tcMar>
          </w:tcPr>
          <w:p w14:paraId="36F79CBD">
            <w:pPr>
              <w:jc w:val="center"/>
            </w:pPr>
            <w:r>
              <w:rPr>
                <w:rFonts w:ascii="Calibri" w:hAnsi="Calibri" w:eastAsia="Calibri" w:cs="Calibri"/>
                <w:b/>
                <w:bCs/>
                <w:color w:val="9FB4D8"/>
                <w:sz w:val="15"/>
                <w:szCs w:val="15"/>
              </w:rPr>
              <w:t>DOMAIN</w:t>
            </w:r>
          </w:p>
          <w:p w14:paraId="310246B0">
            <w:pPr>
              <w:jc w:val="center"/>
            </w:pPr>
            <w:r>
              <w:rPr>
                <w:rFonts w:ascii="Calibri" w:hAnsi="Calibri" w:eastAsia="Calibri" w:cs="Calibri"/>
                <w:color w:val="FFFFFF"/>
                <w:sz w:val="18"/>
                <w:szCs w:val="18"/>
              </w:rPr>
              <w:t>Site Reliability Engineering &amp; GenAI</w:t>
            </w:r>
          </w:p>
        </w:tc>
        <w:tc>
          <w:tcPr>
            <w:tcW w:w="2534" w:type="dxa"/>
            <w:shd w:val="clear" w:color="auto" w:fill="0B1F3A"/>
            <w:tcMar>
              <w:top w:w="160" w:type="dxa"/>
              <w:left w:w="120" w:type="dxa"/>
              <w:bottom w:w="160" w:type="dxa"/>
              <w:right w:w="120" w:type="dxa"/>
            </w:tcMar>
          </w:tcPr>
          <w:p w14:paraId="0F314516">
            <w:pPr>
              <w:jc w:val="center"/>
            </w:pPr>
            <w:r>
              <w:rPr>
                <w:rFonts w:ascii="Calibri" w:hAnsi="Calibri" w:eastAsia="Calibri" w:cs="Calibri"/>
                <w:b/>
                <w:bCs/>
                <w:color w:val="9FB4D8"/>
                <w:sz w:val="15"/>
                <w:szCs w:val="15"/>
              </w:rPr>
              <w:t>ARCHITECTURE</w:t>
            </w:r>
          </w:p>
          <w:p w14:paraId="1CCCFEE9">
            <w:pPr>
              <w:jc w:val="center"/>
            </w:pPr>
            <w:r>
              <w:rPr>
                <w:rFonts w:ascii="Calibri" w:hAnsi="Calibri" w:eastAsia="Calibri" w:cs="Calibri"/>
                <w:color w:val="FFFFFF"/>
                <w:sz w:val="18"/>
                <w:szCs w:val="18"/>
              </w:rPr>
              <w:t>Decoupled Multi-Agent System</w:t>
            </w:r>
          </w:p>
        </w:tc>
      </w:tr>
    </w:tbl>
    <w:p w14:paraId="5DAD2B1A">
      <w:pPr>
        <w:spacing w:before="900"/>
      </w:pPr>
      <w:r>
        <w:br w:type="page"/>
      </w:r>
    </w:p>
    <w:p w14:paraId="29F4284B">
      <w:pPr>
        <w:sectPr>
          <w:pgSz w:w="12240" w:h="15840"/>
          <w:pgMar w:top="1440" w:right="1350" w:bottom="1440" w:left="1350" w:header="708" w:footer="708" w:gutter="0"/>
          <w:cols w:space="720" w:num="1"/>
          <w:docGrid w:linePitch="360" w:charSpace="0"/>
        </w:sectPr>
      </w:pPr>
    </w:p>
    <w:p w14:paraId="0B84598B">
      <w:pPr>
        <w:pStyle w:val="2"/>
        <w:keepNext/>
        <w:keepLines/>
        <w:pBdr>
          <w:bottom w:val="single" w:color="2E6FDB" w:sz="8" w:space="6"/>
        </w:pBdr>
        <w:spacing w:before="420" w:after="200"/>
      </w:pPr>
      <w:r>
        <w:rPr>
          <w:rFonts w:ascii="Calibri" w:hAnsi="Calibri" w:eastAsia="Calibri" w:cs="Calibri"/>
          <w:b/>
          <w:bCs/>
          <w:color w:val="0B1F3A"/>
          <w:sz w:val="30"/>
          <w:szCs w:val="30"/>
        </w:rPr>
        <w:t>Executive Summary</w:t>
      </w:r>
    </w:p>
    <w:p w14:paraId="21997C0B">
      <w:pPr>
        <w:keepLines/>
        <w:spacing w:after="160" w:line="300" w:lineRule="auto"/>
      </w:pPr>
      <w:r>
        <w:rPr>
          <w:rFonts w:ascii="Calibri" w:hAnsi="Calibri" w:eastAsia="Calibri" w:cs="Calibri"/>
          <w:color w:val="23272F"/>
          <w:sz w:val="21"/>
          <w:szCs w:val="21"/>
        </w:rPr>
        <w:t>Enterprise IT operations still lean on a reactive, human-bottlenecked model: alerts fire, tickets queue, an on-call engineer manually greps logs and static wikis, and mean-time-to-resolution stretches into hours. The Enterprise Autonomous ITSM Platform &amp; Agentic SRE Control Tower reframes this from manual firefighting into governed, self-learning autonomous operations — an AI router triages and classifies incidents against historical precedent, a resolver-agent daemon executes remediation over live SSH with in-guest proof verification, and every high-risk action is gated by a human-in-the-loop approval before it ever touches production.</w:t>
      </w:r>
    </w:p>
    <w:p w14:paraId="6BA51C76">
      <w:pPr>
        <w:keepLines/>
        <w:spacing w:after="160" w:line="300" w:lineRule="auto"/>
      </w:pPr>
      <w:r>
        <w:rPr>
          <w:rFonts w:ascii="Calibri" w:hAnsi="Calibri" w:eastAsia="Calibri" w:cs="Calibri"/>
          <w:color w:val="23272F"/>
          <w:sz w:val="21"/>
          <w:szCs w:val="21"/>
        </w:rPr>
        <w:t>The platform is built as two strictly decoupled systems — a Core ITSM System of Record and a separate SRE Agentic Control Tower — connected through a Model Context Protocol (MCP) interface, so autonomous remediation logic can evolve independently of the ticketing system of record. The figures below are pulled directly from the live control tower and the underlying architecture blueprints, not projections.</w:t>
      </w:r>
    </w:p>
    <w:p w14:paraId="462BD354">
      <w:pPr>
        <w:spacing w:after="80"/>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0"/>
        <w:gridCol w:w="2350"/>
        <w:gridCol w:w="2350"/>
        <w:gridCol w:w="2350"/>
      </w:tblGrid>
      <w:tr w14:paraId="28A45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50" w:type="dxa"/>
            <w:tcBorders>
              <w:top w:val="single" w:color="2E6FDB" w:sz="4" w:space="0"/>
              <w:left w:val="single" w:color="2E6FDB" w:sz="4" w:space="0"/>
              <w:bottom w:val="single" w:color="2E6FDB" w:sz="4" w:space="0"/>
              <w:right w:val="single" w:color="2E6FDB" w:sz="4" w:space="0"/>
            </w:tcBorders>
            <w:shd w:val="clear" w:color="auto" w:fill="2E6FDB"/>
            <w:tcMar>
              <w:top w:w="220" w:type="dxa"/>
              <w:left w:w="160" w:type="dxa"/>
              <w:bottom w:w="220" w:type="dxa"/>
              <w:right w:w="160" w:type="dxa"/>
            </w:tcMar>
            <w:vAlign w:val="center"/>
          </w:tcPr>
          <w:p w14:paraId="3018858F">
            <w:pPr>
              <w:spacing w:after="60"/>
              <w:jc w:val="center"/>
            </w:pPr>
            <w:r>
              <w:rPr>
                <w:rFonts w:ascii="Calibri" w:hAnsi="Calibri" w:eastAsia="Calibri" w:cs="Calibri"/>
                <w:b/>
                <w:bCs/>
                <w:color w:val="FFFFFF"/>
                <w:sz w:val="30"/>
                <w:szCs w:val="30"/>
              </w:rPr>
              <w:t>38s</w:t>
            </w:r>
          </w:p>
          <w:p w14:paraId="673EFB53">
            <w:pPr>
              <w:jc w:val="center"/>
            </w:pPr>
            <w:r>
              <w:rPr>
                <w:rFonts w:ascii="Calibri" w:hAnsi="Calibri" w:eastAsia="Calibri" w:cs="Calibri"/>
                <w:color w:val="FFFFFF"/>
                <w:sz w:val="17"/>
                <w:szCs w:val="17"/>
              </w:rPr>
              <w:t>AUTONOMOUS MTTR
(-99.7% vs 4.2hr manual)</w:t>
            </w:r>
          </w:p>
        </w:tc>
        <w:tc>
          <w:tcPr>
            <w:tcW w:w="2350" w:type="dxa"/>
            <w:tcBorders>
              <w:top w:val="single" w:color="12897A" w:sz="4" w:space="0"/>
              <w:left w:val="single" w:color="12897A" w:sz="4" w:space="0"/>
              <w:bottom w:val="single" w:color="12897A" w:sz="4" w:space="0"/>
              <w:right w:val="single" w:color="12897A" w:sz="4" w:space="0"/>
            </w:tcBorders>
            <w:shd w:val="clear" w:color="auto" w:fill="12897A"/>
            <w:tcMar>
              <w:top w:w="220" w:type="dxa"/>
              <w:left w:w="160" w:type="dxa"/>
              <w:bottom w:w="220" w:type="dxa"/>
              <w:right w:w="160" w:type="dxa"/>
            </w:tcMar>
            <w:vAlign w:val="center"/>
          </w:tcPr>
          <w:p w14:paraId="6883A99B">
            <w:pPr>
              <w:spacing w:after="60"/>
              <w:jc w:val="center"/>
            </w:pPr>
            <w:r>
              <w:rPr>
                <w:rFonts w:ascii="Calibri" w:hAnsi="Calibri" w:eastAsia="Calibri" w:cs="Calibri"/>
                <w:b/>
                <w:bCs/>
                <w:color w:val="FFFFFF"/>
                <w:sz w:val="30"/>
                <w:szCs w:val="30"/>
              </w:rPr>
              <w:t>100%</w:t>
            </w:r>
          </w:p>
          <w:p w14:paraId="79C574A1">
            <w:pPr>
              <w:jc w:val="center"/>
            </w:pPr>
            <w:r>
              <w:rPr>
                <w:rFonts w:ascii="Calibri" w:hAnsi="Calibri" w:eastAsia="Calibri" w:cs="Calibri"/>
                <w:color w:val="FFFFFF"/>
                <w:sz w:val="17"/>
                <w:szCs w:val="17"/>
              </w:rPr>
              <w:t>AUTONOMOUS ROUTE RATE
(1,187 tickets, ≥85% conf.)</w:t>
            </w:r>
          </w:p>
        </w:tc>
        <w:tc>
          <w:tcPr>
            <w:tcW w:w="2350" w:type="dxa"/>
            <w:tcBorders>
              <w:top w:val="single" w:color="B8720C" w:sz="4" w:space="0"/>
              <w:left w:val="single" w:color="B8720C" w:sz="4" w:space="0"/>
              <w:bottom w:val="single" w:color="B8720C" w:sz="4" w:space="0"/>
              <w:right w:val="single" w:color="B8720C" w:sz="4" w:space="0"/>
            </w:tcBorders>
            <w:shd w:val="clear" w:color="auto" w:fill="B8720C"/>
            <w:tcMar>
              <w:top w:w="220" w:type="dxa"/>
              <w:left w:w="160" w:type="dxa"/>
              <w:bottom w:w="220" w:type="dxa"/>
              <w:right w:w="160" w:type="dxa"/>
            </w:tcMar>
            <w:vAlign w:val="center"/>
          </w:tcPr>
          <w:p w14:paraId="56365CEB">
            <w:pPr>
              <w:spacing w:after="60"/>
              <w:jc w:val="center"/>
            </w:pPr>
            <w:r>
              <w:rPr>
                <w:rFonts w:ascii="Calibri" w:hAnsi="Calibri" w:eastAsia="Calibri" w:cs="Calibri"/>
                <w:b/>
                <w:bCs/>
                <w:color w:val="FFFFFF"/>
                <w:sz w:val="30"/>
                <w:szCs w:val="30"/>
              </w:rPr>
              <w:t>$8,556</w:t>
            </w:r>
          </w:p>
          <w:p w14:paraId="1F2FD117">
            <w:pPr>
              <w:jc w:val="center"/>
            </w:pPr>
            <w:r>
              <w:rPr>
                <w:rFonts w:ascii="Calibri" w:hAnsi="Calibri" w:eastAsia="Calibri" w:cs="Calibri"/>
                <w:color w:val="FFFFFF"/>
                <w:sz w:val="17"/>
                <w:szCs w:val="17"/>
              </w:rPr>
              <w:t>ESTIMATED SAVINGS
(4.3x ROI multiplier)</w:t>
            </w:r>
          </w:p>
        </w:tc>
        <w:tc>
          <w:tcPr>
            <w:tcW w:w="2350" w:type="dxa"/>
            <w:tcBorders>
              <w:top w:val="single" w:color="44546A" w:sz="4" w:space="0"/>
              <w:left w:val="single" w:color="44546A" w:sz="4" w:space="0"/>
              <w:bottom w:val="single" w:color="44546A" w:sz="4" w:space="0"/>
              <w:right w:val="single" w:color="44546A" w:sz="4" w:space="0"/>
            </w:tcBorders>
            <w:shd w:val="clear" w:color="auto" w:fill="44546A"/>
            <w:tcMar>
              <w:top w:w="220" w:type="dxa"/>
              <w:left w:w="160" w:type="dxa"/>
              <w:bottom w:w="220" w:type="dxa"/>
              <w:right w:w="160" w:type="dxa"/>
            </w:tcMar>
            <w:vAlign w:val="center"/>
          </w:tcPr>
          <w:p w14:paraId="4CB5E144">
            <w:pPr>
              <w:spacing w:after="60"/>
              <w:jc w:val="center"/>
            </w:pPr>
            <w:r>
              <w:rPr>
                <w:rFonts w:ascii="Calibri" w:hAnsi="Calibri" w:eastAsia="Calibri" w:cs="Calibri"/>
                <w:b/>
                <w:bCs/>
                <w:color w:val="FFFFFF"/>
                <w:sz w:val="30"/>
                <w:szCs w:val="30"/>
              </w:rPr>
              <w:t>Zero</w:t>
            </w:r>
          </w:p>
          <w:p w14:paraId="1FAF8976">
            <w:pPr>
              <w:jc w:val="center"/>
            </w:pPr>
            <w:r>
              <w:rPr>
                <w:rFonts w:ascii="Calibri" w:hAnsi="Calibri" w:eastAsia="Calibri" w:cs="Calibri"/>
                <w:color w:val="FFFFFF"/>
                <w:sz w:val="17"/>
                <w:szCs w:val="17"/>
              </w:rPr>
              <w:t>SLA BREACHES RECORDED
(live production data)</w:t>
            </w:r>
          </w:p>
        </w:tc>
      </w:tr>
    </w:tbl>
    <w:p w14:paraId="1292A7DE">
      <w:pPr>
        <w:pStyle w:val="2"/>
        <w:keepNext/>
        <w:keepLines/>
        <w:pBdr>
          <w:bottom w:val="single" w:color="2E6FDB" w:sz="8" w:space="6"/>
        </w:pBdr>
        <w:spacing w:before="420" w:after="200"/>
      </w:pPr>
      <w:r>
        <w:rPr>
          <w:rFonts w:ascii="Calibri" w:hAnsi="Calibri" w:eastAsia="Calibri" w:cs="Calibri"/>
          <w:b/>
          <w:bCs/>
          <w:color w:val="0B1F3A"/>
          <w:sz w:val="30"/>
          <w:szCs w:val="30"/>
        </w:rPr>
        <w:t>Industry Problem &amp; Enterprise Pain Points</w:t>
      </w:r>
    </w:p>
    <w:p w14:paraId="2ACCF068">
      <w:pPr>
        <w:keepLines/>
        <w:spacing w:after="160" w:line="300" w:lineRule="auto"/>
      </w:pPr>
      <w:r>
        <w:rPr>
          <w:rFonts w:ascii="Calibri" w:hAnsi="Calibri" w:eastAsia="Calibri" w:cs="Calibri"/>
          <w:color w:val="23272F"/>
          <w:sz w:val="21"/>
          <w:szCs w:val="21"/>
        </w:rPr>
        <w:t>Five structural failure modes recur across enterprise IT operations, and each one directly motivated a platform capability:</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00"/>
      </w:tblGrid>
      <w:tr w14:paraId="0FF3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400" w:type="dxa"/>
            <w:tcBorders>
              <w:top w:val="single" w:color="D7DCE3" w:sz="4" w:space="0"/>
              <w:left w:val="single" w:color="B3261E" w:sz="24" w:space="0"/>
              <w:bottom w:val="single" w:color="D7DCE3" w:sz="4" w:space="0"/>
              <w:right w:val="single" w:color="D7DCE3" w:sz="4" w:space="0"/>
            </w:tcBorders>
            <w:shd w:val="clear" w:color="auto" w:fill="F2F4F7"/>
            <w:tcMar>
              <w:top w:w="160" w:type="dxa"/>
              <w:left w:w="220" w:type="dxa"/>
              <w:bottom w:w="160" w:type="dxa"/>
              <w:right w:w="220" w:type="dxa"/>
            </w:tcMar>
          </w:tcPr>
          <w:p w14:paraId="77F1F06A">
            <w:pPr>
              <w:keepNext/>
              <w:keepLines/>
              <w:spacing w:after="60"/>
            </w:pPr>
            <w:r>
              <w:rPr>
                <w:rFonts w:ascii="Calibri" w:hAnsi="Calibri" w:eastAsia="Calibri" w:cs="Calibri"/>
                <w:b/>
                <w:bCs/>
                <w:color w:val="0B1F3A"/>
                <w:sz w:val="21"/>
                <w:szCs w:val="21"/>
              </w:rPr>
              <w:t>1.  Extended MTTR &amp; SLA Penalties</w:t>
            </w:r>
          </w:p>
          <w:p w14:paraId="7456822F">
            <w:pPr>
              <w:keepLines/>
            </w:pPr>
            <w:r>
              <w:rPr>
                <w:rFonts w:ascii="Calibri" w:hAnsi="Calibri" w:eastAsia="Calibri" w:cs="Calibri"/>
                <w:color w:val="3A3F47"/>
                <w:sz w:val="19"/>
                <w:szCs w:val="19"/>
              </w:rPr>
              <w:t>Manual triage, hand-off delays, and serial troubleshooting stretch resolution times well past SLA windows, especially for recurring, well-understood incident classes.</w:t>
            </w:r>
          </w:p>
        </w:tc>
      </w:tr>
    </w:tbl>
    <w:p w14:paraId="57028F8F">
      <w:pPr>
        <w:spacing w:after="120"/>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00"/>
      </w:tblGrid>
      <w:tr w14:paraId="70DC6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400" w:type="dxa"/>
            <w:tcBorders>
              <w:top w:val="single" w:color="D7DCE3" w:sz="4" w:space="0"/>
              <w:left w:val="single" w:color="B3261E" w:sz="24" w:space="0"/>
              <w:bottom w:val="single" w:color="D7DCE3" w:sz="4" w:space="0"/>
              <w:right w:val="single" w:color="D7DCE3" w:sz="4" w:space="0"/>
            </w:tcBorders>
            <w:shd w:val="clear" w:color="auto" w:fill="F2F4F7"/>
            <w:tcMar>
              <w:top w:w="160" w:type="dxa"/>
              <w:left w:w="220" w:type="dxa"/>
              <w:bottom w:w="160" w:type="dxa"/>
              <w:right w:w="220" w:type="dxa"/>
            </w:tcMar>
          </w:tcPr>
          <w:p w14:paraId="49C3C8E9">
            <w:pPr>
              <w:keepNext/>
              <w:keepLines/>
              <w:spacing w:after="60"/>
            </w:pPr>
            <w:r>
              <w:rPr>
                <w:rFonts w:ascii="Calibri" w:hAnsi="Calibri" w:eastAsia="Calibri" w:cs="Calibri"/>
                <w:b/>
                <w:bCs/>
                <w:color w:val="0B1F3A"/>
                <w:sz w:val="21"/>
                <w:szCs w:val="21"/>
              </w:rPr>
              <w:t>2.  Stale Runbooks &amp; Knowledge Fragmentation</w:t>
            </w:r>
          </w:p>
          <w:p w14:paraId="50D289AC">
            <w:pPr>
              <w:keepLines/>
            </w:pPr>
            <w:r>
              <w:rPr>
                <w:rFonts w:ascii="Calibri" w:hAnsi="Calibri" w:eastAsia="Calibri" w:cs="Calibri"/>
                <w:color w:val="3A3F47"/>
                <w:sz w:val="19"/>
                <w:szCs w:val="19"/>
              </w:rPr>
              <w:t>Institutional knowledge lives in static wikis and tribal memory that drift out of sync with the environment, so responders re-solve problems that were already solved.</w:t>
            </w:r>
          </w:p>
        </w:tc>
      </w:tr>
    </w:tbl>
    <w:p w14:paraId="2B752CB9">
      <w:pPr>
        <w:spacing w:after="120"/>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00"/>
      </w:tblGrid>
      <w:tr w14:paraId="29F5F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400" w:type="dxa"/>
            <w:tcBorders>
              <w:top w:val="single" w:color="D7DCE3" w:sz="4" w:space="0"/>
              <w:left w:val="single" w:color="B3261E" w:sz="24" w:space="0"/>
              <w:bottom w:val="single" w:color="D7DCE3" w:sz="4" w:space="0"/>
              <w:right w:val="single" w:color="D7DCE3" w:sz="4" w:space="0"/>
            </w:tcBorders>
            <w:shd w:val="clear" w:color="auto" w:fill="F2F4F7"/>
            <w:tcMar>
              <w:top w:w="160" w:type="dxa"/>
              <w:left w:w="220" w:type="dxa"/>
              <w:bottom w:w="160" w:type="dxa"/>
              <w:right w:w="220" w:type="dxa"/>
            </w:tcMar>
          </w:tcPr>
          <w:p w14:paraId="782CB136">
            <w:pPr>
              <w:keepNext/>
              <w:keepLines/>
              <w:spacing w:after="60"/>
            </w:pPr>
            <w:r>
              <w:rPr>
                <w:rFonts w:ascii="Calibri" w:hAnsi="Calibri" w:eastAsia="Calibri" w:cs="Calibri"/>
                <w:b/>
                <w:bCs/>
                <w:color w:val="0B1F3A"/>
                <w:sz w:val="21"/>
                <w:szCs w:val="21"/>
              </w:rPr>
              <w:t>3.  Alert Fatigue &amp; Manual Ticket Routing Overhead</w:t>
            </w:r>
          </w:p>
          <w:p w14:paraId="48100E07">
            <w:pPr>
              <w:keepLines/>
            </w:pPr>
            <w:r>
              <w:rPr>
                <w:rFonts w:ascii="Calibri" w:hAnsi="Calibri" w:eastAsia="Calibri" w:cs="Calibri"/>
                <w:color w:val="3A3F47"/>
                <w:sz w:val="19"/>
                <w:szCs w:val="19"/>
              </w:rPr>
              <w:t>L1/L2 teams spend disproportionate time classifying and routing tickets rather than resolving them, and high alert volume degrades response quality.</w:t>
            </w:r>
          </w:p>
        </w:tc>
      </w:tr>
    </w:tbl>
    <w:p w14:paraId="27E68DB0">
      <w:pPr>
        <w:spacing w:after="120"/>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00"/>
      </w:tblGrid>
      <w:tr w14:paraId="34827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400" w:type="dxa"/>
            <w:tcBorders>
              <w:top w:val="single" w:color="D7DCE3" w:sz="4" w:space="0"/>
              <w:left w:val="single" w:color="B3261E" w:sz="24" w:space="0"/>
              <w:bottom w:val="single" w:color="D7DCE3" w:sz="4" w:space="0"/>
              <w:right w:val="single" w:color="D7DCE3" w:sz="4" w:space="0"/>
            </w:tcBorders>
            <w:shd w:val="clear" w:color="auto" w:fill="F2F4F7"/>
            <w:tcMar>
              <w:top w:w="160" w:type="dxa"/>
              <w:left w:w="220" w:type="dxa"/>
              <w:bottom w:w="160" w:type="dxa"/>
              <w:right w:w="220" w:type="dxa"/>
            </w:tcMar>
          </w:tcPr>
          <w:p w14:paraId="35DAF6AD">
            <w:pPr>
              <w:keepNext/>
              <w:keepLines/>
              <w:spacing w:after="60"/>
            </w:pPr>
            <w:r>
              <w:rPr>
                <w:rFonts w:ascii="Calibri" w:hAnsi="Calibri" w:eastAsia="Calibri" w:cs="Calibri"/>
                <w:b/>
                <w:bCs/>
                <w:color w:val="0B1F3A"/>
                <w:sz w:val="21"/>
                <w:szCs w:val="21"/>
              </w:rPr>
              <w:t>4.  Ungoverned Automation Risks &amp; Lack of Safety Controls</w:t>
            </w:r>
          </w:p>
          <w:p w14:paraId="5D1A659F">
            <w:pPr>
              <w:keepLines/>
            </w:pPr>
            <w:r>
              <w:rPr>
                <w:rFonts w:ascii="Calibri" w:hAnsi="Calibri" w:eastAsia="Calibri" w:cs="Calibri"/>
                <w:color w:val="3A3F47"/>
                <w:sz w:val="19"/>
                <w:szCs w:val="19"/>
              </w:rPr>
              <w:t>Existing auto-remediation scripts often lack blast-radius awareness, approval gates, or kill switches — making teams reluctant to automate anything destructive.</w:t>
            </w:r>
          </w:p>
        </w:tc>
      </w:tr>
    </w:tbl>
    <w:p w14:paraId="5A11E258">
      <w:pPr>
        <w:spacing w:after="120"/>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00"/>
      </w:tblGrid>
      <w:tr w14:paraId="34D82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400" w:type="dxa"/>
            <w:tcBorders>
              <w:top w:val="single" w:color="D7DCE3" w:sz="4" w:space="0"/>
              <w:left w:val="single" w:color="B3261E" w:sz="24" w:space="0"/>
              <w:bottom w:val="single" w:color="D7DCE3" w:sz="4" w:space="0"/>
              <w:right w:val="single" w:color="D7DCE3" w:sz="4" w:space="0"/>
            </w:tcBorders>
            <w:shd w:val="clear" w:color="auto" w:fill="F2F4F7"/>
            <w:tcMar>
              <w:top w:w="160" w:type="dxa"/>
              <w:left w:w="220" w:type="dxa"/>
              <w:bottom w:w="160" w:type="dxa"/>
              <w:right w:w="220" w:type="dxa"/>
            </w:tcMar>
          </w:tcPr>
          <w:p w14:paraId="177041BB">
            <w:pPr>
              <w:keepNext/>
              <w:keepLines/>
              <w:spacing w:after="60"/>
            </w:pPr>
            <w:r>
              <w:rPr>
                <w:rFonts w:ascii="Calibri" w:hAnsi="Calibri" w:eastAsia="Calibri" w:cs="Calibri"/>
                <w:b/>
                <w:bCs/>
                <w:color w:val="0B1F3A"/>
                <w:sz w:val="21"/>
                <w:szCs w:val="21"/>
              </w:rPr>
              <w:t>5.  Lack of In-Guest Proof Verification</w:t>
            </w:r>
          </w:p>
          <w:p w14:paraId="56C1D759">
            <w:pPr>
              <w:keepLines/>
            </w:pPr>
            <w:r>
              <w:rPr>
                <w:rFonts w:ascii="Calibri" w:hAnsi="Calibri" w:eastAsia="Calibri" w:cs="Calibri"/>
                <w:color w:val="3A3F47"/>
                <w:sz w:val="19"/>
                <w:szCs w:val="19"/>
              </w:rPr>
              <w:t>Automation frequently declares success from an exit code alone, without confirming the actual in-guest system state — masking false resolutions.</w:t>
            </w:r>
          </w:p>
        </w:tc>
      </w:tr>
    </w:tbl>
    <w:p w14:paraId="5BF5654B">
      <w:pPr>
        <w:pStyle w:val="2"/>
        <w:keepNext/>
        <w:keepLines/>
        <w:pBdr>
          <w:bottom w:val="single" w:color="2E6FDB" w:sz="8" w:space="6"/>
        </w:pBdr>
        <w:spacing w:before="420" w:after="200"/>
      </w:pPr>
      <w:r>
        <w:rPr>
          <w:rFonts w:ascii="Calibri" w:hAnsi="Calibri" w:eastAsia="Calibri" w:cs="Calibri"/>
          <w:b/>
          <w:bCs/>
          <w:color w:val="0B1F3A"/>
          <w:sz w:val="30"/>
          <w:szCs w:val="30"/>
        </w:rPr>
        <w:t>Core Engineering Architecture &amp; Innovations</w:t>
      </w:r>
    </w:p>
    <w:p w14:paraId="4237033B">
      <w:pPr>
        <w:keepNext/>
        <w:keepLines/>
        <w:spacing w:before="200" w:after="60"/>
        <w:jc w:val="center"/>
      </w:pPr>
      <w:r>
        <w:drawing>
          <wp:inline distT="0" distB="0" distL="0" distR="0">
            <wp:extent cx="4227830" cy="43053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227830" cy="4305300"/>
                    </a:xfrm>
                    <a:prstGeom prst="rect">
                      <a:avLst/>
                    </a:prstGeom>
                  </pic:spPr>
                </pic:pic>
              </a:graphicData>
            </a:graphic>
          </wp:inline>
        </w:drawing>
      </w:r>
    </w:p>
    <w:p w14:paraId="23F1116F">
      <w:pPr>
        <w:keepLines/>
        <w:spacing w:before="100" w:after="300"/>
        <w:jc w:val="center"/>
      </w:pPr>
      <w:r>
        <w:rPr>
          <w:rFonts w:ascii="Calibri" w:hAnsi="Calibri" w:eastAsia="Calibri" w:cs="Calibri"/>
          <w:i/>
          <w:iCs/>
          <w:color w:val="6B7280"/>
          <w:sz w:val="18"/>
          <w:szCs w:val="18"/>
        </w:rPr>
        <w:t>Figure 1 — Container architecture: users, presentation layer, orchestration services, AI/RAG engine, persistence layer, and managed target infrastructure.</w:t>
      </w:r>
    </w:p>
    <w:p w14:paraId="40024D65">
      <w:pPr>
        <w:keepLines/>
        <w:spacing w:after="160" w:line="300" w:lineRule="auto"/>
      </w:pPr>
      <w:r>
        <w:rPr>
          <w:rFonts w:ascii="Calibri" w:hAnsi="Calibri" w:eastAsia="Calibri" w:cs="Calibri"/>
          <w:color w:val="23272F"/>
          <w:sz w:val="21"/>
          <w:szCs w:val="21"/>
        </w:rPr>
        <w:t>The platform enforces strict architectural decoupling between the system of record and the autonomous control plane:</w:t>
      </w:r>
    </w:p>
    <w:p w14:paraId="2BAD299C">
      <w:pPr>
        <w:pStyle w:val="16"/>
        <w:keepLines/>
        <w:numPr>
          <w:ilvl w:val="0"/>
          <w:numId w:val="1"/>
        </w:numPr>
        <w:spacing w:after="90" w:line="280" w:lineRule="auto"/>
      </w:pPr>
      <w:r>
        <w:rPr>
          <w:rFonts w:ascii="Calibri" w:hAnsi="Calibri" w:eastAsia="Calibri" w:cs="Calibri"/>
          <w:color w:val="23272F"/>
          <w:sz w:val="21"/>
          <w:szCs w:val="21"/>
        </w:rPr>
        <w:t>Core ITSM System of Record — Next.js/NestJS helpdesk on port 4000, backed by the itsm_db PostgreSQL database (incidents, problems, CMDB, knowledge base).</w:t>
      </w:r>
    </w:p>
    <w:p w14:paraId="77984015">
      <w:pPr>
        <w:pStyle w:val="16"/>
        <w:keepLines/>
        <w:numPr>
          <w:ilvl w:val="0"/>
          <w:numId w:val="1"/>
        </w:numPr>
        <w:spacing w:after="90" w:line="280" w:lineRule="auto"/>
      </w:pPr>
      <w:r>
        <w:rPr>
          <w:rFonts w:ascii="Calibri" w:hAnsi="Calibri" w:eastAsia="Calibri" w:cs="Calibri"/>
          <w:color w:val="23272F"/>
          <w:sz w:val="21"/>
          <w:szCs w:val="21"/>
        </w:rPr>
        <w:t>SRE Agentic Control Tower — an independent governance and execution plane on port 5173, backed by the agentic_sre_db database (approvals, execution timelines, containment state, audit history).</w:t>
      </w:r>
    </w:p>
    <w:p w14:paraId="13E78562">
      <w:pPr>
        <w:pStyle w:val="16"/>
        <w:keepLines/>
        <w:numPr>
          <w:ilvl w:val="0"/>
          <w:numId w:val="1"/>
        </w:numPr>
        <w:spacing w:after="90" w:line="280" w:lineRule="auto"/>
      </w:pPr>
      <w:r>
        <w:rPr>
          <w:rFonts w:ascii="Calibri" w:hAnsi="Calibri" w:eastAsia="Calibri" w:cs="Calibri"/>
          <w:color w:val="23272F"/>
          <w:sz w:val="21"/>
          <w:szCs w:val="21"/>
        </w:rPr>
        <w:t>The two planes communicate through a dedicated Model Context Protocol (MCP) server, keeping autonomous-agent tooling decoupled from the ticketing system of record.</w:t>
      </w:r>
    </w:p>
    <w:p w14:paraId="1F030E7C">
      <w:pPr>
        <w:keepLines/>
        <w:spacing w:after="160" w:line="300" w:lineRule="auto"/>
      </w:pPr>
      <w:r>
        <w:rPr>
          <w:rFonts w:ascii="Calibri" w:hAnsi="Calibri" w:eastAsia="Calibri" w:cs="Calibri"/>
          <w:color w:val="23272F"/>
          <w:sz w:val="21"/>
          <w:szCs w:val="21"/>
        </w:rPr>
        <w:t>The platform maintains formal multi-level architectural blueprints — a C4 container diagram, an end-to-end sequence diagram, and D2 diagram-as-code — importable into Eraser.io, IcePanel, LikeC4, or Draw.io, so the design stays reviewable and versioned alongside the code.</w:t>
      </w:r>
    </w:p>
    <w:p w14:paraId="759C6C29">
      <w:pPr>
        <w:pStyle w:val="2"/>
        <w:keepNext/>
        <w:keepLines/>
        <w:pBdr>
          <w:bottom w:val="single" w:color="2E6FDB" w:sz="8" w:space="6"/>
        </w:pBdr>
        <w:spacing w:before="420" w:after="200"/>
      </w:pPr>
      <w:r>
        <w:rPr>
          <w:rFonts w:ascii="Calibri" w:hAnsi="Calibri" w:eastAsia="Calibri" w:cs="Calibri"/>
          <w:b/>
          <w:bCs/>
          <w:color w:val="0B1F3A"/>
          <w:sz w:val="30"/>
          <w:szCs w:val="30"/>
        </w:rPr>
        <w:t>Complete Tech Stack Breakdown</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500"/>
      </w:tblGrid>
      <w:tr w14:paraId="0146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tcBorders>
              <w:top w:val="single" w:color="0B1F3A" w:sz="4" w:space="0"/>
              <w:left w:val="single" w:color="0B1F3A" w:sz="4" w:space="0"/>
              <w:bottom w:val="single" w:color="0B1F3A" w:sz="4" w:space="0"/>
              <w:right w:val="single" w:color="0B1F3A" w:sz="4" w:space="0"/>
            </w:tcBorders>
            <w:shd w:val="clear" w:color="auto" w:fill="0B1F3A"/>
            <w:tcMar>
              <w:top w:w="120" w:type="dxa"/>
              <w:left w:w="140" w:type="dxa"/>
              <w:bottom w:w="120" w:type="dxa"/>
              <w:right w:w="140" w:type="dxa"/>
            </w:tcMar>
            <w:vAlign w:val="center"/>
          </w:tcPr>
          <w:p w14:paraId="4B305369">
            <w:r>
              <w:rPr>
                <w:rFonts w:ascii="Calibri" w:hAnsi="Calibri" w:eastAsia="Calibri" w:cs="Calibri"/>
                <w:b/>
                <w:bCs/>
                <w:color w:val="FFFFFF"/>
                <w:sz w:val="19"/>
                <w:szCs w:val="19"/>
              </w:rPr>
              <w:t>Layer</w:t>
            </w:r>
          </w:p>
        </w:tc>
        <w:tc>
          <w:tcPr>
            <w:tcW w:w="6500" w:type="dxa"/>
            <w:tcBorders>
              <w:top w:val="single" w:color="0B1F3A" w:sz="4" w:space="0"/>
              <w:left w:val="single" w:color="0B1F3A" w:sz="4" w:space="0"/>
              <w:bottom w:val="single" w:color="0B1F3A" w:sz="4" w:space="0"/>
              <w:right w:val="single" w:color="0B1F3A" w:sz="4" w:space="0"/>
            </w:tcBorders>
            <w:shd w:val="clear" w:color="auto" w:fill="0B1F3A"/>
            <w:tcMar>
              <w:top w:w="120" w:type="dxa"/>
              <w:left w:w="140" w:type="dxa"/>
              <w:bottom w:w="120" w:type="dxa"/>
              <w:right w:w="140" w:type="dxa"/>
            </w:tcMar>
            <w:vAlign w:val="center"/>
          </w:tcPr>
          <w:p w14:paraId="724C1A0B">
            <w:r>
              <w:rPr>
                <w:rFonts w:ascii="Calibri" w:hAnsi="Calibri" w:eastAsia="Calibri" w:cs="Calibri"/>
                <w:b/>
                <w:bCs/>
                <w:color w:val="FFFFFF"/>
                <w:sz w:val="19"/>
                <w:szCs w:val="19"/>
              </w:rPr>
              <w:t>Technologies</w:t>
            </w:r>
          </w:p>
        </w:tc>
      </w:tr>
      <w:tr w14:paraId="62072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1776B7DE">
            <w:r>
              <w:rPr>
                <w:rFonts w:ascii="Calibri" w:hAnsi="Calibri" w:eastAsia="Calibri" w:cs="Calibri"/>
                <w:b w:val="0"/>
                <w:bCs w:val="0"/>
                <w:color w:val="23272F"/>
                <w:sz w:val="19"/>
                <w:szCs w:val="19"/>
              </w:rPr>
              <w:t>Frontend</w:t>
            </w:r>
          </w:p>
        </w:tc>
        <w:tc>
          <w:tcPr>
            <w:tcW w:w="65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2B807F9A">
            <w:r>
              <w:rPr>
                <w:rFonts w:ascii="Calibri" w:hAnsi="Calibri" w:eastAsia="Calibri" w:cs="Calibri"/>
                <w:b w:val="0"/>
                <w:bCs w:val="0"/>
                <w:color w:val="23272F"/>
                <w:sz w:val="19"/>
                <w:szCs w:val="19"/>
              </w:rPr>
              <w:t>Next.js 14, React 18, Vite, Tailwind CSS, Lucide Icons</w:t>
            </w:r>
          </w:p>
        </w:tc>
      </w:tr>
      <w:tr w14:paraId="47AB5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5829B432">
            <w:r>
              <w:rPr>
                <w:rFonts w:ascii="Calibri" w:hAnsi="Calibri" w:eastAsia="Calibri" w:cs="Calibri"/>
                <w:b w:val="0"/>
                <w:bCs w:val="0"/>
                <w:color w:val="23272F"/>
                <w:sz w:val="19"/>
                <w:szCs w:val="19"/>
              </w:rPr>
              <w:t>Backend &amp; Core API</w:t>
            </w:r>
          </w:p>
        </w:tc>
        <w:tc>
          <w:tcPr>
            <w:tcW w:w="65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24591A6C">
            <w:r>
              <w:rPr>
                <w:rFonts w:ascii="Calibri" w:hAnsi="Calibri" w:eastAsia="Calibri" w:cs="Calibri"/>
                <w:b w:val="0"/>
                <w:bCs w:val="0"/>
                <w:color w:val="23272F"/>
                <w:sz w:val="19"/>
                <w:szCs w:val="19"/>
              </w:rPr>
              <w:t>NestJS, TypeScript, Swagger/OpenAPI, Prisma ORM</w:t>
            </w:r>
          </w:p>
        </w:tc>
      </w:tr>
      <w:tr w14:paraId="337D6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6BE5DA90">
            <w:r>
              <w:rPr>
                <w:rFonts w:ascii="Calibri" w:hAnsi="Calibri" w:eastAsia="Calibri" w:cs="Calibri"/>
                <w:b w:val="0"/>
                <w:bCs w:val="0"/>
                <w:color w:val="23272F"/>
                <w:sz w:val="19"/>
                <w:szCs w:val="19"/>
              </w:rPr>
              <w:t>Databases</w:t>
            </w:r>
          </w:p>
        </w:tc>
        <w:tc>
          <w:tcPr>
            <w:tcW w:w="65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557884D3">
            <w:r>
              <w:rPr>
                <w:rFonts w:ascii="Calibri" w:hAnsi="Calibri" w:eastAsia="Calibri" w:cs="Calibri"/>
                <w:b w:val="0"/>
                <w:bCs w:val="0"/>
                <w:color w:val="23272F"/>
                <w:sz w:val="19"/>
                <w:szCs w:val="19"/>
              </w:rPr>
              <w:t>PostgreSQL 15 — itsm_db &amp; agentic_sre_db</w:t>
            </w:r>
          </w:p>
        </w:tc>
      </w:tr>
      <w:tr w14:paraId="28585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4642F2A0">
            <w:r>
              <w:rPr>
                <w:rFonts w:ascii="Calibri" w:hAnsi="Calibri" w:eastAsia="Calibri" w:cs="Calibri"/>
                <w:b w:val="0"/>
                <w:bCs w:val="0"/>
                <w:color w:val="23272F"/>
                <w:sz w:val="19"/>
                <w:szCs w:val="19"/>
              </w:rPr>
              <w:t>AI &amp; Multi-Agent Layer</w:t>
            </w:r>
          </w:p>
        </w:tc>
        <w:tc>
          <w:tcPr>
            <w:tcW w:w="65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1FA1DBF3">
            <w:r>
              <w:rPr>
                <w:rFonts w:ascii="Calibri" w:hAnsi="Calibri" w:eastAsia="Calibri" w:cs="Calibri"/>
                <w:b w:val="0"/>
                <w:bCs w:val="0"/>
                <w:color w:val="23272F"/>
                <w:sz w:val="19"/>
                <w:szCs w:val="19"/>
              </w:rPr>
              <w:t>NVIDIA NIM — Nemotron 3.5 Lightning, Llama 3.3 70B, DeepSeek R1</w:t>
            </w:r>
          </w:p>
        </w:tc>
      </w:tr>
      <w:tr w14:paraId="0143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7D7AA5DE">
            <w:r>
              <w:rPr>
                <w:rFonts w:ascii="Calibri" w:hAnsi="Calibri" w:eastAsia="Calibri" w:cs="Calibri"/>
                <w:b w:val="0"/>
                <w:bCs w:val="0"/>
                <w:color w:val="23272F"/>
                <w:sz w:val="19"/>
                <w:szCs w:val="19"/>
              </w:rPr>
              <w:t>RAG &amp; Vector Memory</w:t>
            </w:r>
          </w:p>
        </w:tc>
        <w:tc>
          <w:tcPr>
            <w:tcW w:w="65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22C4C01D">
            <w:r>
              <w:rPr>
                <w:rFonts w:ascii="Calibri" w:hAnsi="Calibri" w:eastAsia="Calibri" w:cs="Calibri"/>
                <w:b w:val="0"/>
                <w:bCs w:val="0"/>
                <w:color w:val="23272F"/>
                <w:sz w:val="19"/>
                <w:szCs w:val="19"/>
              </w:rPr>
              <w:t>ChromaDB (4096-D nv-embed-v1), BM25Okapi, Reciprocal Rank Fusion (RRF)</w:t>
            </w:r>
          </w:p>
        </w:tc>
      </w:tr>
      <w:tr w14:paraId="12DC0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23489BAB">
            <w:r>
              <w:rPr>
                <w:rFonts w:ascii="Calibri" w:hAnsi="Calibri" w:eastAsia="Calibri" w:cs="Calibri"/>
                <w:b w:val="0"/>
                <w:bCs w:val="0"/>
                <w:color w:val="23272F"/>
                <w:sz w:val="19"/>
                <w:szCs w:val="19"/>
              </w:rPr>
              <w:t>SRE Daemon &amp; Execution</w:t>
            </w:r>
          </w:p>
        </w:tc>
        <w:tc>
          <w:tcPr>
            <w:tcW w:w="65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23428BDE">
            <w:r>
              <w:rPr>
                <w:rFonts w:ascii="Calibri" w:hAnsi="Calibri" w:eastAsia="Calibri" w:cs="Calibri"/>
                <w:b w:val="0"/>
                <w:bCs w:val="0"/>
                <w:color w:val="23272F"/>
                <w:sz w:val="19"/>
                <w:szCs w:val="19"/>
              </w:rPr>
              <w:t>Python 3.10, ThreadPoolExecutor, Paramiko SSH, MCP SDK</w:t>
            </w:r>
          </w:p>
        </w:tc>
      </w:tr>
    </w:tbl>
    <w:p w14:paraId="066EA8A2">
      <w:pPr>
        <w:pStyle w:val="2"/>
        <w:keepNext/>
        <w:keepLines/>
        <w:pBdr>
          <w:bottom w:val="single" w:color="2E6FDB" w:sz="8" w:space="6"/>
        </w:pBdr>
        <w:spacing w:before="420" w:after="200"/>
      </w:pPr>
      <w:r>
        <w:rPr>
          <w:rFonts w:ascii="Calibri" w:hAnsi="Calibri" w:eastAsia="Calibri" w:cs="Calibri"/>
          <w:b/>
          <w:bCs/>
          <w:color w:val="0B1F3A"/>
          <w:sz w:val="30"/>
          <w:szCs w:val="30"/>
        </w:rPr>
        <w:t>Deep-Dive: SRE Agentic Control Tower</w:t>
      </w:r>
    </w:p>
    <w:p w14:paraId="4F55AF95">
      <w:pPr>
        <w:keepNext/>
        <w:keepLines/>
        <w:spacing w:before="200" w:after="60"/>
        <w:jc w:val="center"/>
      </w:pPr>
      <w:r>
        <w:drawing>
          <wp:inline distT="0" distB="0" distL="0" distR="0">
            <wp:extent cx="5572125" cy="3133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572125" cy="3133725"/>
                    </a:xfrm>
                    <a:prstGeom prst="rect">
                      <a:avLst/>
                    </a:prstGeom>
                  </pic:spPr>
                </pic:pic>
              </a:graphicData>
            </a:graphic>
          </wp:inline>
        </w:drawing>
      </w:r>
    </w:p>
    <w:p w14:paraId="4B782E48">
      <w:pPr>
        <w:keepLines/>
        <w:spacing w:before="100" w:after="300"/>
        <w:jc w:val="center"/>
      </w:pPr>
      <w:r>
        <w:rPr>
          <w:rFonts w:ascii="Calibri" w:hAnsi="Calibri" w:eastAsia="Calibri" w:cs="Calibri"/>
          <w:i/>
          <w:iCs/>
          <w:color w:val="6B7280"/>
          <w:sz w:val="18"/>
          <w:szCs w:val="18"/>
        </w:rPr>
        <w:t>Figure 2 — SRE Control Tower live overview: 16 managed AI assets, HITL human gate, 38s autonomous MTTR, and 96.4% compliance posture.</w:t>
      </w:r>
    </w:p>
    <w:p w14:paraId="2C2FD15B">
      <w:pPr>
        <w:pStyle w:val="3"/>
        <w:keepNext/>
        <w:keepLines/>
        <w:spacing w:before="260" w:after="120"/>
      </w:pPr>
      <w:r>
        <w:rPr>
          <w:rFonts w:ascii="Calibri" w:hAnsi="Calibri" w:eastAsia="Calibri" w:cs="Calibri"/>
          <w:b/>
          <w:bCs/>
          <w:color w:val="13294B"/>
          <w:sz w:val="24"/>
          <w:szCs w:val="24"/>
        </w:rPr>
        <w:t>Autonomous AI Router &amp; Triage</w:t>
      </w:r>
    </w:p>
    <w:p w14:paraId="1FB635C2">
      <w:pPr>
        <w:keepLines/>
        <w:spacing w:after="160" w:line="300" w:lineRule="auto"/>
      </w:pPr>
      <w:r>
        <w:rPr>
          <w:rFonts w:ascii="Calibri" w:hAnsi="Calibri" w:eastAsia="Calibri" w:cs="Calibri"/>
          <w:color w:val="23272F"/>
          <w:sz w:val="21"/>
          <w:szCs w:val="21"/>
        </w:rPr>
        <w:t>The AI router evaluates every incoming ticket against 1,187 historical precedents and has held a 100% autonomous route rate at a confidence threshold of ≥85%, on a continuous 15-second polling loop — all traffic runs through the standardized Model Context Protocol layer.</w:t>
      </w:r>
    </w:p>
    <w:p w14:paraId="720DBDB6">
      <w:pPr>
        <w:keepNext/>
        <w:keepLines/>
        <w:spacing w:before="200" w:after="60"/>
        <w:jc w:val="center"/>
      </w:pPr>
      <w:r>
        <w:drawing>
          <wp:inline distT="0" distB="0" distL="0" distR="0">
            <wp:extent cx="5572125" cy="3133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572125" cy="3133725"/>
                    </a:xfrm>
                    <a:prstGeom prst="rect">
                      <a:avLst/>
                    </a:prstGeom>
                  </pic:spPr>
                </pic:pic>
              </a:graphicData>
            </a:graphic>
          </wp:inline>
        </w:drawing>
      </w:r>
    </w:p>
    <w:p w14:paraId="76D9D1E1">
      <w:pPr>
        <w:keepLines/>
        <w:spacing w:before="100" w:after="300"/>
        <w:jc w:val="center"/>
      </w:pPr>
      <w:r>
        <w:rPr>
          <w:rFonts w:ascii="Calibri" w:hAnsi="Calibri" w:eastAsia="Calibri" w:cs="Calibri"/>
          <w:i/>
          <w:iCs/>
          <w:color w:val="6B7280"/>
          <w:sz w:val="18"/>
          <w:szCs w:val="18"/>
        </w:rPr>
        <w:t>Figure 3 — Live AI classification stream: 1,187 tickets evaluated, 100% autonomous route rate, per-ticket confidence and reasoning trace.</w:t>
      </w:r>
    </w:p>
    <w:p w14:paraId="4ED0E9B3">
      <w:pPr>
        <w:pStyle w:val="3"/>
        <w:keepNext/>
        <w:keepLines/>
        <w:spacing w:before="260" w:after="120"/>
      </w:pPr>
      <w:r>
        <w:rPr>
          <w:rFonts w:ascii="Calibri" w:hAnsi="Calibri" w:eastAsia="Calibri" w:cs="Calibri"/>
          <w:b/>
          <w:bCs/>
          <w:color w:val="13294B"/>
          <w:sz w:val="24"/>
          <w:szCs w:val="24"/>
        </w:rPr>
        <w:t>Two-Phase ReAct Engine</w:t>
      </w:r>
    </w:p>
    <w:p w14:paraId="7DE3697A">
      <w:pPr>
        <w:pStyle w:val="16"/>
        <w:keepLines/>
        <w:numPr>
          <w:ilvl w:val="0"/>
          <w:numId w:val="1"/>
        </w:numPr>
        <w:spacing w:after="90" w:line="280" w:lineRule="auto"/>
      </w:pPr>
      <w:r>
        <w:rPr>
          <w:rFonts w:ascii="Calibri" w:hAnsi="Calibri" w:eastAsia="Calibri" w:cs="Calibri"/>
          <w:color w:val="23272F"/>
          <w:sz w:val="21"/>
          <w:szCs w:val="21"/>
        </w:rPr>
        <w:t>Phase 1 — Read-Only Diagnostics: a non-destructive ReAct loop gathers live telemetry (systemctl, ps, ss, journalctl) before any remediation is proposed.</w:t>
      </w:r>
    </w:p>
    <w:p w14:paraId="510F42AC">
      <w:pPr>
        <w:pStyle w:val="16"/>
        <w:keepLines/>
        <w:numPr>
          <w:ilvl w:val="0"/>
          <w:numId w:val="1"/>
        </w:numPr>
        <w:spacing w:after="90" w:line="280" w:lineRule="auto"/>
      </w:pPr>
      <w:r>
        <w:rPr>
          <w:rFonts w:ascii="Calibri" w:hAnsi="Calibri" w:eastAsia="Calibri" w:cs="Calibri"/>
          <w:color w:val="23272F"/>
          <w:sz w:val="21"/>
          <w:szCs w:val="21"/>
        </w:rPr>
        <w:t>Phase 2 — Targeted Remediation: approved SOP steps execute over persistent SSH with automated 10-second stabilization pauses between service-affecting actions.</w:t>
      </w:r>
    </w:p>
    <w:p w14:paraId="746DBB87">
      <w:pPr>
        <w:pStyle w:val="3"/>
        <w:keepNext/>
        <w:keepLines/>
        <w:spacing w:before="260" w:after="120"/>
      </w:pPr>
      <w:r>
        <w:rPr>
          <w:rFonts w:ascii="Calibri" w:hAnsi="Calibri" w:eastAsia="Calibri" w:cs="Calibri"/>
          <w:b/>
          <w:bCs/>
          <w:color w:val="13294B"/>
          <w:sz w:val="24"/>
          <w:szCs w:val="24"/>
        </w:rPr>
        <w:t>Hybrid Vector &amp; Lexical RAG</w:t>
      </w:r>
    </w:p>
    <w:p w14:paraId="749A52D2">
      <w:pPr>
        <w:keepLines/>
        <w:spacing w:after="160" w:line="300" w:lineRule="auto"/>
      </w:pPr>
      <w:r>
        <w:rPr>
          <w:rFonts w:ascii="Calibri" w:hAnsi="Calibri" w:eastAsia="Calibri" w:cs="Calibri"/>
          <w:color w:val="23272F"/>
          <w:sz w:val="21"/>
          <w:szCs w:val="21"/>
        </w:rPr>
        <w:t>Dense vector semantic search (4096-D nv-embed-v1 embeddings in ChromaDB) is fused with BM25Okapi lexical/exact-token retrieval via Reciprocal Rank Fusion, so both conceptual similarity and precise error-string matches surface matching precedent. Live retrieval quality currently sits at an average vector score of 0.9150 with 92.4% master-SOP reuse across 44 indexed SOPs.</w:t>
      </w:r>
    </w:p>
    <w:p w14:paraId="38623CBC">
      <w:pPr>
        <w:keepNext/>
        <w:keepLines/>
        <w:spacing w:before="200" w:after="60"/>
        <w:jc w:val="center"/>
      </w:pPr>
      <w:r>
        <w:drawing>
          <wp:inline distT="0" distB="0" distL="0" distR="0">
            <wp:extent cx="5572125" cy="3133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572125" cy="3133725"/>
                    </a:xfrm>
                    <a:prstGeom prst="rect">
                      <a:avLst/>
                    </a:prstGeom>
                  </pic:spPr>
                </pic:pic>
              </a:graphicData>
            </a:graphic>
          </wp:inline>
        </w:drawing>
      </w:r>
    </w:p>
    <w:p w14:paraId="5E1100C3">
      <w:pPr>
        <w:keepLines/>
        <w:spacing w:before="100" w:after="300"/>
        <w:jc w:val="center"/>
      </w:pPr>
      <w:r>
        <w:rPr>
          <w:rFonts w:ascii="Calibri" w:hAnsi="Calibri" w:eastAsia="Calibri" w:cs="Calibri"/>
          <w:i/>
          <w:iCs/>
          <w:color w:val="6B7280"/>
          <w:sz w:val="18"/>
          <w:szCs w:val="18"/>
        </w:rPr>
        <w:t>Figure 4 — 3D vector knowledge base map and RAG performance: 0.9150 average vector score, 92.4% SOP reuse, resolution MTTR by execution path.</w:t>
      </w:r>
    </w:p>
    <w:p w14:paraId="0B389C37">
      <w:pPr>
        <w:pStyle w:val="3"/>
        <w:keepNext/>
        <w:keepLines/>
        <w:spacing w:before="260" w:after="120"/>
      </w:pPr>
      <w:r>
        <w:rPr>
          <w:rFonts w:ascii="Calibri" w:hAnsi="Calibri" w:eastAsia="Calibri" w:cs="Calibri"/>
          <w:b/>
          <w:bCs/>
          <w:color w:val="13294B"/>
          <w:sz w:val="24"/>
          <w:szCs w:val="24"/>
        </w:rPr>
        <w:t>In-Guest Terminal Proof Verification</w:t>
      </w:r>
    </w:p>
    <w:p w14:paraId="5B9CF902">
      <w:pPr>
        <w:keepLines/>
        <w:spacing w:after="160" w:line="300" w:lineRule="auto"/>
      </w:pPr>
      <w:r>
        <w:rPr>
          <w:rFonts w:ascii="Calibri" w:hAnsi="Calibri" w:eastAsia="Calibri" w:cs="Calibri"/>
          <w:color w:val="23272F"/>
          <w:sz w:val="21"/>
          <w:szCs w:val="21"/>
        </w:rPr>
        <w:t>Rather than trusting a returned exit code, the agent inspects live in-guest state directly — socket bindings via ss -tulpn, daemon health via systemctl is-active — before a ticket is marked resolved.</w:t>
      </w:r>
    </w:p>
    <w:p w14:paraId="73B7DCEC">
      <w:pPr>
        <w:pStyle w:val="3"/>
        <w:keepNext/>
        <w:keepLines/>
        <w:spacing w:before="260" w:after="120"/>
      </w:pPr>
      <w:r>
        <w:rPr>
          <w:rFonts w:ascii="Calibri" w:hAnsi="Calibri" w:eastAsia="Calibri" w:cs="Calibri"/>
          <w:b/>
          <w:bCs/>
          <w:color w:val="13294B"/>
          <w:sz w:val="24"/>
          <w:szCs w:val="24"/>
        </w:rPr>
        <w:t>Self-Learning Knowledge Base Synthesizer</w:t>
      </w:r>
    </w:p>
    <w:p w14:paraId="3FE3FF38">
      <w:pPr>
        <w:keepLines/>
        <w:spacing w:after="160" w:line="300" w:lineRule="auto"/>
      </w:pPr>
      <w:r>
        <w:rPr>
          <w:rFonts w:ascii="Calibri" w:hAnsi="Calibri" w:eastAsia="Calibri" w:cs="Calibri"/>
          <w:color w:val="23272F"/>
          <w:sz w:val="21"/>
          <w:szCs w:val="21"/>
        </w:rPr>
        <w:t>When no existing SOP matches an incident, the resolver's verified diagnostic-and-fix trace is automatically synthesized into a new SOP, persisted to the knowledge base, and indexed into ChromaDB for future retrieval — closing the loop between resolution and reusable knowledge.</w:t>
      </w:r>
    </w:p>
    <w:p w14:paraId="0FBC1D10">
      <w:pPr>
        <w:pStyle w:val="2"/>
        <w:keepNext/>
        <w:keepLines/>
        <w:pBdr>
          <w:bottom w:val="single" w:color="2E6FDB" w:sz="8" w:space="6"/>
        </w:pBdr>
        <w:spacing w:before="420" w:after="200"/>
      </w:pPr>
      <w:r>
        <w:rPr>
          <w:rFonts w:ascii="Calibri" w:hAnsi="Calibri" w:eastAsia="Calibri" w:cs="Calibri"/>
          <w:b/>
          <w:bCs/>
          <w:color w:val="0B1F3A"/>
          <w:sz w:val="30"/>
          <w:szCs w:val="30"/>
        </w:rPr>
        <w:t>Enterprise Safety, Governance &amp; Human-in-the-Loop</w:t>
      </w:r>
    </w:p>
    <w:p w14:paraId="2306634B">
      <w:pPr>
        <w:pStyle w:val="16"/>
        <w:keepLines/>
        <w:numPr>
          <w:ilvl w:val="0"/>
          <w:numId w:val="1"/>
        </w:numPr>
        <w:spacing w:after="90" w:line="280" w:lineRule="auto"/>
      </w:pPr>
      <w:r>
        <w:rPr>
          <w:rFonts w:ascii="Calibri" w:hAnsi="Calibri" w:eastAsia="Calibri" w:cs="Calibri"/>
          <w:color w:val="23272F"/>
          <w:sz w:val="21"/>
          <w:szCs w:val="21"/>
        </w:rPr>
        <w:t>Interactive Approval Cards — pending high-risk actions surface to a human operator with live blast-radius context before execution.</w:t>
      </w:r>
    </w:p>
    <w:p w14:paraId="332CF343">
      <w:pPr>
        <w:pStyle w:val="16"/>
        <w:keepLines/>
        <w:numPr>
          <w:ilvl w:val="0"/>
          <w:numId w:val="1"/>
        </w:numPr>
        <w:spacing w:after="90" w:line="280" w:lineRule="auto"/>
      </w:pPr>
      <w:r>
        <w:rPr>
          <w:rFonts w:ascii="Calibri" w:hAnsi="Calibri" w:eastAsia="Calibri" w:cs="Calibri"/>
          <w:color w:val="23272F"/>
          <w:sz w:val="21"/>
          <w:szCs w:val="21"/>
        </w:rPr>
        <w:t>12-Iteration Reasoning Checkpoints — the agent's reasoning loop is bounded to prevent runaway or infinite execution cycles.</w:t>
      </w:r>
    </w:p>
    <w:p w14:paraId="76720DC9">
      <w:pPr>
        <w:pStyle w:val="16"/>
        <w:keepLines/>
        <w:numPr>
          <w:ilvl w:val="0"/>
          <w:numId w:val="1"/>
        </w:numPr>
        <w:spacing w:after="90" w:line="280" w:lineRule="auto"/>
      </w:pPr>
      <w:r>
        <w:rPr>
          <w:rFonts w:ascii="Calibri" w:hAnsi="Calibri" w:eastAsia="Calibri" w:cs="Calibri"/>
          <w:color w:val="23272F"/>
          <w:sz w:val="21"/>
          <w:szCs w:val="21"/>
        </w:rPr>
        <w:t>Fleet-wide Emergency Kill Switch — operators can instantly abort in-flight executions; the daemon checks containment state and halts in under 1.5 seconds.</w:t>
      </w:r>
    </w:p>
    <w:p w14:paraId="0AC79259">
      <w:pPr>
        <w:pStyle w:val="16"/>
        <w:keepLines/>
        <w:numPr>
          <w:ilvl w:val="0"/>
          <w:numId w:val="1"/>
        </w:numPr>
        <w:spacing w:after="90" w:line="280" w:lineRule="auto"/>
      </w:pPr>
      <w:r>
        <w:rPr>
          <w:rFonts w:ascii="Calibri" w:hAnsi="Calibri" w:eastAsia="Calibri" w:cs="Calibri"/>
          <w:color w:val="23272F"/>
          <w:sz w:val="21"/>
          <w:szCs w:val="21"/>
        </w:rPr>
        <w:t>Immutable Audit Logs — every diagnostic step, approval decision, and remediation trace is persisted for full execution observability.</w:t>
      </w:r>
    </w:p>
    <w:p w14:paraId="0B765AB2">
      <w:pPr>
        <w:pStyle w:val="16"/>
        <w:keepLines/>
        <w:numPr>
          <w:ilvl w:val="0"/>
          <w:numId w:val="1"/>
        </w:numPr>
        <w:spacing w:after="90" w:line="280" w:lineRule="auto"/>
      </w:pPr>
      <w:r>
        <w:rPr>
          <w:rFonts w:ascii="Calibri" w:hAnsi="Calibri" w:eastAsia="Calibri" w:cs="Calibri"/>
          <w:color w:val="23272F"/>
          <w:sz w:val="21"/>
          <w:szCs w:val="21"/>
        </w:rPr>
        <w:t>Pre-Execution Catastrophic Blacklist — a deterministic AST-based command parser blocks destructive operations (rm -rf /, mkfs, dd, fork bombs, fdisk, reboot/shutdown) before they can reach a live host.</w:t>
      </w:r>
    </w:p>
    <w:p w14:paraId="6020F28A">
      <w:pPr>
        <w:keepLines/>
        <w:spacing w:after="160" w:line="300" w:lineRule="auto"/>
      </w:pPr>
      <w:r>
        <w:rPr>
          <w:rFonts w:ascii="Calibri" w:hAnsi="Calibri" w:eastAsia="Calibri" w:cs="Calibri"/>
          <w:color w:val="23272F"/>
          <w:sz w:val="21"/>
          <w:szCs w:val="21"/>
        </w:rPr>
        <w:t>The HITL Human Gate dashboard metric currently reads 0 pending high-impact approval cards awaiting sign-off, even as individual tickets such as INC0001168 (below) sit ON_HOLD in the queue — the gate is enforced per-incident, and only a fraction of novel, high-risk cases require it (see Figure 2).</w:t>
      </w:r>
    </w:p>
    <w:p w14:paraId="0C85666A">
      <w:pPr>
        <w:pStyle w:val="3"/>
        <w:keepNext/>
        <w:keepLines/>
        <w:spacing w:before="260" w:after="120"/>
      </w:pPr>
      <w:r>
        <w:rPr>
          <w:rFonts w:ascii="Calibri" w:hAnsi="Calibri" w:eastAsia="Calibri" w:cs="Calibri"/>
          <w:b/>
          <w:bCs/>
          <w:color w:val="13294B"/>
          <w:sz w:val="24"/>
          <w:szCs w:val="24"/>
        </w:rPr>
        <w:t>Regulatory Compliance Posture</w:t>
      </w:r>
    </w:p>
    <w:p w14:paraId="26878955">
      <w:pPr>
        <w:keepLines/>
        <w:spacing w:after="160" w:line="300" w:lineRule="auto"/>
      </w:pPr>
      <w:r>
        <w:rPr>
          <w:rFonts w:ascii="Calibri" w:hAnsi="Calibri" w:eastAsia="Calibri" w:cs="Calibri"/>
          <w:color w:val="23272F"/>
          <w:sz w:val="21"/>
          <w:szCs w:val="21"/>
        </w:rPr>
        <w:t>Governance is continuously scored against three live regulatory frameworks rather than assessed periodically:</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900"/>
        <w:gridCol w:w="4300"/>
      </w:tblGrid>
      <w:tr w14:paraId="7E6E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200" w:type="dxa"/>
            <w:tcBorders>
              <w:top w:val="single" w:color="0B1F3A" w:sz="4" w:space="0"/>
              <w:left w:val="single" w:color="0B1F3A" w:sz="4" w:space="0"/>
              <w:bottom w:val="single" w:color="0B1F3A" w:sz="4" w:space="0"/>
              <w:right w:val="single" w:color="0B1F3A" w:sz="4" w:space="0"/>
            </w:tcBorders>
            <w:shd w:val="clear" w:color="auto" w:fill="0B1F3A"/>
            <w:tcMar>
              <w:top w:w="120" w:type="dxa"/>
              <w:left w:w="140" w:type="dxa"/>
              <w:bottom w:w="120" w:type="dxa"/>
              <w:right w:w="140" w:type="dxa"/>
            </w:tcMar>
            <w:vAlign w:val="center"/>
          </w:tcPr>
          <w:p w14:paraId="1948F72D">
            <w:r>
              <w:rPr>
                <w:rFonts w:ascii="Calibri" w:hAnsi="Calibri" w:eastAsia="Calibri" w:cs="Calibri"/>
                <w:b/>
                <w:bCs/>
                <w:color w:val="FFFFFF"/>
                <w:sz w:val="19"/>
                <w:szCs w:val="19"/>
              </w:rPr>
              <w:t>Framework</w:t>
            </w:r>
          </w:p>
        </w:tc>
        <w:tc>
          <w:tcPr>
            <w:tcW w:w="1900" w:type="dxa"/>
            <w:tcBorders>
              <w:top w:val="single" w:color="0B1F3A" w:sz="4" w:space="0"/>
              <w:left w:val="single" w:color="0B1F3A" w:sz="4" w:space="0"/>
              <w:bottom w:val="single" w:color="0B1F3A" w:sz="4" w:space="0"/>
              <w:right w:val="single" w:color="0B1F3A" w:sz="4" w:space="0"/>
            </w:tcBorders>
            <w:shd w:val="clear" w:color="auto" w:fill="0B1F3A"/>
            <w:tcMar>
              <w:top w:w="120" w:type="dxa"/>
              <w:left w:w="140" w:type="dxa"/>
              <w:bottom w:w="120" w:type="dxa"/>
              <w:right w:w="140" w:type="dxa"/>
            </w:tcMar>
            <w:vAlign w:val="center"/>
          </w:tcPr>
          <w:p w14:paraId="37856A0F">
            <w:r>
              <w:rPr>
                <w:rFonts w:ascii="Calibri" w:hAnsi="Calibri" w:eastAsia="Calibri" w:cs="Calibri"/>
                <w:b/>
                <w:bCs/>
                <w:color w:val="FFFFFF"/>
                <w:sz w:val="19"/>
                <w:szCs w:val="19"/>
              </w:rPr>
              <w:t>Live Score</w:t>
            </w:r>
          </w:p>
        </w:tc>
        <w:tc>
          <w:tcPr>
            <w:tcW w:w="4300" w:type="dxa"/>
            <w:tcBorders>
              <w:top w:val="single" w:color="0B1F3A" w:sz="4" w:space="0"/>
              <w:left w:val="single" w:color="0B1F3A" w:sz="4" w:space="0"/>
              <w:bottom w:val="single" w:color="0B1F3A" w:sz="4" w:space="0"/>
              <w:right w:val="single" w:color="0B1F3A" w:sz="4" w:space="0"/>
            </w:tcBorders>
            <w:shd w:val="clear" w:color="auto" w:fill="0B1F3A"/>
            <w:tcMar>
              <w:top w:w="120" w:type="dxa"/>
              <w:left w:w="140" w:type="dxa"/>
              <w:bottom w:w="120" w:type="dxa"/>
              <w:right w:w="140" w:type="dxa"/>
            </w:tcMar>
            <w:vAlign w:val="center"/>
          </w:tcPr>
          <w:p w14:paraId="4A160DBF">
            <w:r>
              <w:rPr>
                <w:rFonts w:ascii="Calibri" w:hAnsi="Calibri" w:eastAsia="Calibri" w:cs="Calibri"/>
                <w:b/>
                <w:bCs/>
                <w:color w:val="FFFFFF"/>
                <w:sz w:val="19"/>
                <w:szCs w:val="19"/>
              </w:rPr>
              <w:t>Example Passing Control</w:t>
            </w:r>
          </w:p>
        </w:tc>
      </w:tr>
      <w:tr w14:paraId="3D938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021E2379">
            <w:r>
              <w:rPr>
                <w:rFonts w:ascii="Calibri" w:hAnsi="Calibri" w:eastAsia="Calibri" w:cs="Calibri"/>
                <w:b w:val="0"/>
                <w:bCs w:val="0"/>
                <w:color w:val="23272F"/>
                <w:sz w:val="19"/>
                <w:szCs w:val="19"/>
              </w:rPr>
              <w:t>EU AI Act (Reg. 2024/1689)</w:t>
            </w:r>
          </w:p>
        </w:tc>
        <w:tc>
          <w:tcPr>
            <w:tcW w:w="19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31D2E91B">
            <w:r>
              <w:rPr>
                <w:rFonts w:ascii="Calibri" w:hAnsi="Calibri" w:eastAsia="Calibri" w:cs="Calibri"/>
                <w:b w:val="0"/>
                <w:bCs w:val="0"/>
                <w:color w:val="23272F"/>
                <w:sz w:val="19"/>
                <w:szCs w:val="19"/>
              </w:rPr>
              <w:t>98.2% compliant</w:t>
            </w:r>
          </w:p>
        </w:tc>
        <w:tc>
          <w:tcPr>
            <w:tcW w:w="43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4983B392">
            <w:r>
              <w:rPr>
                <w:rFonts w:ascii="Calibri" w:hAnsi="Calibri" w:eastAsia="Calibri" w:cs="Calibri"/>
                <w:b w:val="0"/>
                <w:bCs w:val="0"/>
                <w:color w:val="23272F"/>
                <w:sz w:val="19"/>
                <w:szCs w:val="19"/>
              </w:rPr>
              <w:t>Art. 14 — mandatory human-in-the-loop gate for destructive/privileged actions</w:t>
            </w:r>
          </w:p>
        </w:tc>
      </w:tr>
      <w:tr w14:paraId="2874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2A402425">
            <w:r>
              <w:rPr>
                <w:rFonts w:ascii="Calibri" w:hAnsi="Calibri" w:eastAsia="Calibri" w:cs="Calibri"/>
                <w:b w:val="0"/>
                <w:bCs w:val="0"/>
                <w:color w:val="23272F"/>
                <w:sz w:val="19"/>
                <w:szCs w:val="19"/>
              </w:rPr>
              <w:t>ISO/IEC 42001:2023</w:t>
            </w:r>
          </w:p>
        </w:tc>
        <w:tc>
          <w:tcPr>
            <w:tcW w:w="19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2E646A7D">
            <w:r>
              <w:rPr>
                <w:rFonts w:ascii="Calibri" w:hAnsi="Calibri" w:eastAsia="Calibri" w:cs="Calibri"/>
                <w:b w:val="0"/>
                <w:bCs w:val="0"/>
                <w:color w:val="23272F"/>
                <w:sz w:val="19"/>
                <w:szCs w:val="19"/>
              </w:rPr>
              <w:t>96.4% compliant</w:t>
            </w:r>
          </w:p>
        </w:tc>
        <w:tc>
          <w:tcPr>
            <w:tcW w:w="43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40E21F3C">
            <w:r>
              <w:rPr>
                <w:rFonts w:ascii="Calibri" w:hAnsi="Calibri" w:eastAsia="Calibri" w:cs="Calibri"/>
                <w:b w:val="0"/>
                <w:bCs w:val="0"/>
                <w:color w:val="23272F"/>
                <w:sz w:val="19"/>
                <w:szCs w:val="19"/>
              </w:rPr>
              <w:t>Clause 6.1.2 — automatic risk scoring for all proposed actions</w:t>
            </w:r>
          </w:p>
        </w:tc>
      </w:tr>
      <w:tr w14:paraId="35075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35AD0C25">
            <w:r>
              <w:rPr>
                <w:rFonts w:ascii="Calibri" w:hAnsi="Calibri" w:eastAsia="Calibri" w:cs="Calibri"/>
                <w:b w:val="0"/>
                <w:bCs w:val="0"/>
                <w:color w:val="23272F"/>
                <w:sz w:val="19"/>
                <w:szCs w:val="19"/>
              </w:rPr>
              <w:t>NIST AI RMF 1.0</w:t>
            </w:r>
          </w:p>
        </w:tc>
        <w:tc>
          <w:tcPr>
            <w:tcW w:w="19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03BA007D">
            <w:r>
              <w:rPr>
                <w:rFonts w:ascii="Calibri" w:hAnsi="Calibri" w:eastAsia="Calibri" w:cs="Calibri"/>
                <w:b w:val="0"/>
                <w:bCs w:val="0"/>
                <w:color w:val="23272F"/>
                <w:sz w:val="19"/>
                <w:szCs w:val="19"/>
              </w:rPr>
              <w:t>95.0% compliant</w:t>
            </w:r>
          </w:p>
        </w:tc>
        <w:tc>
          <w:tcPr>
            <w:tcW w:w="43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182C44FA">
            <w:r>
              <w:rPr>
                <w:rFonts w:ascii="Calibri" w:hAnsi="Calibri" w:eastAsia="Calibri" w:cs="Calibri"/>
                <w:b w:val="0"/>
                <w:bCs w:val="0"/>
                <w:color w:val="23272F"/>
                <w:sz w:val="19"/>
                <w:szCs w:val="19"/>
              </w:rPr>
              <w:t>Measure 2.1 — domain-aware post-remediation OS verification</w:t>
            </w:r>
          </w:p>
        </w:tc>
      </w:tr>
    </w:tbl>
    <w:p w14:paraId="2EC84A3E">
      <w:pPr>
        <w:keepNext/>
        <w:keepLines/>
        <w:spacing w:before="200" w:after="60"/>
        <w:jc w:val="center"/>
      </w:pPr>
      <w:r>
        <w:drawing>
          <wp:inline distT="0" distB="0" distL="0" distR="0">
            <wp:extent cx="5572125" cy="3133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572125" cy="3133725"/>
                    </a:xfrm>
                    <a:prstGeom prst="rect">
                      <a:avLst/>
                    </a:prstGeom>
                  </pic:spPr>
                </pic:pic>
              </a:graphicData>
            </a:graphic>
          </wp:inline>
        </w:drawing>
      </w:r>
    </w:p>
    <w:p w14:paraId="15E3C3E0">
      <w:pPr>
        <w:keepLines/>
        <w:spacing w:before="100" w:after="300"/>
        <w:jc w:val="center"/>
      </w:pPr>
      <w:r>
        <w:rPr>
          <w:rFonts w:ascii="Calibri" w:hAnsi="Calibri" w:eastAsia="Calibri" w:cs="Calibri"/>
          <w:i/>
          <w:iCs/>
          <w:color w:val="6B7280"/>
          <w:sz w:val="18"/>
          <w:szCs w:val="18"/>
        </w:rPr>
        <w:t>Figure 5 — Risk, security &amp; regulatory compliance dashboard, including the armed fleet-wide kill switch protocol.</w:t>
      </w:r>
    </w:p>
    <w:p w14:paraId="4C16A1B9">
      <w:pPr>
        <w:pStyle w:val="2"/>
        <w:keepNext/>
        <w:keepLines/>
        <w:pBdr>
          <w:bottom w:val="single" w:color="2E6FDB" w:sz="8" w:space="6"/>
        </w:pBdr>
        <w:spacing w:before="420" w:after="200"/>
      </w:pPr>
      <w:r>
        <w:rPr>
          <w:rFonts w:ascii="Calibri" w:hAnsi="Calibri" w:eastAsia="Calibri" w:cs="Calibri"/>
          <w:b/>
          <w:bCs/>
          <w:color w:val="0B1F3A"/>
          <w:sz w:val="30"/>
          <w:szCs w:val="30"/>
        </w:rPr>
        <w:t>Production Incident Walkthrough</w:t>
      </w:r>
    </w:p>
    <w:p w14:paraId="4DB517C1">
      <w:pPr>
        <w:keepLines/>
        <w:spacing w:after="160" w:line="300" w:lineRule="auto"/>
      </w:pPr>
      <w:r>
        <w:rPr>
          <w:rFonts w:ascii="Calibri" w:hAnsi="Calibri" w:eastAsia="Calibri" w:cs="Calibri"/>
          <w:color w:val="23272F"/>
          <w:sz w:val="21"/>
          <w:szCs w:val="21"/>
        </w:rPr>
        <w:t>Incident #INC0001170 — “nexacore appliction down on workernode1HL server” — as captured live from the platform, timestamped end to end. Unlike the HITL-gated example above, this signature had an existing high-confidence Master SOP on file, so it took the RAG direct-hit path and closed in 85 seconds flat:</w:t>
      </w:r>
    </w:p>
    <w:p w14:paraId="57CB63F9">
      <w:pPr>
        <w:keepNext/>
        <w:keepLines/>
        <w:spacing w:before="200" w:after="60"/>
        <w:jc w:val="center"/>
      </w:pPr>
      <w:r>
        <w:drawing>
          <wp:inline distT="0" distB="0" distL="0" distR="0">
            <wp:extent cx="5572125" cy="2752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572125" cy="2752725"/>
                    </a:xfrm>
                    <a:prstGeom prst="rect">
                      <a:avLst/>
                    </a:prstGeom>
                  </pic:spPr>
                </pic:pic>
              </a:graphicData>
            </a:graphic>
          </wp:inline>
        </w:drawing>
      </w:r>
    </w:p>
    <w:p w14:paraId="6DBFDD82">
      <w:pPr>
        <w:keepLines/>
        <w:spacing w:before="100" w:after="300"/>
        <w:jc w:val="center"/>
      </w:pPr>
      <w:r>
        <w:rPr>
          <w:rFonts w:ascii="Calibri" w:hAnsi="Calibri" w:eastAsia="Calibri" w:cs="Calibri"/>
          <w:i/>
          <w:iCs/>
          <w:color w:val="6B7280"/>
          <w:sz w:val="18"/>
          <w:szCs w:val="18"/>
        </w:rPr>
        <w:t>Figure 6 — INC0001170 resolution summary: 85-second close, 98.1% MTTR reduction, 100% in-guest proof, full timestamped execution log.</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258D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0B1F3A" w:sz="4" w:space="0"/>
              <w:left w:val="single" w:color="0B1F3A" w:sz="4" w:space="0"/>
              <w:bottom w:val="single" w:color="0B1F3A" w:sz="4" w:space="0"/>
              <w:right w:val="single" w:color="0B1F3A" w:sz="4" w:space="0"/>
            </w:tcBorders>
            <w:shd w:val="clear" w:color="auto" w:fill="0B1F3A"/>
            <w:tcMar>
              <w:top w:w="120" w:type="dxa"/>
              <w:left w:w="140" w:type="dxa"/>
              <w:bottom w:w="120" w:type="dxa"/>
              <w:right w:w="140" w:type="dxa"/>
            </w:tcMar>
            <w:vAlign w:val="center"/>
          </w:tcPr>
          <w:p w14:paraId="2A36A927">
            <w:r>
              <w:rPr>
                <w:rFonts w:ascii="Calibri" w:hAnsi="Calibri" w:eastAsia="Calibri" w:cs="Calibri"/>
                <w:b/>
                <w:bCs/>
                <w:color w:val="FFFFFF"/>
                <w:sz w:val="19"/>
                <w:szCs w:val="19"/>
              </w:rPr>
              <w:t>Timestamp</w:t>
            </w:r>
          </w:p>
        </w:tc>
        <w:tc>
          <w:tcPr>
            <w:tcW w:w="7200" w:type="dxa"/>
            <w:tcBorders>
              <w:top w:val="single" w:color="0B1F3A" w:sz="4" w:space="0"/>
              <w:left w:val="single" w:color="0B1F3A" w:sz="4" w:space="0"/>
              <w:bottom w:val="single" w:color="0B1F3A" w:sz="4" w:space="0"/>
              <w:right w:val="single" w:color="0B1F3A" w:sz="4" w:space="0"/>
            </w:tcBorders>
            <w:shd w:val="clear" w:color="auto" w:fill="0B1F3A"/>
            <w:tcMar>
              <w:top w:w="120" w:type="dxa"/>
              <w:left w:w="140" w:type="dxa"/>
              <w:bottom w:w="120" w:type="dxa"/>
              <w:right w:w="140" w:type="dxa"/>
            </w:tcMar>
            <w:vAlign w:val="center"/>
          </w:tcPr>
          <w:p w14:paraId="5E98F4BF">
            <w:r>
              <w:rPr>
                <w:rFonts w:ascii="Calibri" w:hAnsi="Calibri" w:eastAsia="Calibri" w:cs="Calibri"/>
                <w:b/>
                <w:bCs/>
                <w:color w:val="FFFFFF"/>
                <w:sz w:val="19"/>
                <w:szCs w:val="19"/>
              </w:rPr>
              <w:t>System Action</w:t>
            </w:r>
          </w:p>
        </w:tc>
      </w:tr>
      <w:tr w14:paraId="01604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03CF0F4B">
            <w:r>
              <w:rPr>
                <w:rFonts w:ascii="Calibri" w:hAnsi="Calibri" w:eastAsia="Calibri" w:cs="Calibri"/>
                <w:b w:val="0"/>
                <w:bCs w:val="0"/>
                <w:color w:val="23272F"/>
                <w:sz w:val="19"/>
                <w:szCs w:val="19"/>
              </w:rPr>
              <w:t>10:05:18</w:t>
            </w:r>
          </w:p>
        </w:tc>
        <w:tc>
          <w:tcPr>
            <w:tcW w:w="72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6A5031CA">
            <w:r>
              <w:rPr>
                <w:rFonts w:ascii="Calibri" w:hAnsi="Calibri" w:eastAsia="Calibri" w:cs="Calibri"/>
                <w:b w:val="0"/>
                <w:bCs w:val="0"/>
                <w:color w:val="23272F"/>
                <w:sz w:val="19"/>
                <w:szCs w:val="19"/>
              </w:rPr>
              <w:t>Incident ingested — port 8080 connection refused on WorkerNode1HL (Priority 2-High).</w:t>
            </w:r>
          </w:p>
        </w:tc>
      </w:tr>
      <w:tr w14:paraId="46C77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0AB34A3A">
            <w:r>
              <w:rPr>
                <w:rFonts w:ascii="Calibri" w:hAnsi="Calibri" w:eastAsia="Calibri" w:cs="Calibri"/>
                <w:b w:val="0"/>
                <w:bCs w:val="0"/>
                <w:color w:val="23272F"/>
                <w:sz w:val="19"/>
                <w:szCs w:val="19"/>
              </w:rPr>
              <w:t>10:05:22</w:t>
            </w:r>
          </w:p>
        </w:tc>
        <w:tc>
          <w:tcPr>
            <w:tcW w:w="72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58D1FA10">
            <w:r>
              <w:rPr>
                <w:rFonts w:ascii="Calibri" w:hAnsi="Calibri" w:eastAsia="Calibri" w:cs="Calibri"/>
                <w:b w:val="0"/>
                <w:bCs w:val="0"/>
                <w:color w:val="23272F"/>
                <w:sz w:val="19"/>
                <w:szCs w:val="19"/>
              </w:rPr>
              <w:t>Hybrid vector RAG matches KB0000039 (NexaCore Application Recovery) at 96.8% confidence — a RAG hit, not a miss.</w:t>
            </w:r>
          </w:p>
        </w:tc>
      </w:tr>
      <w:tr w14:paraId="496A5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4284FC35">
            <w:r>
              <w:rPr>
                <w:rFonts w:ascii="Calibri" w:hAnsi="Calibri" w:eastAsia="Calibri" w:cs="Calibri"/>
                <w:b w:val="0"/>
                <w:bCs w:val="0"/>
                <w:color w:val="23272F"/>
                <w:sz w:val="19"/>
                <w:szCs w:val="19"/>
              </w:rPr>
              <w:t>10:05:31</w:t>
            </w:r>
          </w:p>
        </w:tc>
        <w:tc>
          <w:tcPr>
            <w:tcW w:w="72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44247EF6">
            <w:r>
              <w:rPr>
                <w:rFonts w:ascii="Calibri" w:hAnsi="Calibri" w:eastAsia="Calibri" w:cs="Calibri"/>
                <w:b w:val="0"/>
                <w:bCs w:val="0"/>
                <w:color w:val="23272F"/>
                <w:sz w:val="19"/>
                <w:szCs w:val="19"/>
              </w:rPr>
              <w:t>Phase 1 read-only telemetry — host lock acquired, process table scanned, confirms the process had exited.</w:t>
            </w:r>
          </w:p>
        </w:tc>
      </w:tr>
      <w:tr w14:paraId="02C53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2AB4F0C9">
            <w:r>
              <w:rPr>
                <w:rFonts w:ascii="Calibri" w:hAnsi="Calibri" w:eastAsia="Calibri" w:cs="Calibri"/>
                <w:b w:val="0"/>
                <w:bCs w:val="0"/>
                <w:color w:val="23272F"/>
                <w:sz w:val="19"/>
                <w:szCs w:val="19"/>
              </w:rPr>
              <w:t>10:05:45</w:t>
            </w:r>
          </w:p>
        </w:tc>
        <w:tc>
          <w:tcPr>
            <w:tcW w:w="72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46D725D8">
            <w:r>
              <w:rPr>
                <w:rFonts w:ascii="Calibri" w:hAnsi="Calibri" w:eastAsia="Calibri" w:cs="Calibri"/>
                <w:b w:val="0"/>
                <w:bCs w:val="0"/>
                <w:color w:val="23272F"/>
                <w:sz w:val="19"/>
                <w:szCs w:val="19"/>
              </w:rPr>
              <w:t>Cold-start remediation executed — systemctl restart nexacore.service, Python daemon respawned.</w:t>
            </w:r>
          </w:p>
        </w:tc>
      </w:tr>
      <w:tr w14:paraId="2281F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6F698F94">
            <w:r>
              <w:rPr>
                <w:rFonts w:ascii="Calibri" w:hAnsi="Calibri" w:eastAsia="Calibri" w:cs="Calibri"/>
                <w:b w:val="0"/>
                <w:bCs w:val="0"/>
                <w:color w:val="23272F"/>
                <w:sz w:val="19"/>
                <w:szCs w:val="19"/>
              </w:rPr>
              <w:t>10:05:55</w:t>
            </w:r>
          </w:p>
        </w:tc>
        <w:tc>
          <w:tcPr>
            <w:tcW w:w="72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1C6A82BB">
            <w:r>
              <w:rPr>
                <w:rFonts w:ascii="Calibri" w:hAnsi="Calibri" w:eastAsia="Calibri" w:cs="Calibri"/>
                <w:b w:val="0"/>
                <w:bCs w:val="0"/>
                <w:color w:val="23272F"/>
                <w:sz w:val="19"/>
                <w:szCs w:val="19"/>
              </w:rPr>
              <w:t>10-second stabilization window enforced before verification, per the platform's standard service-initialization gate.</w:t>
            </w:r>
          </w:p>
        </w:tc>
      </w:tr>
      <w:tr w14:paraId="75CD3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6DBBFE20">
            <w:r>
              <w:rPr>
                <w:rFonts w:ascii="Calibri" w:hAnsi="Calibri" w:eastAsia="Calibri" w:cs="Calibri"/>
                <w:b w:val="0"/>
                <w:bCs w:val="0"/>
                <w:color w:val="23272F"/>
                <w:sz w:val="19"/>
                <w:szCs w:val="19"/>
              </w:rPr>
              <w:t>10:06:43</w:t>
            </w:r>
          </w:p>
        </w:tc>
        <w:tc>
          <w:tcPr>
            <w:tcW w:w="72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479EC41A">
            <w:r>
              <w:rPr>
                <w:rFonts w:ascii="Calibri" w:hAnsi="Calibri" w:eastAsia="Calibri" w:cs="Calibri"/>
                <w:b w:val="0"/>
                <w:bCs w:val="0"/>
                <w:color w:val="23272F"/>
                <w:sz w:val="19"/>
                <w:szCs w:val="19"/>
              </w:rPr>
              <w:t>In-guest socket &amp; HTTP proof — LISTEN 0.0.0.0:8080 confirmed active, HTTP 200 OK. Ticket closed.</w:t>
            </w:r>
          </w:p>
        </w:tc>
      </w:tr>
    </w:tbl>
    <w:p w14:paraId="51AC5C02">
      <w:pPr>
        <w:keepLines/>
        <w:spacing w:after="160" w:line="300" w:lineRule="auto"/>
      </w:pPr>
      <w:r>
        <w:rPr>
          <w:rFonts w:ascii="Calibri" w:hAnsi="Calibri" w:eastAsia="Calibri" w:cs="Calibri"/>
          <w:color w:val="23272F"/>
          <w:sz w:val="21"/>
          <w:szCs w:val="21"/>
        </w:rPr>
        <w:t>The ServiceNow record confirms the same facts independently: State → Resolved, Assignment Group → App Support, Applied SOP → KB0000039 (“Linux Application Service Recovery — NexaCore Down on Port 8080”), Host Health Status → HEALTHY.</w:t>
      </w:r>
    </w:p>
    <w:p w14:paraId="1126A7FF">
      <w:pPr>
        <w:keepNext/>
        <w:keepLines/>
        <w:spacing w:before="200" w:after="60"/>
        <w:jc w:val="center"/>
      </w:pPr>
      <w:r>
        <w:drawing>
          <wp:inline distT="0" distB="0" distL="0" distR="0">
            <wp:extent cx="5572125"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572125" cy="2857500"/>
                    </a:xfrm>
                    <a:prstGeom prst="rect">
                      <a:avLst/>
                    </a:prstGeom>
                  </pic:spPr>
                </pic:pic>
              </a:graphicData>
            </a:graphic>
          </wp:inline>
        </w:drawing>
      </w:r>
    </w:p>
    <w:p w14:paraId="0A2704F3">
      <w:pPr>
        <w:keepLines/>
        <w:spacing w:before="100" w:after="300"/>
        <w:jc w:val="center"/>
      </w:pPr>
      <w:r>
        <w:rPr>
          <w:rFonts w:ascii="Calibri" w:hAnsi="Calibri" w:eastAsia="Calibri" w:cs="Calibri"/>
          <w:i/>
          <w:iCs/>
          <w:color w:val="6B7280"/>
          <w:sz w:val="18"/>
          <w:szCs w:val="18"/>
        </w:rPr>
        <w:t>Figure 7 — INC0001170 ITSM record: resolved state, applied Master SOP, and the autonomous agent's in-progress remediation and live execution proof note.</w:t>
      </w:r>
    </w:p>
    <w:p w14:paraId="17D3D420">
      <w:pPr>
        <w:keepLines/>
        <w:spacing w:after="160" w:line="300" w:lineRule="auto"/>
      </w:pPr>
      <w:r>
        <w:rPr>
          <w:rFonts w:ascii="Calibri" w:hAnsi="Calibri" w:eastAsia="Calibri" w:cs="Calibri"/>
          <w:color w:val="23272F"/>
          <w:sz w:val="21"/>
          <w:szCs w:val="21"/>
        </w:rPr>
        <w:t>The contrast with INC0001168 above is the point: the same Control Tower routes a novel, unprecedented Critical incident to a human for approval, while a Priority 2-High incident it has already seen — like this NexaCore crash — gets diagnosed, fixed, verified in-guest, and closed in under 90 seconds, no human in the loop.</w:t>
      </w:r>
    </w:p>
    <w:p w14:paraId="03AAA1C7">
      <w:pPr>
        <w:pStyle w:val="2"/>
        <w:keepNext/>
        <w:keepLines/>
        <w:pBdr>
          <w:bottom w:val="single" w:color="2E6FDB" w:sz="8" w:space="6"/>
        </w:pBdr>
        <w:spacing w:before="420" w:after="200"/>
      </w:pPr>
      <w:r>
        <w:rPr>
          <w:rFonts w:ascii="Calibri" w:hAnsi="Calibri" w:eastAsia="Calibri" w:cs="Calibri"/>
          <w:b/>
          <w:bCs/>
          <w:color w:val="0B1F3A"/>
          <w:sz w:val="30"/>
          <w:szCs w:val="30"/>
        </w:rPr>
        <w:t>Quantifiable Benchmark Results &amp; ROI</w:t>
      </w:r>
    </w:p>
    <w:p w14:paraId="2B2E31B9">
      <w:pPr>
        <w:keepLines/>
        <w:spacing w:after="160" w:line="300" w:lineRule="auto"/>
      </w:pPr>
      <w:r>
        <w:rPr>
          <w:rFonts w:ascii="Calibri" w:hAnsi="Calibri" w:eastAsia="Calibri" w:cs="Calibri"/>
          <w:color w:val="23272F"/>
          <w:sz w:val="21"/>
          <w:szCs w:val="21"/>
        </w:rPr>
        <w:t>Value and resolution-path metrics below are read directly from the Control Tower's live Value &amp; Business ROI panel, not modeled estimates:</w:t>
      </w:r>
    </w:p>
    <w:p w14:paraId="62F30509">
      <w:pPr>
        <w:keepNext/>
        <w:keepLines/>
        <w:spacing w:before="200" w:after="60"/>
        <w:jc w:val="center"/>
      </w:pPr>
      <w:r>
        <w:drawing>
          <wp:inline distT="0" distB="0" distL="0" distR="0">
            <wp:extent cx="5572125" cy="3133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572125" cy="3133725"/>
                    </a:xfrm>
                    <a:prstGeom prst="rect">
                      <a:avLst/>
                    </a:prstGeom>
                  </pic:spPr>
                </pic:pic>
              </a:graphicData>
            </a:graphic>
          </wp:inline>
        </w:drawing>
      </w:r>
    </w:p>
    <w:p w14:paraId="48972D49">
      <w:pPr>
        <w:keepLines/>
        <w:spacing w:before="100" w:after="300"/>
        <w:jc w:val="center"/>
      </w:pPr>
      <w:r>
        <w:rPr>
          <w:rFonts w:ascii="Calibri" w:hAnsi="Calibri" w:eastAsia="Calibri" w:cs="Calibri"/>
          <w:i/>
          <w:iCs/>
          <w:color w:val="6B7280"/>
          <w:sz w:val="18"/>
          <w:szCs w:val="18"/>
        </w:rPr>
        <w:t>Figure 8 — Live value realization panel: MTTR trajectory, engineering hours saved, financial savings, and NVIDIA NIM token economics.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600"/>
      </w:tblGrid>
      <w:tr w14:paraId="0165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800" w:type="dxa"/>
            <w:tcBorders>
              <w:top w:val="single" w:color="0B1F3A" w:sz="4" w:space="0"/>
              <w:left w:val="single" w:color="0B1F3A" w:sz="4" w:space="0"/>
              <w:bottom w:val="single" w:color="0B1F3A" w:sz="4" w:space="0"/>
              <w:right w:val="single" w:color="0B1F3A" w:sz="4" w:space="0"/>
            </w:tcBorders>
            <w:shd w:val="clear" w:color="auto" w:fill="0B1F3A"/>
            <w:tcMar>
              <w:top w:w="120" w:type="dxa"/>
              <w:left w:w="140" w:type="dxa"/>
              <w:bottom w:w="120" w:type="dxa"/>
              <w:right w:w="140" w:type="dxa"/>
            </w:tcMar>
            <w:vAlign w:val="center"/>
          </w:tcPr>
          <w:p w14:paraId="7322EB32">
            <w:r>
              <w:rPr>
                <w:rFonts w:ascii="Calibri" w:hAnsi="Calibri" w:eastAsia="Calibri" w:cs="Calibri"/>
                <w:b/>
                <w:bCs/>
                <w:color w:val="FFFFFF"/>
                <w:sz w:val="19"/>
                <w:szCs w:val="19"/>
              </w:rPr>
              <w:t>Metric</w:t>
            </w:r>
          </w:p>
        </w:tc>
        <w:tc>
          <w:tcPr>
            <w:tcW w:w="5600" w:type="dxa"/>
            <w:tcBorders>
              <w:top w:val="single" w:color="0B1F3A" w:sz="4" w:space="0"/>
              <w:left w:val="single" w:color="0B1F3A" w:sz="4" w:space="0"/>
              <w:bottom w:val="single" w:color="0B1F3A" w:sz="4" w:space="0"/>
              <w:right w:val="single" w:color="0B1F3A" w:sz="4" w:space="0"/>
            </w:tcBorders>
            <w:shd w:val="clear" w:color="auto" w:fill="0B1F3A"/>
            <w:tcMar>
              <w:top w:w="120" w:type="dxa"/>
              <w:left w:w="140" w:type="dxa"/>
              <w:bottom w:w="120" w:type="dxa"/>
              <w:right w:w="140" w:type="dxa"/>
            </w:tcMar>
            <w:vAlign w:val="center"/>
          </w:tcPr>
          <w:p w14:paraId="1A9C25FF">
            <w:r>
              <w:rPr>
                <w:rFonts w:ascii="Calibri" w:hAnsi="Calibri" w:eastAsia="Calibri" w:cs="Calibri"/>
                <w:b/>
                <w:bCs/>
                <w:color w:val="FFFFFF"/>
                <w:sz w:val="19"/>
                <w:szCs w:val="19"/>
              </w:rPr>
              <w:t>Value</w:t>
            </w:r>
          </w:p>
        </w:tc>
      </w:tr>
      <w:tr w14:paraId="0A90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27DE4CD0">
            <w:r>
              <w:rPr>
                <w:rFonts w:ascii="Calibri" w:hAnsi="Calibri" w:eastAsia="Calibri" w:cs="Calibri"/>
                <w:b w:val="0"/>
                <w:bCs w:val="0"/>
                <w:color w:val="23272F"/>
                <w:sz w:val="19"/>
                <w:szCs w:val="19"/>
              </w:rPr>
              <w:t>Total autonomous MTTR</w:t>
            </w:r>
          </w:p>
        </w:tc>
        <w:tc>
          <w:tcPr>
            <w:tcW w:w="56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6F570EDF">
            <w:r>
              <w:rPr>
                <w:rFonts w:ascii="Calibri" w:hAnsi="Calibri" w:eastAsia="Calibri" w:cs="Calibri"/>
                <w:b w:val="0"/>
                <w:bCs w:val="0"/>
                <w:color w:val="23272F"/>
                <w:sz w:val="19"/>
                <w:szCs w:val="19"/>
              </w:rPr>
              <w:t>38s (-99.7% vs 4.2hr manual baseline)</w:t>
            </w:r>
          </w:p>
        </w:tc>
      </w:tr>
      <w:tr w14:paraId="4816E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45B95A00">
            <w:r>
              <w:rPr>
                <w:rFonts w:ascii="Calibri" w:hAnsi="Calibri" w:eastAsia="Calibri" w:cs="Calibri"/>
                <w:b w:val="0"/>
                <w:bCs w:val="0"/>
                <w:color w:val="23272F"/>
                <w:sz w:val="19"/>
                <w:szCs w:val="19"/>
              </w:rPr>
              <w:t>Engineering hours saved</w:t>
            </w:r>
          </w:p>
        </w:tc>
        <w:tc>
          <w:tcPr>
            <w:tcW w:w="56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23DC7D70">
            <w:r>
              <w:rPr>
                <w:rFonts w:ascii="Calibri" w:hAnsi="Calibri" w:eastAsia="Calibri" w:cs="Calibri"/>
                <w:b w:val="0"/>
                <w:bCs w:val="0"/>
                <w:color w:val="23272F"/>
                <w:sz w:val="19"/>
                <w:szCs w:val="19"/>
              </w:rPr>
              <w:t>142.6 hrs (+34.2 hrs in the latest week)</w:t>
            </w:r>
          </w:p>
        </w:tc>
      </w:tr>
      <w:tr w14:paraId="0C85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5AF4B1EC">
            <w:r>
              <w:rPr>
                <w:rFonts w:ascii="Calibri" w:hAnsi="Calibri" w:eastAsia="Calibri" w:cs="Calibri"/>
                <w:b w:val="0"/>
                <w:bCs w:val="0"/>
                <w:color w:val="23272F"/>
                <w:sz w:val="19"/>
                <w:szCs w:val="19"/>
              </w:rPr>
              <w:t>Estimated financial savings</w:t>
            </w:r>
          </w:p>
        </w:tc>
        <w:tc>
          <w:tcPr>
            <w:tcW w:w="56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67283D08">
            <w:r>
              <w:rPr>
                <w:rFonts w:ascii="Calibri" w:hAnsi="Calibri" w:eastAsia="Calibri" w:cs="Calibri"/>
                <w:b w:val="0"/>
                <w:bCs w:val="0"/>
                <w:color w:val="23272F"/>
                <w:sz w:val="19"/>
                <w:szCs w:val="19"/>
              </w:rPr>
              <w:t>$8,556 — 4.3x ROI multiplier ($60/hr SRE baseline)</w:t>
            </w:r>
          </w:p>
        </w:tc>
      </w:tr>
      <w:tr w14:paraId="13CB8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0BD6B1B3">
            <w:r>
              <w:rPr>
                <w:rFonts w:ascii="Calibri" w:hAnsi="Calibri" w:eastAsia="Calibri" w:cs="Calibri"/>
                <w:b w:val="0"/>
                <w:bCs w:val="0"/>
                <w:color w:val="23272F"/>
                <w:sz w:val="19"/>
                <w:szCs w:val="19"/>
              </w:rPr>
              <w:t>Cost per auto-resolution</w:t>
            </w:r>
          </w:p>
        </w:tc>
        <w:tc>
          <w:tcPr>
            <w:tcW w:w="56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0D3622BE">
            <w:r>
              <w:rPr>
                <w:rFonts w:ascii="Calibri" w:hAnsi="Calibri" w:eastAsia="Calibri" w:cs="Calibri"/>
                <w:b w:val="0"/>
                <w:bCs w:val="0"/>
                <w:color w:val="23272F"/>
                <w:sz w:val="19"/>
                <w:szCs w:val="19"/>
              </w:rPr>
              <w:t>$0.0042 — 99.9% cheaper than a human responder</w:t>
            </w:r>
          </w:p>
        </w:tc>
      </w:tr>
      <w:tr w14:paraId="3D6A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41A4EAF8">
            <w:r>
              <w:rPr>
                <w:rFonts w:ascii="Calibri" w:hAnsi="Calibri" w:eastAsia="Calibri" w:cs="Calibri"/>
                <w:b w:val="0"/>
                <w:bCs w:val="0"/>
                <w:color w:val="23272F"/>
                <w:sz w:val="19"/>
                <w:szCs w:val="19"/>
              </w:rPr>
              <w:t>Token economics</w:t>
            </w:r>
          </w:p>
        </w:tc>
        <w:tc>
          <w:tcPr>
            <w:tcW w:w="56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2950E182">
            <w:r>
              <w:rPr>
                <w:rFonts w:ascii="Calibri" w:hAnsi="Calibri" w:eastAsia="Calibri" w:cs="Calibri"/>
                <w:b w:val="0"/>
                <w:bCs w:val="0"/>
                <w:color w:val="23272F"/>
                <w:sz w:val="19"/>
                <w:szCs w:val="19"/>
              </w:rPr>
              <w:t>48,320 tokens incurred, ~1,170 tokens/incident, $4.12/mo LLM cloud cost</w:t>
            </w:r>
          </w:p>
        </w:tc>
      </w:tr>
      <w:tr w14:paraId="221D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24C8C320">
            <w:r>
              <w:rPr>
                <w:rFonts w:ascii="Calibri" w:hAnsi="Calibri" w:eastAsia="Calibri" w:cs="Calibri"/>
                <w:b w:val="0"/>
                <w:bCs w:val="0"/>
                <w:color w:val="23272F"/>
                <w:sz w:val="19"/>
                <w:szCs w:val="19"/>
              </w:rPr>
              <w:t>SLA breaches recorded</w:t>
            </w:r>
          </w:p>
        </w:tc>
        <w:tc>
          <w:tcPr>
            <w:tcW w:w="56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476810D4">
            <w:r>
              <w:rPr>
                <w:rFonts w:ascii="Calibri" w:hAnsi="Calibri" w:eastAsia="Calibri" w:cs="Calibri"/>
                <w:b w:val="0"/>
                <w:bCs w:val="0"/>
                <w:color w:val="23272F"/>
                <w:sz w:val="19"/>
                <w:szCs w:val="19"/>
              </w:rPr>
              <w:t>Zero — critical P1/P2 incidents resolved in under 60 seconds</w:t>
            </w:r>
          </w:p>
        </w:tc>
      </w:tr>
    </w:tbl>
    <w:p w14:paraId="23358DB1">
      <w:pPr>
        <w:spacing w:after="160"/>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4200"/>
      </w:tblGrid>
      <w:tr w14:paraId="65666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200" w:type="dxa"/>
            <w:tcBorders>
              <w:top w:val="single" w:color="0B1F3A" w:sz="4" w:space="0"/>
              <w:left w:val="single" w:color="0B1F3A" w:sz="4" w:space="0"/>
              <w:bottom w:val="single" w:color="0B1F3A" w:sz="4" w:space="0"/>
              <w:right w:val="single" w:color="0B1F3A" w:sz="4" w:space="0"/>
            </w:tcBorders>
            <w:shd w:val="clear" w:color="auto" w:fill="0B1F3A"/>
            <w:tcMar>
              <w:top w:w="120" w:type="dxa"/>
              <w:left w:w="140" w:type="dxa"/>
              <w:bottom w:w="120" w:type="dxa"/>
              <w:right w:w="140" w:type="dxa"/>
            </w:tcMar>
            <w:vAlign w:val="center"/>
          </w:tcPr>
          <w:p w14:paraId="553B0DD6">
            <w:r>
              <w:rPr>
                <w:rFonts w:ascii="Calibri" w:hAnsi="Calibri" w:eastAsia="Calibri" w:cs="Calibri"/>
                <w:b/>
                <w:bCs/>
                <w:color w:val="FFFFFF"/>
                <w:sz w:val="19"/>
                <w:szCs w:val="19"/>
              </w:rPr>
              <w:t>Resolution Path</w:t>
            </w:r>
          </w:p>
        </w:tc>
        <w:tc>
          <w:tcPr>
            <w:tcW w:w="4200" w:type="dxa"/>
            <w:tcBorders>
              <w:top w:val="single" w:color="0B1F3A" w:sz="4" w:space="0"/>
              <w:left w:val="single" w:color="0B1F3A" w:sz="4" w:space="0"/>
              <w:bottom w:val="single" w:color="0B1F3A" w:sz="4" w:space="0"/>
              <w:right w:val="single" w:color="0B1F3A" w:sz="4" w:space="0"/>
            </w:tcBorders>
            <w:shd w:val="clear" w:color="auto" w:fill="0B1F3A"/>
            <w:tcMar>
              <w:top w:w="120" w:type="dxa"/>
              <w:left w:w="140" w:type="dxa"/>
              <w:bottom w:w="120" w:type="dxa"/>
              <w:right w:w="140" w:type="dxa"/>
            </w:tcMar>
            <w:vAlign w:val="center"/>
          </w:tcPr>
          <w:p w14:paraId="7E9A7281">
            <w:r>
              <w:rPr>
                <w:rFonts w:ascii="Calibri" w:hAnsi="Calibri" w:eastAsia="Calibri" w:cs="Calibri"/>
                <w:b/>
                <w:bCs/>
                <w:color w:val="FFFFFF"/>
                <w:sz w:val="19"/>
                <w:szCs w:val="19"/>
              </w:rPr>
              <w:t>MTTR (seconds)</w:t>
            </w:r>
          </w:p>
        </w:tc>
      </w:tr>
      <w:tr w14:paraId="2CF1D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5947F6BB">
            <w:r>
              <w:rPr>
                <w:rFonts w:ascii="Calibri" w:hAnsi="Calibri" w:eastAsia="Calibri" w:cs="Calibri"/>
                <w:b w:val="0"/>
                <w:bCs w:val="0"/>
                <w:color w:val="23272F"/>
                <w:sz w:val="19"/>
                <w:szCs w:val="19"/>
              </w:rPr>
              <w:t>Manual helpdesk triage</w:t>
            </w:r>
          </w:p>
        </w:tc>
        <w:tc>
          <w:tcPr>
            <w:tcW w:w="42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427C2C61">
            <w:r>
              <w:rPr>
                <w:rFonts w:ascii="Calibri" w:hAnsi="Calibri" w:eastAsia="Calibri" w:cs="Calibri"/>
                <w:b w:val="0"/>
                <w:bCs w:val="0"/>
                <w:color w:val="23272F"/>
                <w:sz w:val="19"/>
                <w:szCs w:val="19"/>
              </w:rPr>
              <w:t>2,700s (45 min)</w:t>
            </w:r>
          </w:p>
        </w:tc>
      </w:tr>
      <w:tr w14:paraId="7CFBD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32EAF050">
            <w:r>
              <w:rPr>
                <w:rFonts w:ascii="Calibri" w:hAnsi="Calibri" w:eastAsia="Calibri" w:cs="Calibri"/>
                <w:b w:val="0"/>
                <w:bCs w:val="0"/>
                <w:color w:val="23272F"/>
                <w:sz w:val="19"/>
                <w:szCs w:val="19"/>
              </w:rPr>
              <w:t>Read-only diagnostic ReAct probe</w:t>
            </w:r>
          </w:p>
        </w:tc>
        <w:tc>
          <w:tcPr>
            <w:tcW w:w="42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7D59FB55">
            <w:r>
              <w:rPr>
                <w:rFonts w:ascii="Calibri" w:hAnsi="Calibri" w:eastAsia="Calibri" w:cs="Calibri"/>
                <w:b w:val="0"/>
                <w:bCs w:val="0"/>
                <w:color w:val="23272F"/>
                <w:sz w:val="19"/>
                <w:szCs w:val="19"/>
              </w:rPr>
              <w:t>38.4s</w:t>
            </w:r>
          </w:p>
        </w:tc>
      </w:tr>
      <w:tr w14:paraId="4A47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384A981D">
            <w:r>
              <w:rPr>
                <w:rFonts w:ascii="Calibri" w:hAnsi="Calibri" w:eastAsia="Calibri" w:cs="Calibri"/>
                <w:b w:val="0"/>
                <w:bCs w:val="0"/>
                <w:color w:val="23272F"/>
                <w:sz w:val="19"/>
                <w:szCs w:val="19"/>
              </w:rPr>
              <w:t>Human-approved Master SOP execution</w:t>
            </w:r>
          </w:p>
        </w:tc>
        <w:tc>
          <w:tcPr>
            <w:tcW w:w="4200" w:type="dxa"/>
            <w:tcBorders>
              <w:top w:val="single" w:color="D7DCE3" w:sz="4" w:space="0"/>
              <w:left w:val="single" w:color="D7DCE3" w:sz="4" w:space="0"/>
              <w:bottom w:val="single" w:color="D7DCE3" w:sz="4" w:space="0"/>
              <w:right w:val="single" w:color="D7DCE3" w:sz="4" w:space="0"/>
            </w:tcBorders>
            <w:shd w:val="clear" w:color="auto" w:fill="FFFFFF"/>
            <w:tcMar>
              <w:top w:w="110" w:type="dxa"/>
              <w:left w:w="140" w:type="dxa"/>
              <w:bottom w:w="110" w:type="dxa"/>
              <w:right w:w="140" w:type="dxa"/>
            </w:tcMar>
            <w:vAlign w:val="center"/>
          </w:tcPr>
          <w:p w14:paraId="069E4EBB">
            <w:r>
              <w:rPr>
                <w:rFonts w:ascii="Calibri" w:hAnsi="Calibri" w:eastAsia="Calibri" w:cs="Calibri"/>
                <w:b w:val="0"/>
                <w:bCs w:val="0"/>
                <w:color w:val="23272F"/>
                <w:sz w:val="19"/>
                <w:szCs w:val="19"/>
              </w:rPr>
              <w:t>21.8s</w:t>
            </w:r>
          </w:p>
        </w:tc>
      </w:tr>
      <w:tr w14:paraId="4F65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064023C8">
            <w:r>
              <w:rPr>
                <w:rFonts w:ascii="Calibri" w:hAnsi="Calibri" w:eastAsia="Calibri" w:cs="Calibri"/>
                <w:b w:val="0"/>
                <w:bCs w:val="0"/>
                <w:color w:val="23272F"/>
                <w:sz w:val="19"/>
                <w:szCs w:val="19"/>
              </w:rPr>
              <w:t>RAG direct-hit autonomous execution</w:t>
            </w:r>
          </w:p>
        </w:tc>
        <w:tc>
          <w:tcPr>
            <w:tcW w:w="4200" w:type="dxa"/>
            <w:tcBorders>
              <w:top w:val="single" w:color="D7DCE3" w:sz="4" w:space="0"/>
              <w:left w:val="single" w:color="D7DCE3" w:sz="4" w:space="0"/>
              <w:bottom w:val="single" w:color="D7DCE3" w:sz="4" w:space="0"/>
              <w:right w:val="single" w:color="D7DCE3" w:sz="4" w:space="0"/>
            </w:tcBorders>
            <w:shd w:val="clear" w:color="auto" w:fill="F2F4F7"/>
            <w:tcMar>
              <w:top w:w="110" w:type="dxa"/>
              <w:left w:w="140" w:type="dxa"/>
              <w:bottom w:w="110" w:type="dxa"/>
              <w:right w:w="140" w:type="dxa"/>
            </w:tcMar>
            <w:vAlign w:val="center"/>
          </w:tcPr>
          <w:p w14:paraId="7EF6485B">
            <w:r>
              <w:rPr>
                <w:rFonts w:ascii="Calibri" w:hAnsi="Calibri" w:eastAsia="Calibri" w:cs="Calibri"/>
                <w:b w:val="0"/>
                <w:bCs w:val="0"/>
                <w:color w:val="23272F"/>
                <w:sz w:val="19"/>
                <w:szCs w:val="19"/>
              </w:rPr>
              <w:t>14.2s (164x speedup vs. manual)</w:t>
            </w:r>
          </w:p>
        </w:tc>
      </w:tr>
    </w:tbl>
    <w:p w14:paraId="3A73DF10">
      <w:pPr>
        <w:pStyle w:val="2"/>
        <w:keepNext/>
        <w:keepLines/>
        <w:pBdr>
          <w:bottom w:val="single" w:color="2E6FDB" w:sz="8" w:space="6"/>
        </w:pBdr>
        <w:spacing w:before="420" w:after="200"/>
      </w:pPr>
      <w:r>
        <w:rPr>
          <w:rFonts w:ascii="Calibri" w:hAnsi="Calibri" w:eastAsia="Calibri" w:cs="Calibri"/>
          <w:b/>
          <w:bCs/>
          <w:color w:val="0B1F3A"/>
          <w:sz w:val="30"/>
          <w:szCs w:val="30"/>
        </w:rPr>
        <w:t>Conclusion &amp; Future Roadmap</w:t>
      </w:r>
    </w:p>
    <w:p w14:paraId="28BB4B9E">
      <w:pPr>
        <w:keepLines/>
        <w:spacing w:after="160" w:line="300" w:lineRule="auto"/>
      </w:pPr>
      <w:r>
        <w:rPr>
          <w:rFonts w:ascii="Calibri" w:hAnsi="Calibri" w:eastAsia="Calibri" w:cs="Calibri"/>
          <w:color w:val="23272F"/>
          <w:sz w:val="21"/>
          <w:szCs w:val="21"/>
        </w:rPr>
        <w:t>The platform demonstrates that autonomous remediation and enterprise governance are not in tension — strict architectural decoupling, in-guest proof verification, and human-in-the-loop approval gates let an organization compress MTTR by an order of magnitude while keeping every high-risk action auditable and reversible.</w:t>
      </w:r>
    </w:p>
    <w:p w14:paraId="345B2FD0">
      <w:pPr>
        <w:pStyle w:val="3"/>
        <w:keepNext/>
        <w:keepLines/>
        <w:spacing w:before="260" w:after="120"/>
      </w:pPr>
      <w:r>
        <w:rPr>
          <w:rFonts w:ascii="Calibri" w:hAnsi="Calibri" w:eastAsia="Calibri" w:cs="Calibri"/>
          <w:b/>
          <w:bCs/>
          <w:color w:val="13294B"/>
          <w:sz w:val="24"/>
          <w:szCs w:val="24"/>
        </w:rPr>
        <w:t>Engineering Takeaways</w:t>
      </w:r>
    </w:p>
    <w:p w14:paraId="33559746">
      <w:pPr>
        <w:pStyle w:val="16"/>
        <w:keepLines/>
        <w:numPr>
          <w:ilvl w:val="0"/>
          <w:numId w:val="1"/>
        </w:numPr>
        <w:spacing w:after="90" w:line="280" w:lineRule="auto"/>
      </w:pPr>
      <w:r>
        <w:rPr>
          <w:rFonts w:ascii="Calibri" w:hAnsi="Calibri" w:eastAsia="Calibri" w:cs="Calibri"/>
          <w:color w:val="23272F"/>
          <w:sz w:val="21"/>
          <w:szCs w:val="21"/>
        </w:rPr>
        <w:t>Decoupling the system of record from the autonomous control plane lets each evolve independently without risking ticket data integrity.</w:t>
      </w:r>
    </w:p>
    <w:p w14:paraId="54695329">
      <w:pPr>
        <w:pStyle w:val="16"/>
        <w:keepLines/>
        <w:numPr>
          <w:ilvl w:val="0"/>
          <w:numId w:val="1"/>
        </w:numPr>
        <w:spacing w:after="90" w:line="280" w:lineRule="auto"/>
      </w:pPr>
      <w:r>
        <w:rPr>
          <w:rFonts w:ascii="Calibri" w:hAnsi="Calibri" w:eastAsia="Calibri" w:cs="Calibri"/>
          <w:color w:val="23272F"/>
          <w:sz w:val="21"/>
          <w:szCs w:val="21"/>
        </w:rPr>
        <w:t>Hybrid dense + lexical retrieval outperforms either technique alone when matching incidents against historical precedent.</w:t>
      </w:r>
    </w:p>
    <w:p w14:paraId="2A4D1260">
      <w:pPr>
        <w:pStyle w:val="16"/>
        <w:keepLines/>
        <w:numPr>
          <w:ilvl w:val="0"/>
          <w:numId w:val="1"/>
        </w:numPr>
        <w:spacing w:after="90" w:line="280" w:lineRule="auto"/>
      </w:pPr>
      <w:r>
        <w:rPr>
          <w:rFonts w:ascii="Calibri" w:hAnsi="Calibri" w:eastAsia="Calibri" w:cs="Calibri"/>
          <w:color w:val="23272F"/>
          <w:sz w:val="21"/>
          <w:szCs w:val="21"/>
        </w:rPr>
        <w:t>Proof-of-fix verification against live in-guest state is what makes unattended remediation trustworthy enough to govern with HITL rather than block entirely.</w:t>
      </w:r>
    </w:p>
    <w:p w14:paraId="47A3CE1C">
      <w:pPr>
        <w:pStyle w:val="3"/>
        <w:keepNext/>
        <w:keepLines/>
        <w:spacing w:before="260" w:after="120"/>
      </w:pPr>
      <w:r>
        <w:rPr>
          <w:rFonts w:ascii="Calibri" w:hAnsi="Calibri" w:eastAsia="Calibri" w:cs="Calibri"/>
          <w:b/>
          <w:bCs/>
          <w:color w:val="13294B"/>
          <w:sz w:val="24"/>
          <w:szCs w:val="24"/>
        </w:rPr>
        <w:t>Roadmap</w:t>
      </w:r>
    </w:p>
    <w:p w14:paraId="3C935501">
      <w:pPr>
        <w:pStyle w:val="16"/>
        <w:keepLines/>
        <w:numPr>
          <w:ilvl w:val="0"/>
          <w:numId w:val="1"/>
        </w:numPr>
        <w:spacing w:after="90" w:line="280" w:lineRule="auto"/>
      </w:pPr>
      <w:r>
        <w:rPr>
          <w:rFonts w:ascii="Calibri" w:hAnsi="Calibri" w:eastAsia="Calibri" w:cs="Calibri"/>
          <w:color w:val="23272F"/>
          <w:sz w:val="21"/>
          <w:szCs w:val="21"/>
        </w:rPr>
        <w:t>eBPF-based kernel telemetry integration for deeper, lower-overhead diagnostic signal.</w:t>
      </w:r>
    </w:p>
    <w:p w14:paraId="00936707">
      <w:pPr>
        <w:pStyle w:val="16"/>
        <w:keepLines/>
        <w:numPr>
          <w:ilvl w:val="0"/>
          <w:numId w:val="1"/>
        </w:numPr>
        <w:spacing w:after="90" w:line="280" w:lineRule="auto"/>
      </w:pPr>
      <w:r>
        <w:rPr>
          <w:rFonts w:ascii="Calibri" w:hAnsi="Calibri" w:eastAsia="Calibri" w:cs="Calibri"/>
          <w:color w:val="23272F"/>
          <w:sz w:val="21"/>
          <w:szCs w:val="21"/>
        </w:rPr>
        <w:t>Multi-cloud federated intelligence — extending precedent grounding and SOP synthesis across cloud boundaries.</w:t>
      </w:r>
    </w:p>
    <w:sectPr>
      <w:headerReference r:id="rId3" w:type="default"/>
      <w:footerReference r:id="rId4" w:type="default"/>
      <w:pgSz w:w="12240" w:h="15840"/>
      <w:pgMar w:top="1080" w:right="1350" w:bottom="1080" w:left="13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3F3C3">
    <w:pPr>
      <w:jc w:val="center"/>
    </w:pPr>
    <w:r>
      <w:rPr>
        <w:rFonts w:ascii="Calibri" w:hAnsi="Calibri" w:eastAsia="Calibri" w:cs="Calibri"/>
        <w:color w:val="6B7280"/>
        <w:sz w:val="15"/>
        <w:szCs w:val="15"/>
      </w:rPr>
      <w:fldChar w:fldCharType="begin"/>
    </w:r>
    <w:r>
      <w:rPr>
        <w:rFonts w:ascii="Calibri" w:hAnsi="Calibri" w:eastAsia="Calibri" w:cs="Calibri"/>
        <w:color w:val="6B7280"/>
        <w:sz w:val="15"/>
        <w:szCs w:val="15"/>
      </w:rPr>
      <w:instrText xml:space="preserve">PAGE</w:instrText>
    </w:r>
    <w:r>
      <w:rPr>
        <w:rFonts w:ascii="Calibri" w:hAnsi="Calibri" w:eastAsia="Calibri" w:cs="Calibri"/>
        <w:color w:val="6B7280"/>
        <w:sz w:val="15"/>
        <w:szCs w:val="15"/>
      </w:rPr>
      <w:fldChar w:fldCharType="separate"/>
    </w:r>
    <w:r>
      <w:rPr>
        <w:rFonts w:ascii="Calibri" w:hAnsi="Calibri" w:eastAsia="Calibri" w:cs="Calibri"/>
        <w:color w:val="6B7280"/>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516E9">
    <w:pPr>
      <w:pBdr>
        <w:bottom w:val="single" w:color="D7DCE3" w:sz="4" w:space="4"/>
      </w:pBdr>
      <w:tabs>
        <w:tab w:val="right" w:pos="9400"/>
      </w:tabs>
    </w:pPr>
    <w:r>
      <w:rPr>
        <w:rFonts w:ascii="Calibri" w:hAnsi="Calibri" w:eastAsia="Calibri" w:cs="Calibri"/>
        <w:color w:val="6B7280"/>
        <w:sz w:val="15"/>
        <w:szCs w:val="15"/>
      </w:rPr>
      <w:t>Autonomous ITSM &amp; Agentic SRE Control Tower</w:t>
    </w:r>
    <w:r>
      <w:rPr>
        <w:rFonts w:ascii="Calibri" w:hAnsi="Calibri" w:eastAsia="Calibri" w:cs="Calibri"/>
        <w:color w:val="6B7280"/>
        <w:sz w:val="15"/>
        <w:szCs w:val="15"/>
      </w:rPr>
      <w:tab/>
      <w:t>Engineering Excellence Expo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cumentProtection w:enforcement="0"/>
  <w:compat>
    <w:compatSetting w:name="compatibilityMode" w:uri="http://schemas.microsoft.com/office/word" w:val="15"/>
  </w:compat>
  <w:rsids>
    <w:rsidRoot w:val="00000000"/>
    <w:rsid w:val="5D2C7D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2026-08-25T06:55:00Z</dcterms:created>
  <dc:creator>Un-named</dc:creator>
  <cp:lastModifiedBy>praka</cp:lastModifiedBy>
  <dcterms:modified xsi:type="dcterms:W3CDTF">2026-08-25T06:57:53Z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F1D9678B013E441B8CD409CFF8613600_13</vt:lpwstr>
  </property>
</Properties>
</file>