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t>Глумина Вера_3282. Вариант_2</w:t>
      </w:r>
    </w:p>
    <w:p>
      <w:pPr>
        <w:pStyle w:val="Normal(Web)"/>
        <w:spacing w:before="0" w:after="15"/>
        <w:ind w:firstLine="290"/>
        <w:rPr>
          <w:color w:val="000000"/>
        </w:rPr>
      </w:pP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drawing xmlns:mc="http://schemas.openxmlformats.org/markup-compatibility/2006">
          <wp:inline distT="0" distB="0" distL="0" distR="0">
            <wp:extent cx="5940425" cy="2769870"/>
            <wp:effectExtent l="0" t="0" r="0" b="0"/>
            <wp:docPr id="1926675457" name="Picture 192667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25" name="Picture 1926675425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drawing xmlns:mc="http://schemas.openxmlformats.org/markup-compatibility/2006">
          <wp:inline distT="0" distB="0" distL="0" distR="0">
            <wp:extent cx="4009390" cy="1016635"/>
            <wp:effectExtent l="0" t="0" r="0" b="0"/>
            <wp:docPr id="1926675458" name="Picture 192667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26" name="Picture 1926675426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15"/>
        <w:ind w:firstLine="290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Постановка задачи</w:t>
      </w:r>
    </w:p>
    <w:p>
      <w:pPr>
        <w:pStyle w:val="Normal(Web)"/>
        <w:rPr>
          <w:rFonts w:ascii="Segoe UI" w:cs="Segoe UI" w:hAnsi="Segoe UI"/>
          <w:color w:val="000000"/>
          <w:sz w:val="18"/>
          <w:szCs w:val="18"/>
          <w14:ligatures w14:val="standardContextual"/>
        </w:rPr>
      </w:pPr>
      <w:r>
        <w:rPr>
          <w:color w:val="000000"/>
          <w:u w:val="single"/>
        </w:rPr>
        <w:t>Исходные данные</w:t>
      </w:r>
      <w:r>
        <w:rPr>
          <w:color w:val="000000"/>
        </w:rPr>
        <w:t xml:space="preserve">: дана </w:t>
      </w:r>
      <w:r>
        <w:rPr>
          <w:color w:val="000000"/>
        </w:rPr>
        <w:t xml:space="preserve">функция </w:t>
      </w:r>
      <w:r>
        <w:rPr>
          <w:color w:val="000000"/>
          <w:lang w:val="en-US"/>
        </w:rPr>
        <w:t>f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  <w14:ligatures w14:val="standardContextual"/>
        </w:rPr>
        <w:t>интервал [</w:t>
      </w:r>
      <w:r>
        <w:rPr>
          <w:i/>
          <w:iCs/>
          <w:color w:val="000000"/>
          <w14:ligatures w14:val="standardContextual"/>
        </w:rPr>
        <w:t>a</w:t>
      </w:r>
      <w:r>
        <w:rPr>
          <w:color w:val="000000"/>
          <w14:ligatures w14:val="standardContextual"/>
        </w:rPr>
        <w:t xml:space="preserve">, </w:t>
      </w:r>
      <w:r>
        <w:rPr>
          <w:i/>
          <w:iCs/>
          <w:color w:val="000000"/>
          <w14:ligatures w14:val="standardContextual"/>
        </w:rPr>
        <w:t>b</w:t>
      </w:r>
      <w:r>
        <w:rPr>
          <w:color w:val="000000"/>
          <w14:ligatures w14:val="standardContextual"/>
        </w:rPr>
        <w:t xml:space="preserve">], где </w:t>
      </w:r>
      <w:r>
        <w:rPr>
          <w:i/>
          <w:iCs/>
          <w:color w:val="000000"/>
          <w14:ligatures w14:val="standardContextual"/>
        </w:rPr>
        <w:t>a</w:t>
      </w:r>
      <w:r>
        <w:rPr>
          <w:color w:val="000000"/>
          <w14:ligatures w14:val="standardContextual"/>
        </w:rPr>
        <w:t xml:space="preserve">=1, </w:t>
      </w:r>
      <w:r>
        <w:rPr>
          <w:i/>
          <w:iCs/>
          <w:color w:val="000000"/>
          <w14:ligatures w14:val="standardContextual"/>
        </w:rPr>
        <w:t>b</w:t>
      </w:r>
      <w:r>
        <w:rPr>
          <w:color w:val="000000"/>
          <w14:ligatures w14:val="standardContextual"/>
        </w:rPr>
        <w:t>=6.</w:t>
      </w:r>
    </w:p>
    <w:p>
      <w:pPr>
        <w:pStyle w:val="Normal(Web)"/>
        <w:spacing w:before="0" w:after="15"/>
        <w:ind w:firstLine="290"/>
        <w:jc w:val="both"/>
        <w:rPr>
          <w:color w:val="000000"/>
        </w:rPr>
      </w:pPr>
      <w:r>
        <w:rPr>
          <w:color w:val="000000"/>
          <w:u w:val="single"/>
        </w:rPr>
        <w:t>Цель</w:t>
      </w:r>
      <w:r>
        <w:rPr>
          <w:color w:val="000000"/>
        </w:rPr>
        <w:t>:</w:t>
      </w:r>
      <w:r>
        <w:rPr>
          <w:color w:val="000000"/>
        </w:rPr>
        <w:t xml:space="preserve"> Функции обеспечивают кубический и параболический интерполяционный сплайн.</w:t>
      </w:r>
    </w:p>
    <w:p>
      <w:pPr>
        <w:pStyle w:val="Normal(Web)"/>
        <w:spacing w:before="0" w:after="15"/>
        <w:ind w:firstLine="290"/>
        <w:jc w:val="both"/>
        <w:rPr>
          <w:color w:val="000000"/>
        </w:rPr>
      </w:pPr>
      <w:r>
        <w:rPr>
          <w:color w:val="000000"/>
          <w:u w:val="single"/>
        </w:rPr>
        <w:t>Ожидаемый результат</w:t>
      </w:r>
      <w:r>
        <w:rPr>
          <w:color w:val="000000"/>
        </w:rPr>
        <w:t xml:space="preserve">: </w:t>
      </w:r>
      <w:r>
        <w:rPr>
          <w:color w:val="000000"/>
        </w:rPr>
        <w:t xml:space="preserve"> </w:t>
      </w: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  <w:u w:val="single"/>
        </w:rPr>
        <w:t>Критерием оценки результата</w:t>
      </w:r>
      <w:r>
        <w:rPr>
          <w:color w:val="000000"/>
        </w:rPr>
        <w:t xml:space="preserve">: </w:t>
      </w:r>
      <w:r>
        <w:rPr>
          <w:color w:val="000000"/>
        </w:rPr>
        <w:t xml:space="preserve"> </w:t>
      </w:r>
      <w:r>
        <w:rPr>
          <w:color w:val="000000"/>
        </w:rPr>
        <w:t xml:space="preserve">Функция имеет те же значения в узлах интерполяции </w:t>
      </w:r>
      <w:r>
        <w:rPr>
          <w:color w:val="000000"/>
          <w:lang w:val="en-US"/>
        </w:rPr>
        <w:t xml:space="preserve">g(x) = f(x)  </w:t>
      </w:r>
      <w:r>
        <w:rPr>
          <w:color w:val="000000"/>
          <w:lang w:val="ru-RU"/>
        </w:rPr>
        <w:t>и является гладкой</w:t>
      </w:r>
      <w:r>
        <w:rPr>
          <w:color w:val="000000"/>
          <w:lang w:val="ru-RU"/>
        </w:rPr>
        <w:t>.</w:t>
      </w:r>
    </w:p>
    <w:p>
      <w:pPr>
        <w:pStyle w:val="Normal(Web)"/>
        <w:spacing w:before="0" w:after="15"/>
        <w:ind w:firstLine="290"/>
        <w:rPr>
          <w:color w:val="000000"/>
        </w:rPr>
      </w:pP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t>Реализация:</w:t>
      </w:r>
    </w:p>
    <w:p>
      <w:pPr>
        <w:pStyle w:val="Normal(Web)"/>
        <w:numPr>
          <w:ilvl w:val="0"/>
          <w:numId w:val="3"/>
        </w:numPr>
        <w:spacing w:before="0" w:after="15"/>
        <w:rPr>
          <w:color w:val="000000"/>
        </w:rPr>
      </w:pPr>
      <w:r>
        <w:rPr>
          <w:color w:val="000000"/>
        </w:rPr>
        <w:t>Строим нашу функцию и отрисовываем на графике узлы интерполяции.</w:t>
      </w:r>
    </w:p>
    <w:p>
      <w:pPr>
        <w:pStyle w:val="Normal(Web)"/>
        <w:spacing w:before="0" w:after="15"/>
        <w:ind w:firstLine="290"/>
        <w:rPr>
          <w:color w:val="000000"/>
        </w:rPr>
      </w:pP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drawing xmlns:mc="http://schemas.openxmlformats.org/markup-compatibility/2006">
          <wp:inline distT="0" distB="0" distL="0" distR="0">
            <wp:extent cx="5925185" cy="5715635"/>
            <wp:effectExtent l="0" t="0" r="0" b="0"/>
            <wp:docPr id="192667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27" name="Рисунок 1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t xml:space="preserve">2)Решаем систему многочленов второй степени, проверяя условие на непрерывность сплайна. Присваиваем </w:t>
      </w:r>
      <w:r>
        <w:rPr>
          <w:rFonts w:ascii="Times New Roman" w:cs="Times New Roman" w:hAnsi="Times New Roman"/>
          <w:sz w:val="24"/>
          <w:szCs w:val="24"/>
          <w:lang w:val="en-US"/>
        </w:rPr>
        <w:t>ai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ci</w:t>
      </w:r>
      <w:r>
        <w:rPr>
          <w:rFonts w:ascii="Times New Roman" w:cs="Times New Roman" w:hAnsi="Times New Roman"/>
          <w:sz w:val="24"/>
          <w:szCs w:val="24"/>
        </w:rPr>
        <w:t xml:space="preserve"> новые значения. Строим график интерполяции. Полученный график имеет хорошее приближение.</w:t>
      </w: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drawing xmlns:mc="http://schemas.openxmlformats.org/markup-compatibility/2006">
          <wp:inline distT="0" distB="0" distL="0" distR="0">
            <wp:extent cx="5807710" cy="5961380"/>
            <wp:effectExtent l="0" t="0" r="0" b="0"/>
            <wp:docPr id="19266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28" name="Рисунок 1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t>3)Для кубического так же р</w:t>
      </w:r>
      <w:r>
        <w:rPr>
          <w:color w:val="000000"/>
        </w:rPr>
        <w:t xml:space="preserve">ешаем систему многочленов </w:t>
      </w:r>
      <w:r>
        <w:rPr>
          <w:color w:val="000000"/>
        </w:rPr>
        <w:t>3-ий</w:t>
      </w:r>
      <w:r>
        <w:rPr>
          <w:color w:val="000000"/>
        </w:rPr>
        <w:t xml:space="preserve"> степени</w:t>
      </w:r>
      <w:r>
        <w:rPr>
          <w:color w:val="000000"/>
        </w:rPr>
        <w:t xml:space="preserve">, проверяя условие на непрерывность сплайна. Присваиваем </w:t>
      </w:r>
      <w:r>
        <w:rPr>
          <w:rFonts w:ascii="Times New Roman" w:cs="Times New Roman" w:hAnsi="Times New Roman"/>
          <w:sz w:val="24"/>
          <w:szCs w:val="24"/>
          <w:lang w:val="en-US"/>
        </w:rPr>
        <w:t>ai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ci</w:t>
      </w:r>
      <w:r>
        <w:rPr>
          <w:rFonts w:ascii="Times New Roman" w:cs="Times New Roman" w:hAnsi="Times New Roman"/>
          <w:sz w:val="24"/>
          <w:szCs w:val="24"/>
        </w:rPr>
        <w:t xml:space="preserve"> новые значения. Строим график интерполяции. Полученный график имеет хорошее приближение.</w:t>
      </w:r>
    </w:p>
    <w:p>
      <w:pPr>
        <w:pStyle w:val="Normal(Web)"/>
        <w:spacing w:before="0" w:after="15"/>
        <w:ind w:firstLine="290"/>
        <w:rPr>
          <w:color w:val="000000"/>
        </w:rPr>
      </w:pPr>
    </w:p>
    <w:p>
      <w:pPr>
        <w:pStyle w:val="Normal(Web)"/>
        <w:spacing w:before="0" w:after="15"/>
        <w:ind w:firstLine="290"/>
        <w:rPr>
          <w:color w:val="000000"/>
        </w:rPr>
      </w:pPr>
      <w:r>
        <w:rPr>
          <w:color w:val="000000"/>
        </w:rPr>
        <w:drawing xmlns:mc="http://schemas.openxmlformats.org/markup-compatibility/2006">
          <wp:inline distT="0" distB="0" distL="0" distR="0">
            <wp:extent cx="5940425" cy="5913120"/>
            <wp:effectExtent l="0" t="0" r="0" b="0"/>
            <wp:docPr id="192667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29" name="Рисунок 1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5" w:line="240" w:lineRule="auto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lang w:eastAsia="ru-RU"/>
        </w:rPr>
        <w:t>Контрольные вопросы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: 3, 4, 7</w:t>
      </w:r>
    </w:p>
    <w:p>
      <w:pPr>
        <w:numPr>
          <w:ilvl w:val="0"/>
          <w:numId w:val="1"/>
        </w:num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>3)</w:t>
      </w: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 xml:space="preserve">Дайте определение кубического интерполяционного сплайна. </w:t>
      </w:r>
    </w:p>
    <w:p>
      <w:pPr>
        <w:spacing w:after="120" w:line="240" w:lineRule="auto"/>
        <w:ind w:left="0" w:right="0" w:firstLine="0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S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(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) - к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убический интерполяционным сплайн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,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соответствующим данной функции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f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(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)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и данной сетке узлов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,</w:t>
      </w:r>
    </w:p>
    <w:p>
      <w:p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Уравнение на отдельном участке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: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S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(х)=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a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+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b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(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-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0)+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c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(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-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0)^2+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d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(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-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x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0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)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^3</w:t>
      </w:r>
    </w:p>
    <w:p>
      <w:p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Интерполяционный сплайн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3-его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порядка – функция, состоящая из кусочков многочленов 3-его порядка. В узлах обеспечивается непрерывность на отрезке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[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a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,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val="en-US" w:eastAsia="ja-JP"/>
        </w:rPr>
        <w:t>b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]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, её первой и второй производной.</w:t>
      </w:r>
    </w:p>
    <w:p>
      <w:pPr>
        <w:numPr>
          <w:ilvl w:val="0"/>
          <w:numId w:val="1"/>
        </w:num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>4)</w:t>
      </w: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>Приведите пример выбора граничных условий при построении интерполяционного кубического сплайна.</w:t>
      </w:r>
    </w:p>
    <w:p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drawing xmlns:mc="http://schemas.openxmlformats.org/markup-compatibility/2006">
          <wp:inline distT="0" distB="0" distL="0" distR="0">
            <wp:extent cx="819192" cy="482625"/>
            <wp:effectExtent l="0" t="0" r="0" b="0"/>
            <wp:docPr id="192667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30" name="Рисунок 1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(естественный кубический сплайн). Применяется обычно, когда нет информации о кривизне на концах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интервала или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предполагается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что 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>дб</w:t>
      </w: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t xml:space="preserve"> нулевой.</w:t>
      </w:r>
    </w:p>
    <w:p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drawing xmlns:mc="http://schemas.openxmlformats.org/markup-compatibility/2006">
          <wp:inline distT="0" distB="0" distL="0" distR="0">
            <wp:extent cx="1238314" cy="419122"/>
            <wp:effectExtent l="0" t="0" r="0" b="0"/>
            <wp:docPr id="192667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31" name="Рисунок 1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  <w:drawing xmlns:mc="http://schemas.openxmlformats.org/markup-compatibility/2006">
          <wp:inline distT="0" distB="0" distL="0" distR="0">
            <wp:extent cx="1187511" cy="520727"/>
            <wp:effectExtent l="0" t="0" r="0" b="0"/>
            <wp:docPr id="192667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5432" name="Рисунок 1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</w:pP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>7)</w:t>
      </w: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 xml:space="preserve">Можно ли утверждать, что </w:t>
      </w: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>кусочная</w:t>
      </w:r>
      <w:r>
        <w:rPr>
          <w:rFonts w:ascii="Times New Roman" w:cs="Times New Roman" w:eastAsia="TimesNewRomanPS-BoldMT" w:hAnsi="Times New Roman"/>
          <w:bCs/>
          <w:sz w:val="24"/>
          <w:szCs w:val="24"/>
          <w:highlight w:val="yellow"/>
          <w:lang w:eastAsia="ja-JP"/>
        </w:rPr>
        <w:t xml:space="preserve"> Эрмитова интерполяция выполняет построение интерполяционного сплайна. Если да, то укажите количество непрерывных производных полученной глобальной функции. Поясните ответ.</w:t>
      </w:r>
    </w:p>
    <w:p>
      <w:pPr>
        <w:spacing w:after="120" w:line="240" w:lineRule="auto"/>
        <w:ind w:left="0" w:right="0" w:firstLine="0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4"/>
          <w:szCs w:val="24"/>
          <w:rtl w:val="off"/>
          <w:lang w:val="en-US"/>
        </w:rPr>
        <w:t>Эрмитовым кубическим интерполянтом</w:t>
      </w:r>
      <w:r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 называется кусочно-кубический интерполянтом с непрерывной производной.</w:t>
      </w:r>
      <w:r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rtl w:val="off"/>
          <w:lang w:val="en-US"/>
        </w:rPr>
        <w:t xml:space="preserve">  </w:t>
      </w:r>
      <w:r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rtl w:val="off"/>
          <w:lang w:val="ru-RU"/>
        </w:rPr>
        <w:t>При построении требуется, чтобы в узлах соврадали с табличными данными не только его значения, но и значения производных до некоторого к порядка</w:t>
      </w:r>
    </w:p>
    <w:p>
      <w:pPr>
        <w:spacing w:after="120" w:line="240" w:lineRule="auto"/>
        <w:contextualSpacing w:val="on"/>
        <w:rPr>
          <w:rFonts w:ascii="Times New Roman" w:cs="Times New Roman" w:eastAsia="TimesNewRomanPS-BoldMT" w:hAnsi="Times New Roman"/>
          <w:bCs/>
          <w:sz w:val="24"/>
          <w:szCs w:val="24"/>
          <w:lang w:eastAsia="ja-JP"/>
        </w:rPr>
      </w:pPr>
    </w:p>
    <w:p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 w:val="on"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Restart w:val="0"/>
      <w:lvlText w:val="%1."/>
      <w:lvlJc w:val="left"/>
      <w:rPr>
        <w:rFonts w:cs="Times New Roman"/>
        <w:b/>
        <w:i w:val="off"/>
        <w:sz w:val="28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1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3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45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17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89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1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3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05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77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AA"/>
    <w:rsid w:val="004573AA"/>
    <w:rsid w:val="004A4AD3"/>
    <w:rsid w:val="00B40CDA"/>
    <w:rsid w:val="00DE7DFF"/>
    <w:rsid w:val="00E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9880"/>
  <w15:chartTrackingRefBased/>
  <w15:docId w15:val="{E6E2B7B7-C3F5-4E56-8829-71B42FBBA1B5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hitespace-pre-wrap">
    <w:name w:val="Whitespace-pre-wrap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.png"/><Relationship Id="rId3" Type="http://schemas.openxmlformats.org/officeDocument/2006/relationships/settings" Target="settings.xml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33" Type="http://schemas.openxmlformats.org/officeDocument/2006/relationships/image" Target="media/image5.png"/><Relationship Id="rId34" Type="http://schemas.openxmlformats.org/officeDocument/2006/relationships/image" Target="media/image6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0" Type="http://schemas.openxmlformats.org/officeDocument/2006/relationships/image" Target="media/image4.png"/><Relationship Id="rId41" Type="http://schemas.openxmlformats.org/officeDocument/2006/relationships/image" Target="media/image5.png"/><Relationship Id="rId42" Type="http://schemas.openxmlformats.org/officeDocument/2006/relationships/image" Target="media/image6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0" Type="http://schemas.openxmlformats.org/officeDocument/2006/relationships/image" Target="media/image6.png"/><Relationship Id="rId51" Type="http://schemas.openxmlformats.org/officeDocument/2006/relationships/image" Target="media/image15.png"/><Relationship Id="rId52" Type="http://schemas.openxmlformats.org/officeDocument/2006/relationships/image" Target="media/image16.pn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2z</dc:creator>
  <cp:lastModifiedBy>Вера Глумина</cp:lastModifiedBy>
</cp:coreProperties>
</file>