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330FA1" w:rsidRDefault="005F10BF">
      <w:pPr>
        <w:rPr>
          <w:b/>
          <w:lang w:val="de-DE"/>
        </w:rPr>
      </w:pPr>
      <w:r w:rsidRPr="00330FA1">
        <w:rPr>
          <w:b/>
          <w:lang w:val="de-DE"/>
        </w:rPr>
        <w:t>Basiswissen zur makroskopischen Anatomie des Gehirns und Methodologie der Gehirnforschung</w:t>
      </w:r>
    </w:p>
    <w:p w:rsidR="00330FA1" w:rsidRDefault="00330FA1">
      <w:pPr>
        <w:rPr>
          <w:lang w:val="de-DE"/>
        </w:rPr>
      </w:pPr>
    </w:p>
    <w:p w:rsidR="00440A4D" w:rsidRPr="00440A4D" w:rsidRDefault="00440A4D" w:rsidP="00440A4D">
      <w:pPr>
        <w:rPr>
          <w:lang w:val="de-DE"/>
        </w:rPr>
      </w:pPr>
      <w:proofErr w:type="spellStart"/>
      <w:r w:rsidRPr="00440A4D">
        <w:rPr>
          <w:lang w:val="de-DE"/>
        </w:rPr>
        <w:t>Videsott</w:t>
      </w:r>
      <w:proofErr w:type="spellEnd"/>
      <w:r w:rsidRPr="00440A4D">
        <w:rPr>
          <w:lang w:val="de-DE"/>
        </w:rPr>
        <w:t>, G. (2011). </w:t>
      </w:r>
      <w:r w:rsidRPr="00440A4D">
        <w:rPr>
          <w:i/>
          <w:iCs/>
          <w:lang w:val="de-DE"/>
        </w:rPr>
        <w:t>Mehrsprachigkeit aus neurolinguistischer Sicht: eine empirische Untersuchung zur Sprachverarbeitung viersprachiger Probanden</w:t>
      </w:r>
      <w:r w:rsidRPr="00440A4D">
        <w:rPr>
          <w:lang w:val="de-DE"/>
        </w:rPr>
        <w:t> (Vol. 30). ibidem-Verlag/ibidem Press.</w:t>
      </w:r>
    </w:p>
    <w:p w:rsidR="00440A4D" w:rsidRDefault="00440A4D">
      <w:pPr>
        <w:rPr>
          <w:lang w:val="de-DE"/>
        </w:rPr>
      </w:pPr>
    </w:p>
    <w:p w:rsidR="00440A4D" w:rsidRDefault="00440A4D">
      <w:pPr>
        <w:rPr>
          <w:lang w:val="de-DE"/>
        </w:rPr>
      </w:pPr>
    </w:p>
    <w:p w:rsidR="00330FA1" w:rsidRDefault="00330FA1">
      <w:pPr>
        <w:rPr>
          <w:lang w:val="de-DE"/>
        </w:rPr>
      </w:pPr>
      <w:r>
        <w:rPr>
          <w:lang w:val="de-DE"/>
        </w:rPr>
        <w:t xml:space="preserve">Heutzutage bezeichnet man die Wissenschaft, die die Strukturen des Nervensystems erforscht sowie die Gehirnareale des Nervensystems und dessen Verbindungen zu beschreiben versucht, als Neuroanatomie. Die Neuroanatomie beschreibt einerseits die generellen Strukturen und Verbindungen des Gehirns, andererseits betreibt sie auch mikroskopische Anatomie, sie beschäftigt sich mit der Organisation der Neuronen und erforscht die </w:t>
      </w:r>
      <w:proofErr w:type="spellStart"/>
      <w:r>
        <w:rPr>
          <w:lang w:val="de-DE"/>
        </w:rPr>
        <w:t>cerebralen</w:t>
      </w:r>
      <w:proofErr w:type="spellEnd"/>
      <w:r>
        <w:rPr>
          <w:lang w:val="de-DE"/>
        </w:rPr>
        <w:t xml:space="preserve"> inter- und intrazellulären Strukturen und Prozesse. </w:t>
      </w:r>
    </w:p>
    <w:p w:rsidR="00330FA1" w:rsidRDefault="00330FA1">
      <w:pPr>
        <w:rPr>
          <w:lang w:val="de-DE"/>
        </w:rPr>
      </w:pPr>
    </w:p>
    <w:p w:rsidR="00330FA1" w:rsidRDefault="00330FA1">
      <w:pPr>
        <w:rPr>
          <w:lang w:val="de-DE"/>
        </w:rPr>
      </w:pPr>
      <w:r>
        <w:rPr>
          <w:lang w:val="de-DE"/>
        </w:rPr>
        <w:t>Eine makroskopische Anatomie des Gehirns kann auch mit bloßem Auge erstellt werden</w:t>
      </w:r>
      <w:r>
        <w:rPr>
          <w:rStyle w:val="Funotenzeichen"/>
          <w:lang w:val="de-DE"/>
        </w:rPr>
        <w:footnoteReference w:id="1"/>
      </w:r>
      <w:r>
        <w:rPr>
          <w:lang w:val="de-DE"/>
        </w:rPr>
        <w:t xml:space="preserve">, im Gegensatz zu einer mikroskopischen Anatomie, für die </w:t>
      </w:r>
      <w:r w:rsidR="00B87ACF">
        <w:rPr>
          <w:lang w:val="de-DE"/>
        </w:rPr>
        <w:t>es besonderer Untersuchungsinstrumente bedarf (wie z.B. Mikroskope), um die vorhandenen Strukturen erkennen zu können.</w:t>
      </w:r>
    </w:p>
    <w:p w:rsidR="005558B9" w:rsidRDefault="005558B9">
      <w:pPr>
        <w:rPr>
          <w:lang w:val="de-DE"/>
        </w:rPr>
      </w:pPr>
    </w:p>
    <w:p w:rsidR="005558B9" w:rsidRDefault="005558B9">
      <w:pPr>
        <w:rPr>
          <w:lang w:val="de-DE"/>
        </w:rPr>
      </w:pPr>
      <w:r>
        <w:rPr>
          <w:lang w:val="de-DE"/>
        </w:rPr>
        <w:t>Da die anatomische Terminologie der Lage- und Richtungsbezeichnungen in den Naturwissenschaften nicht übereinstimmend verwendet wird, soll im Folgenden vorerst eine kurze Erläuterung der Verwendung dieser Ausdrücke in der vorliegenden Arbeit erfolgen:</w:t>
      </w:r>
    </w:p>
    <w:p w:rsidR="005558B9" w:rsidRDefault="005558B9" w:rsidP="005558B9">
      <w:pPr>
        <w:pStyle w:val="Listenabsatz"/>
        <w:numPr>
          <w:ilvl w:val="0"/>
          <w:numId w:val="1"/>
        </w:numPr>
        <w:rPr>
          <w:lang w:val="de-DE"/>
        </w:rPr>
      </w:pPr>
      <w:r>
        <w:rPr>
          <w:lang w:val="de-DE"/>
        </w:rPr>
        <w:t xml:space="preserve">Um die </w:t>
      </w:r>
      <w:r w:rsidRPr="005558B9">
        <w:rPr>
          <w:i/>
          <w:lang w:val="de-DE"/>
        </w:rPr>
        <w:t>Richtung</w:t>
      </w:r>
      <w:r>
        <w:rPr>
          <w:lang w:val="de-DE"/>
        </w:rPr>
        <w:t xml:space="preserve"> anzugeben, wird eine Bezeichnungsform verwendet, die sich von der Körperanatomie ableitet (</w:t>
      </w:r>
      <w:r w:rsidRPr="005558B9">
        <w:rPr>
          <w:i/>
          <w:lang w:val="de-DE"/>
        </w:rPr>
        <w:t xml:space="preserve">dorsal, ventral, </w:t>
      </w:r>
      <w:proofErr w:type="spellStart"/>
      <w:r w:rsidRPr="005558B9">
        <w:rPr>
          <w:i/>
          <w:lang w:val="de-DE"/>
        </w:rPr>
        <w:t>rostral</w:t>
      </w:r>
      <w:proofErr w:type="spellEnd"/>
      <w:r w:rsidRPr="005558B9">
        <w:rPr>
          <w:i/>
          <w:lang w:val="de-DE"/>
        </w:rPr>
        <w:t xml:space="preserve"> und kaudal</w:t>
      </w:r>
      <w:r>
        <w:rPr>
          <w:lang w:val="de-DE"/>
        </w:rPr>
        <w:t>);</w:t>
      </w:r>
    </w:p>
    <w:p w:rsidR="005558B9" w:rsidRDefault="005558B9" w:rsidP="005558B9">
      <w:pPr>
        <w:pStyle w:val="Listenabsatz"/>
        <w:numPr>
          <w:ilvl w:val="0"/>
          <w:numId w:val="1"/>
        </w:numPr>
        <w:rPr>
          <w:lang w:val="de-DE"/>
        </w:rPr>
      </w:pPr>
      <w:r w:rsidRPr="005558B9">
        <w:rPr>
          <w:lang w:val="de-DE"/>
        </w:rPr>
        <w:t xml:space="preserve"> </w:t>
      </w:r>
      <w:r>
        <w:rPr>
          <w:lang w:val="de-DE"/>
        </w:rPr>
        <w:t xml:space="preserve">Um die </w:t>
      </w:r>
      <w:r w:rsidRPr="005558B9">
        <w:rPr>
          <w:i/>
          <w:lang w:val="de-DE"/>
        </w:rPr>
        <w:t>Position</w:t>
      </w:r>
      <w:r>
        <w:rPr>
          <w:lang w:val="de-DE"/>
        </w:rPr>
        <w:t xml:space="preserve"> auszudrücken, verwendet man die Ausdrücke: </w:t>
      </w:r>
      <w:proofErr w:type="spellStart"/>
      <w:r w:rsidRPr="005558B9">
        <w:rPr>
          <w:i/>
          <w:lang w:val="de-DE"/>
        </w:rPr>
        <w:t>superior</w:t>
      </w:r>
      <w:proofErr w:type="spellEnd"/>
      <w:r>
        <w:rPr>
          <w:lang w:val="de-DE"/>
        </w:rPr>
        <w:t xml:space="preserve"> (oben), </w:t>
      </w:r>
      <w:r w:rsidRPr="005558B9">
        <w:rPr>
          <w:i/>
          <w:lang w:val="de-DE"/>
        </w:rPr>
        <w:t>inferior</w:t>
      </w:r>
      <w:r>
        <w:rPr>
          <w:lang w:val="de-DE"/>
        </w:rPr>
        <w:t xml:space="preserve"> (unten), </w:t>
      </w:r>
      <w:proofErr w:type="spellStart"/>
      <w:r w:rsidRPr="005558B9">
        <w:rPr>
          <w:i/>
          <w:lang w:val="de-DE"/>
        </w:rPr>
        <w:t>anterior</w:t>
      </w:r>
      <w:proofErr w:type="spellEnd"/>
      <w:r>
        <w:rPr>
          <w:lang w:val="de-DE"/>
        </w:rPr>
        <w:t xml:space="preserve"> (vorne) und </w:t>
      </w:r>
      <w:proofErr w:type="spellStart"/>
      <w:r w:rsidRPr="005558B9">
        <w:rPr>
          <w:i/>
          <w:lang w:val="de-DE"/>
        </w:rPr>
        <w:t>posterior</w:t>
      </w:r>
      <w:proofErr w:type="spellEnd"/>
      <w:r>
        <w:rPr>
          <w:lang w:val="de-DE"/>
        </w:rPr>
        <w:t xml:space="preserve"> (hinten).</w:t>
      </w:r>
    </w:p>
    <w:p w:rsidR="00A628B7" w:rsidRDefault="00A628B7" w:rsidP="00A628B7">
      <w:pPr>
        <w:rPr>
          <w:lang w:val="de-DE"/>
        </w:rPr>
      </w:pPr>
    </w:p>
    <w:p w:rsidR="00A628B7" w:rsidRDefault="00A628B7" w:rsidP="00A628B7">
      <w:pPr>
        <w:rPr>
          <w:lang w:val="de-DE"/>
        </w:rPr>
      </w:pPr>
    </w:p>
    <w:p w:rsidR="00A628B7" w:rsidRDefault="00A628B7" w:rsidP="00A628B7">
      <w:pPr>
        <w:rPr>
          <w:lang w:val="de-DE"/>
        </w:rPr>
      </w:pPr>
    </w:p>
    <w:p w:rsidR="00A628B7" w:rsidRDefault="00A628B7" w:rsidP="00A628B7">
      <w:pPr>
        <w:rPr>
          <w:lang w:val="de-DE"/>
        </w:rPr>
      </w:pPr>
    </w:p>
    <w:p w:rsidR="00A628B7" w:rsidRDefault="00A628B7" w:rsidP="00A628B7">
      <w:pPr>
        <w:rPr>
          <w:lang w:val="de-DE"/>
        </w:rPr>
      </w:pPr>
    </w:p>
    <w:p w:rsidR="00A628B7" w:rsidRPr="00A628B7" w:rsidRDefault="00A628B7" w:rsidP="00A628B7">
      <w:pPr>
        <w:rPr>
          <w:b/>
        </w:rPr>
      </w:pPr>
      <w:r w:rsidRPr="00A628B7">
        <w:rPr>
          <w:b/>
        </w:rPr>
        <w:lastRenderedPageBreak/>
        <w:t>Human Brain: Directions, cross-sections and divisions</w:t>
      </w:r>
    </w:p>
    <w:p w:rsidR="00A628B7" w:rsidRPr="00A628B7" w:rsidRDefault="00A628B7" w:rsidP="00A628B7">
      <w:r>
        <w:t>Based on Carlson Fig. 3.2, p.66</w:t>
      </w:r>
    </w:p>
    <w:p w:rsidR="00A628B7" w:rsidRPr="00A628B7" w:rsidRDefault="00A628B7" w:rsidP="00A628B7">
      <w:pPr>
        <w:rPr>
          <w:lang w:val="de-DE"/>
        </w:rPr>
      </w:pPr>
      <w:hyperlink r:id="rId8" w:history="1">
        <w:r w:rsidRPr="00A628B7">
          <w:rPr>
            <w:rStyle w:val="Hyperlink"/>
            <w:lang w:val="de-DE"/>
          </w:rPr>
          <w:t>http://homepage.smc.edu/russell_richard/Psych2/Graphics/human_brain_directions.htm</w:t>
        </w:r>
      </w:hyperlink>
      <w:r w:rsidRPr="00A628B7">
        <w:rPr>
          <w:lang w:val="de-DE"/>
        </w:rPr>
        <w:t xml:space="preserve"> (aufgerufen am 29.03.2018)</w:t>
      </w:r>
    </w:p>
    <w:p w:rsidR="00A628B7" w:rsidRPr="00A628B7" w:rsidRDefault="00A628B7" w:rsidP="00A628B7">
      <w:pPr>
        <w:rPr>
          <w:lang w:val="de-DE"/>
        </w:rPr>
      </w:pPr>
    </w:p>
    <w:p w:rsidR="00A628B7" w:rsidRPr="00A628B7" w:rsidRDefault="00A628B7" w:rsidP="00A628B7">
      <w:pPr>
        <w:jc w:val="left"/>
        <w:rPr>
          <w:b/>
          <w:i/>
        </w:rPr>
      </w:pPr>
      <w:r w:rsidRPr="00A628B7">
        <w:rPr>
          <w:b/>
          <w:i/>
        </w:rPr>
        <w:t>Fig. 1: Left lateral view of the brain and spinal cord.</w:t>
      </w:r>
      <w:r w:rsidRPr="00A628B7">
        <w:rPr>
          <w:b/>
          <w:i/>
        </w:rPr>
        <w:br/>
        <w:t xml:space="preserve">Anterior to posterior: Front to back </w:t>
      </w:r>
    </w:p>
    <w:p w:rsidR="00A628B7" w:rsidRPr="00A628B7" w:rsidRDefault="00A628B7" w:rsidP="00A628B7">
      <w:pPr>
        <w:jc w:val="left"/>
        <w:rPr>
          <w:b/>
          <w:i/>
        </w:rPr>
      </w:pPr>
      <w:r w:rsidRPr="00A628B7">
        <w:rPr>
          <w:b/>
          <w:i/>
        </w:rPr>
        <w:t>Superior or dorsal: Top</w:t>
      </w:r>
      <w:r w:rsidRPr="00A628B7">
        <w:rPr>
          <w:b/>
          <w:i/>
        </w:rPr>
        <w:br/>
        <w:t>Inferior or ventral: Bottom</w:t>
      </w:r>
    </w:p>
    <w:p w:rsidR="00A628B7" w:rsidRPr="00A628B7" w:rsidRDefault="00A628B7" w:rsidP="00A628B7"/>
    <w:p w:rsidR="00A628B7" w:rsidRDefault="00A628B7" w:rsidP="00A628B7">
      <w:pPr>
        <w:jc w:val="center"/>
        <w:rPr>
          <w:lang w:val="de-DE"/>
        </w:rPr>
      </w:pPr>
      <w:r>
        <w:rPr>
          <w:rFonts w:ascii="Helvetica" w:hAnsi="Helvetica" w:cs="Helvetica"/>
          <w:noProof/>
          <w:kern w:val="0"/>
          <w:szCs w:val="24"/>
          <w:lang w:val="de-DE"/>
        </w:rPr>
        <w:drawing>
          <wp:inline distT="0" distB="0" distL="0" distR="0">
            <wp:extent cx="2082165" cy="1928495"/>
            <wp:effectExtent l="0" t="0" r="63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165" cy="1928495"/>
                    </a:xfrm>
                    <a:prstGeom prst="rect">
                      <a:avLst/>
                    </a:prstGeom>
                    <a:noFill/>
                    <a:ln>
                      <a:noFill/>
                    </a:ln>
                  </pic:spPr>
                </pic:pic>
              </a:graphicData>
            </a:graphic>
          </wp:inline>
        </w:drawing>
      </w:r>
    </w:p>
    <w:p w:rsidR="00A628B7" w:rsidRPr="00A628B7" w:rsidRDefault="00A628B7" w:rsidP="00A628B7">
      <w:pPr>
        <w:rPr>
          <w:b/>
          <w:i/>
        </w:rPr>
      </w:pPr>
      <w:r w:rsidRPr="00A628B7">
        <w:rPr>
          <w:b/>
          <w:i/>
        </w:rPr>
        <w:t>Fig. 2: Typical cross-sections through the brain and spinal cord.</w:t>
      </w:r>
    </w:p>
    <w:p w:rsidR="00A628B7" w:rsidRPr="00A628B7" w:rsidRDefault="00A628B7" w:rsidP="00A628B7"/>
    <w:p w:rsidR="00A628B7" w:rsidRDefault="00A628B7" w:rsidP="00A628B7">
      <w:pPr>
        <w:rPr>
          <w:lang w:val="de-DE"/>
        </w:rPr>
      </w:pPr>
      <w:r>
        <w:rPr>
          <w:rFonts w:ascii="Helvetica" w:hAnsi="Helvetica" w:cs="Helvetica"/>
          <w:noProof/>
          <w:kern w:val="0"/>
          <w:szCs w:val="24"/>
          <w:lang w:val="de-DE"/>
        </w:rPr>
        <w:drawing>
          <wp:inline distT="0" distB="0" distL="0" distR="0">
            <wp:extent cx="4879975"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975" cy="3657600"/>
                    </a:xfrm>
                    <a:prstGeom prst="rect">
                      <a:avLst/>
                    </a:prstGeom>
                    <a:noFill/>
                    <a:ln>
                      <a:noFill/>
                    </a:ln>
                  </pic:spPr>
                </pic:pic>
              </a:graphicData>
            </a:graphic>
          </wp:inline>
        </w:drawing>
      </w:r>
    </w:p>
    <w:p w:rsidR="001A54DD" w:rsidRPr="001A54DD" w:rsidRDefault="001A54DD" w:rsidP="001A54DD">
      <w:pPr>
        <w:rPr>
          <w:b/>
          <w:i/>
        </w:rPr>
      </w:pPr>
      <w:r w:rsidRPr="001A54DD">
        <w:rPr>
          <w:b/>
          <w:i/>
        </w:rPr>
        <w:lastRenderedPageBreak/>
        <w:t>Fig. 3: Typical cross-sections with directions labeled.</w:t>
      </w:r>
    </w:p>
    <w:p w:rsidR="001A54DD" w:rsidRPr="001A54DD" w:rsidRDefault="001A54DD" w:rsidP="00A628B7"/>
    <w:p w:rsidR="00A628B7" w:rsidRDefault="001A54DD" w:rsidP="00A628B7">
      <w:pPr>
        <w:rPr>
          <w:lang w:val="de-DE"/>
        </w:rPr>
      </w:pPr>
      <w:r>
        <w:rPr>
          <w:rFonts w:ascii="Helvetica" w:hAnsi="Helvetica" w:cs="Helvetica"/>
          <w:noProof/>
          <w:kern w:val="0"/>
          <w:szCs w:val="24"/>
          <w:lang w:val="de-DE"/>
        </w:rPr>
        <w:drawing>
          <wp:inline distT="0" distB="0" distL="0" distR="0">
            <wp:extent cx="5052060" cy="3729990"/>
            <wp:effectExtent l="0" t="0" r="254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3729990"/>
                    </a:xfrm>
                    <a:prstGeom prst="rect">
                      <a:avLst/>
                    </a:prstGeom>
                    <a:noFill/>
                    <a:ln>
                      <a:noFill/>
                    </a:ln>
                  </pic:spPr>
                </pic:pic>
              </a:graphicData>
            </a:graphic>
          </wp:inline>
        </w:drawing>
      </w:r>
    </w:p>
    <w:p w:rsidR="001A54DD" w:rsidRDefault="001A54DD" w:rsidP="00A628B7">
      <w:pPr>
        <w:rPr>
          <w:lang w:val="de-DE"/>
        </w:rPr>
      </w:pPr>
    </w:p>
    <w:p w:rsidR="001A54DD" w:rsidRPr="001A54DD" w:rsidRDefault="001A54DD" w:rsidP="001A54DD">
      <w:pPr>
        <w:rPr>
          <w:b/>
          <w:i/>
        </w:rPr>
      </w:pPr>
      <w:r w:rsidRPr="001A54DD">
        <w:rPr>
          <w:b/>
          <w:i/>
        </w:rPr>
        <w:t>Fig. 4: Typical cross-sections with the three divisions (as discussed in lecture) labeled.</w:t>
      </w:r>
    </w:p>
    <w:p w:rsidR="001A54DD" w:rsidRPr="001A54DD" w:rsidRDefault="001A54DD" w:rsidP="00A628B7"/>
    <w:p w:rsidR="001A54DD" w:rsidRDefault="001A54DD" w:rsidP="00A628B7">
      <w:pPr>
        <w:rPr>
          <w:lang w:val="de-DE"/>
        </w:rPr>
      </w:pPr>
      <w:r>
        <w:rPr>
          <w:rFonts w:ascii="Helvetica" w:hAnsi="Helvetica" w:cs="Helvetica"/>
          <w:noProof/>
          <w:kern w:val="0"/>
          <w:szCs w:val="24"/>
          <w:lang w:val="de-DE"/>
        </w:rPr>
        <w:drawing>
          <wp:inline distT="0" distB="0" distL="0" distR="0">
            <wp:extent cx="4870450" cy="364871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0450" cy="3648710"/>
                    </a:xfrm>
                    <a:prstGeom prst="rect">
                      <a:avLst/>
                    </a:prstGeom>
                    <a:noFill/>
                    <a:ln>
                      <a:noFill/>
                    </a:ln>
                  </pic:spPr>
                </pic:pic>
              </a:graphicData>
            </a:graphic>
          </wp:inline>
        </w:drawing>
      </w:r>
    </w:p>
    <w:p w:rsidR="006C3FE6" w:rsidRPr="008C13F3" w:rsidRDefault="006C3FE6" w:rsidP="00A628B7"/>
    <w:p w:rsidR="006C3FE6" w:rsidRPr="008C13F3" w:rsidRDefault="006C3FE6" w:rsidP="00A628B7"/>
    <w:p w:rsidR="006C3FE6" w:rsidRDefault="006C3FE6" w:rsidP="00A628B7">
      <w:pPr>
        <w:rPr>
          <w:lang w:val="de-DE"/>
        </w:rPr>
      </w:pPr>
      <w:r>
        <w:rPr>
          <w:rFonts w:ascii="Helvetica" w:hAnsi="Helvetica" w:cs="Helvetica"/>
          <w:noProof/>
          <w:kern w:val="0"/>
          <w:szCs w:val="24"/>
          <w:lang w:val="de-DE"/>
        </w:rPr>
        <w:drawing>
          <wp:inline distT="0" distB="0" distL="0" distR="0">
            <wp:extent cx="5368925" cy="2181860"/>
            <wp:effectExtent l="0" t="0" r="3175"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8925" cy="2181860"/>
                    </a:xfrm>
                    <a:prstGeom prst="rect">
                      <a:avLst/>
                    </a:prstGeom>
                    <a:noFill/>
                    <a:ln>
                      <a:noFill/>
                    </a:ln>
                  </pic:spPr>
                </pic:pic>
              </a:graphicData>
            </a:graphic>
          </wp:inline>
        </w:drawing>
      </w:r>
    </w:p>
    <w:p w:rsidR="008C13F3" w:rsidRPr="008C13F3" w:rsidRDefault="008C13F3" w:rsidP="008C13F3">
      <w:r w:rsidRPr="008C13F3">
        <w:rPr>
          <w:rFonts w:hint="eastAsia"/>
        </w:rPr>
        <w:t>（</w:t>
      </w:r>
      <w:proofErr w:type="spellStart"/>
      <w:r w:rsidRPr="008C13F3">
        <w:rPr>
          <w:rFonts w:hint="eastAsia"/>
        </w:rPr>
        <w:t>Sescousse</w:t>
      </w:r>
      <w:proofErr w:type="spellEnd"/>
      <w:r w:rsidRPr="008C13F3">
        <w:rPr>
          <w:rFonts w:hint="eastAsia"/>
        </w:rPr>
        <w:t xml:space="preserve"> </w:t>
      </w:r>
      <w:proofErr w:type="spellStart"/>
      <w:r w:rsidRPr="008C13F3">
        <w:rPr>
          <w:rFonts w:hint="eastAsia"/>
        </w:rPr>
        <w:t>et_al</w:t>
      </w:r>
      <w:proofErr w:type="spellEnd"/>
      <w:r w:rsidRPr="008C13F3">
        <w:rPr>
          <w:rFonts w:hint="eastAsia"/>
        </w:rPr>
        <w:t xml:space="preserve">., Neuroscience &amp; </w:t>
      </w:r>
      <w:proofErr w:type="spellStart"/>
      <w:r w:rsidRPr="008C13F3">
        <w:rPr>
          <w:rFonts w:hint="eastAsia"/>
        </w:rPr>
        <w:t>Biobehavior</w:t>
      </w:r>
      <w:proofErr w:type="spellEnd"/>
      <w:r w:rsidRPr="008C13F3">
        <w:rPr>
          <w:rFonts w:hint="eastAsia"/>
        </w:rPr>
        <w:t xml:space="preserve"> Reviews, 2013</w:t>
      </w:r>
      <w:r>
        <w:rPr>
          <w:rFonts w:hint="eastAsia"/>
        </w:rPr>
        <w:t>）</w:t>
      </w:r>
    </w:p>
    <w:p w:rsidR="006C3FE6" w:rsidRPr="008C13F3" w:rsidRDefault="006C3FE6" w:rsidP="00A628B7"/>
    <w:p w:rsidR="006C3FE6" w:rsidRPr="008C13F3" w:rsidRDefault="006C3FE6" w:rsidP="00A628B7"/>
    <w:p w:rsidR="006C3FE6" w:rsidRPr="008C13F3" w:rsidRDefault="006C3FE6" w:rsidP="00A628B7"/>
    <w:p w:rsidR="001A54DD" w:rsidRDefault="006C3FE6" w:rsidP="00A628B7">
      <w:pPr>
        <w:rPr>
          <w:lang w:val="de-DE"/>
        </w:rPr>
      </w:pPr>
      <w:r>
        <w:rPr>
          <w:rFonts w:ascii="Helvetica" w:hAnsi="Helvetica" w:cs="Helvetica"/>
          <w:noProof/>
          <w:kern w:val="0"/>
          <w:szCs w:val="24"/>
          <w:lang w:val="de-DE"/>
        </w:rPr>
        <w:drawing>
          <wp:inline distT="0" distB="0" distL="0" distR="0">
            <wp:extent cx="4055745" cy="29330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5745" cy="2933065"/>
                    </a:xfrm>
                    <a:prstGeom prst="rect">
                      <a:avLst/>
                    </a:prstGeom>
                    <a:noFill/>
                    <a:ln>
                      <a:noFill/>
                    </a:ln>
                  </pic:spPr>
                </pic:pic>
              </a:graphicData>
            </a:graphic>
          </wp:inline>
        </w:drawing>
      </w:r>
    </w:p>
    <w:p w:rsidR="008C13F3" w:rsidRDefault="008C13F3" w:rsidP="00A628B7">
      <w:pPr>
        <w:rPr>
          <w:lang w:val="de-DE"/>
        </w:rPr>
      </w:pPr>
    </w:p>
    <w:p w:rsidR="008C13F3" w:rsidRDefault="008C13F3" w:rsidP="00A628B7">
      <w:pPr>
        <w:rPr>
          <w:lang w:val="de-DE"/>
        </w:rPr>
      </w:pPr>
    </w:p>
    <w:p w:rsidR="008C13F3" w:rsidRPr="008C13F3" w:rsidRDefault="008C13F3" w:rsidP="008C13F3">
      <w:pPr>
        <w:rPr>
          <w:lang w:val="de-DE"/>
        </w:rPr>
      </w:pPr>
      <w:r w:rsidRPr="008C13F3">
        <w:rPr>
          <w:rFonts w:hint="eastAsia"/>
          <w:lang w:val="de-DE"/>
        </w:rPr>
        <w:t>音乐是不是有同样的机制能够诱发我们大脑的奖赏功能呢？</w:t>
      </w:r>
    </w:p>
    <w:p w:rsidR="008C13F3" w:rsidRPr="008C13F3" w:rsidRDefault="008C13F3" w:rsidP="008C13F3">
      <w:pPr>
        <w:rPr>
          <w:rFonts w:hint="eastAsia"/>
          <w:lang w:val="de-DE"/>
        </w:rPr>
      </w:pPr>
      <w:r w:rsidRPr="008C13F3">
        <w:rPr>
          <w:rFonts w:hint="eastAsia"/>
          <w:lang w:val="de-DE"/>
        </w:rPr>
        <w:t>有一群科学家就试图回答这个问题。他们给被试者连上一些生理传感器，然后给他们听一些令他们高度愉悦，甚至震颤、起鸡皮疙瘩的音乐，然后来看看他们的反应。</w:t>
      </w:r>
    </w:p>
    <w:p w:rsidR="008C13F3" w:rsidRDefault="008C13F3" w:rsidP="00A628B7">
      <w:pPr>
        <w:rPr>
          <w:lang w:val="de-DE"/>
        </w:rPr>
      </w:pPr>
    </w:p>
    <w:p w:rsidR="008C13F3" w:rsidRDefault="008C13F3" w:rsidP="00A628B7">
      <w:pPr>
        <w:rPr>
          <w:lang w:val="de-DE"/>
        </w:rPr>
      </w:pPr>
      <w:r>
        <w:rPr>
          <w:rFonts w:ascii="Helvetica" w:hAnsi="Helvetica" w:cs="Helvetica"/>
          <w:noProof/>
          <w:kern w:val="0"/>
          <w:szCs w:val="24"/>
          <w:lang w:val="de-DE"/>
        </w:rPr>
        <w:lastRenderedPageBreak/>
        <w:drawing>
          <wp:inline distT="0" distB="0" distL="0" distR="0">
            <wp:extent cx="3177540" cy="2091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540" cy="2091055"/>
                    </a:xfrm>
                    <a:prstGeom prst="rect">
                      <a:avLst/>
                    </a:prstGeom>
                    <a:noFill/>
                    <a:ln>
                      <a:noFill/>
                    </a:ln>
                  </pic:spPr>
                </pic:pic>
              </a:graphicData>
            </a:graphic>
          </wp:inline>
        </w:drawing>
      </w:r>
    </w:p>
    <w:p w:rsidR="008C13F3" w:rsidRDefault="008C13F3" w:rsidP="00A628B7">
      <w:pPr>
        <w:rPr>
          <w:lang w:val="de-DE"/>
        </w:rPr>
      </w:pPr>
    </w:p>
    <w:p w:rsidR="008C13F3" w:rsidRPr="008C13F3" w:rsidRDefault="008C13F3" w:rsidP="008C13F3">
      <w:pPr>
        <w:rPr>
          <w:lang w:val="de-DE"/>
        </w:rPr>
      </w:pPr>
      <w:r w:rsidRPr="008C13F3">
        <w:rPr>
          <w:rFonts w:hint="eastAsia"/>
          <w:lang w:val="de-DE"/>
        </w:rPr>
        <w:t>结果就发现，大家在体会到音乐高潮的时候，他们的皮肤电反应是增加的，他们的心率会变快，呼吸也会变快，但是他们的体温和脉搏会下降。</w:t>
      </w:r>
    </w:p>
    <w:p w:rsidR="008C13F3" w:rsidRDefault="008C13F3" w:rsidP="008C13F3">
      <w:r>
        <w:rPr>
          <w:rFonts w:ascii="Helvetica" w:hAnsi="Helvetica" w:cs="Helvetica"/>
          <w:noProof/>
          <w:kern w:val="0"/>
          <w:szCs w:val="24"/>
          <w:lang w:val="de-DE"/>
        </w:rPr>
        <w:drawing>
          <wp:inline distT="0" distB="0" distL="0" distR="0">
            <wp:extent cx="4517390" cy="345821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7390" cy="3458210"/>
                    </a:xfrm>
                    <a:prstGeom prst="rect">
                      <a:avLst/>
                    </a:prstGeom>
                    <a:noFill/>
                    <a:ln>
                      <a:noFill/>
                    </a:ln>
                  </pic:spPr>
                </pic:pic>
              </a:graphicData>
            </a:graphic>
          </wp:inline>
        </w:drawing>
      </w:r>
    </w:p>
    <w:p w:rsidR="008C13F3" w:rsidRDefault="008C13F3" w:rsidP="00A628B7">
      <w:r>
        <w:rPr>
          <w:rFonts w:hint="eastAsia"/>
        </w:rPr>
        <w:t>（</w:t>
      </w:r>
      <w:proofErr w:type="spellStart"/>
      <w:r w:rsidRPr="008C13F3">
        <w:rPr>
          <w:rFonts w:hint="eastAsia"/>
        </w:rPr>
        <w:t>Salimpoor</w:t>
      </w:r>
      <w:proofErr w:type="spellEnd"/>
      <w:r w:rsidRPr="008C13F3">
        <w:rPr>
          <w:rFonts w:hint="eastAsia"/>
        </w:rPr>
        <w:t xml:space="preserve"> et al., </w:t>
      </w:r>
      <w:proofErr w:type="spellStart"/>
      <w:r w:rsidRPr="008C13F3">
        <w:rPr>
          <w:rFonts w:hint="eastAsia"/>
        </w:rPr>
        <w:t>PLoS</w:t>
      </w:r>
      <w:proofErr w:type="spellEnd"/>
      <w:r w:rsidRPr="008C13F3">
        <w:rPr>
          <w:rFonts w:hint="eastAsia"/>
        </w:rPr>
        <w:t xml:space="preserve"> ONE, 2010</w:t>
      </w:r>
      <w:r>
        <w:rPr>
          <w:rFonts w:hint="eastAsia"/>
        </w:rPr>
        <w:t>）</w:t>
      </w:r>
    </w:p>
    <w:p w:rsidR="00733E1D" w:rsidRPr="00733E1D" w:rsidRDefault="00733E1D" w:rsidP="00733E1D">
      <w:pPr>
        <w:rPr>
          <w:lang w:val="de-DE"/>
        </w:rPr>
      </w:pPr>
      <w:r w:rsidRPr="00733E1D">
        <w:rPr>
          <w:rFonts w:hint="eastAsia"/>
          <w:lang w:val="de-DE"/>
        </w:rPr>
        <w:t>贝多芬的《命运交响曲》有让大家有这种头皮发麻的震颤感吗？其实每个人的答案不一样，你喜欢的音乐可能并不是另外一个人喜欢的。</w:t>
      </w:r>
    </w:p>
    <w:p w:rsidR="00733E1D" w:rsidRPr="00733E1D" w:rsidRDefault="00733E1D" w:rsidP="00733E1D">
      <w:pPr>
        <w:rPr>
          <w:rFonts w:hint="eastAsia"/>
          <w:lang w:val="de-DE"/>
        </w:rPr>
      </w:pPr>
      <w:r w:rsidRPr="00733E1D">
        <w:rPr>
          <w:rFonts w:hint="eastAsia"/>
          <w:lang w:val="de-DE"/>
        </w:rPr>
        <w:t>在聆听这种高度愉悦的音乐的时候，大脑中还会做出很强烈的反应，它会激发我们的多巴胺奖赏机制。而且这些跟奖赏相关的核团，比如说伏隔核以及纹状体，它们的激活程度以及释放的多巴胺浓度，是跟我们对音乐的喜爱程度、感受到的震颤程度以及我们愿意出钱购买它的金钱的量是成正比的。</w:t>
      </w:r>
    </w:p>
    <w:p w:rsidR="00733E1D" w:rsidRPr="00733E1D" w:rsidRDefault="00733E1D" w:rsidP="00733E1D">
      <w:pPr>
        <w:rPr>
          <w:rFonts w:hint="eastAsia"/>
          <w:lang w:val="de-DE"/>
        </w:rPr>
      </w:pPr>
      <w:r w:rsidRPr="00733E1D">
        <w:rPr>
          <w:rFonts w:hint="eastAsia"/>
          <w:lang w:val="de-DE"/>
        </w:rPr>
        <w:t>也就是说，我们如果更喜欢一个音乐更愿意购买它的话，这些脑区的激活也会更多。</w:t>
      </w:r>
    </w:p>
    <w:p w:rsidR="00733E1D" w:rsidRPr="00733E1D" w:rsidRDefault="00733E1D" w:rsidP="00A628B7">
      <w:pPr>
        <w:rPr>
          <w:lang w:val="de-DE"/>
        </w:rPr>
      </w:pPr>
    </w:p>
    <w:p w:rsidR="008C13F3" w:rsidRDefault="008C13F3" w:rsidP="00A628B7">
      <w:r>
        <w:rPr>
          <w:rFonts w:ascii="Helvetica" w:hAnsi="Helvetica" w:cs="Helvetica"/>
          <w:noProof/>
          <w:kern w:val="0"/>
          <w:szCs w:val="24"/>
          <w:lang w:val="de-DE"/>
        </w:rPr>
        <w:drawing>
          <wp:inline distT="0" distB="0" distL="0" distR="0">
            <wp:extent cx="5756910" cy="3174904"/>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174904"/>
                    </a:xfrm>
                    <a:prstGeom prst="rect">
                      <a:avLst/>
                    </a:prstGeom>
                    <a:noFill/>
                    <a:ln>
                      <a:noFill/>
                    </a:ln>
                  </pic:spPr>
                </pic:pic>
              </a:graphicData>
            </a:graphic>
          </wp:inline>
        </w:drawing>
      </w:r>
    </w:p>
    <w:p w:rsidR="008C13F3" w:rsidRDefault="008C13F3" w:rsidP="00A628B7"/>
    <w:p w:rsidR="00733E1D" w:rsidRPr="00733E1D" w:rsidRDefault="00733E1D" w:rsidP="00733E1D">
      <w:pPr>
        <w:rPr>
          <w:lang w:val="de-DE"/>
        </w:rPr>
      </w:pPr>
      <w:r w:rsidRPr="00733E1D">
        <w:rPr>
          <w:rFonts w:hint="eastAsia"/>
          <w:lang w:val="de-DE"/>
        </w:rPr>
        <w:t>加拿大</w:t>
      </w:r>
      <w:r w:rsidRPr="00733E1D">
        <w:rPr>
          <w:rFonts w:hint="eastAsia"/>
          <w:lang w:val="de-DE"/>
        </w:rPr>
        <w:t>McGill</w:t>
      </w:r>
      <w:r w:rsidRPr="00733E1D">
        <w:rPr>
          <w:rFonts w:hint="eastAsia"/>
          <w:lang w:val="de-DE"/>
        </w:rPr>
        <w:t>大学的一个同事最近就做了这样一个实验。他们采用一种叫作“经颅磁刺激”的神经调控方式，也就是在你的头皮某一个部位施加一个连续微弱的磁刺激就可以兴奋或者抑制某一个脑区。然后他们让你听不同的音乐，让你去评价对这个音乐的喜好程度，以及愿意出价的金钱额度。</w:t>
      </w:r>
    </w:p>
    <w:p w:rsidR="008C13F3" w:rsidRDefault="00733E1D" w:rsidP="00A628B7">
      <w:pPr>
        <w:rPr>
          <w:lang w:val="de-DE"/>
        </w:rPr>
      </w:pPr>
      <w:r>
        <w:rPr>
          <w:rFonts w:ascii="Helvetica" w:hAnsi="Helvetica" w:cs="Helvetica"/>
          <w:noProof/>
          <w:kern w:val="0"/>
          <w:szCs w:val="24"/>
          <w:lang w:val="de-DE"/>
        </w:rPr>
        <w:drawing>
          <wp:inline distT="0" distB="0" distL="0" distR="0">
            <wp:extent cx="2453640" cy="15303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3640" cy="1530350"/>
                    </a:xfrm>
                    <a:prstGeom prst="rect">
                      <a:avLst/>
                    </a:prstGeom>
                    <a:noFill/>
                    <a:ln>
                      <a:noFill/>
                    </a:ln>
                  </pic:spPr>
                </pic:pic>
              </a:graphicData>
            </a:graphic>
          </wp:inline>
        </w:drawing>
      </w:r>
    </w:p>
    <w:p w:rsidR="00733E1D" w:rsidRDefault="00733E1D" w:rsidP="00A628B7">
      <w:pPr>
        <w:rPr>
          <w:lang w:val="de-DE"/>
        </w:rPr>
      </w:pPr>
    </w:p>
    <w:p w:rsidR="00733E1D" w:rsidRPr="00733E1D" w:rsidRDefault="00733E1D" w:rsidP="00733E1D">
      <w:pPr>
        <w:rPr>
          <w:lang w:val="de-DE"/>
        </w:rPr>
      </w:pPr>
      <w:r w:rsidRPr="00733E1D">
        <w:rPr>
          <w:rFonts w:hint="eastAsia"/>
          <w:lang w:val="de-DE"/>
        </w:rPr>
        <w:t>他们发现，对于同一段音乐，如果使用一个兴奋性的刺激序列让你的大脑背外侧前额叶更兴奋的话，你就更喜欢这段音乐，也更愿意花钱去购买这段音乐；相反，如果是用一个抑制性的刺激序列去抑制你大脑背外侧前额叶的神经活动，那你就更不喜欢这段音乐，也更不愿意购买这段音乐。</w:t>
      </w:r>
    </w:p>
    <w:p w:rsidR="00733E1D" w:rsidRDefault="00733E1D" w:rsidP="00A628B7">
      <w:pPr>
        <w:rPr>
          <w:lang w:val="de-DE"/>
        </w:rPr>
      </w:pPr>
      <w:r>
        <w:rPr>
          <w:rFonts w:ascii="Helvetica" w:hAnsi="Helvetica" w:cs="Helvetica"/>
          <w:noProof/>
          <w:kern w:val="0"/>
          <w:szCs w:val="24"/>
          <w:lang w:val="de-DE"/>
        </w:rPr>
        <w:lastRenderedPageBreak/>
        <w:drawing>
          <wp:inline distT="0" distB="0" distL="0" distR="0">
            <wp:extent cx="3947160" cy="1457325"/>
            <wp:effectExtent l="0" t="0" r="254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7160" cy="1457325"/>
                    </a:xfrm>
                    <a:prstGeom prst="rect">
                      <a:avLst/>
                    </a:prstGeom>
                    <a:noFill/>
                    <a:ln>
                      <a:noFill/>
                    </a:ln>
                  </pic:spPr>
                </pic:pic>
              </a:graphicData>
            </a:graphic>
          </wp:inline>
        </w:drawing>
      </w:r>
    </w:p>
    <w:p w:rsidR="00733E1D" w:rsidRPr="00733E1D" w:rsidRDefault="00733E1D" w:rsidP="00733E1D">
      <w:r w:rsidRPr="00733E1D">
        <w:rPr>
          <w:rFonts w:hint="eastAsia"/>
        </w:rPr>
        <w:t>（</w:t>
      </w:r>
      <w:r w:rsidRPr="00733E1D">
        <w:rPr>
          <w:rFonts w:hint="eastAsia"/>
        </w:rPr>
        <w:t xml:space="preserve">Mas-Herrero et al., Nature Human </w:t>
      </w:r>
      <w:proofErr w:type="spellStart"/>
      <w:r w:rsidRPr="00733E1D">
        <w:rPr>
          <w:rFonts w:hint="eastAsia"/>
        </w:rPr>
        <w:t>Behaviour</w:t>
      </w:r>
      <w:proofErr w:type="spellEnd"/>
      <w:r w:rsidRPr="00733E1D">
        <w:rPr>
          <w:rFonts w:hint="eastAsia"/>
        </w:rPr>
        <w:t>, 2017</w:t>
      </w:r>
      <w:r>
        <w:rPr>
          <w:rFonts w:hint="eastAsia"/>
        </w:rPr>
        <w:t>）</w:t>
      </w:r>
    </w:p>
    <w:p w:rsidR="00733E1D" w:rsidRDefault="00733E1D" w:rsidP="00A628B7"/>
    <w:p w:rsidR="00733E1D" w:rsidRDefault="00733E1D" w:rsidP="00A628B7"/>
    <w:p w:rsidR="00733E1D" w:rsidRDefault="00733E1D" w:rsidP="00A628B7">
      <w:r>
        <w:rPr>
          <w:rFonts w:ascii="Helvetica" w:hAnsi="Helvetica" w:cs="Helvetica"/>
          <w:noProof/>
          <w:kern w:val="0"/>
          <w:szCs w:val="24"/>
          <w:lang w:val="de-DE"/>
        </w:rPr>
        <w:drawing>
          <wp:inline distT="0" distB="0" distL="0" distR="0">
            <wp:extent cx="3503930" cy="2498725"/>
            <wp:effectExtent l="0" t="0" r="127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3930" cy="2498725"/>
                    </a:xfrm>
                    <a:prstGeom prst="rect">
                      <a:avLst/>
                    </a:prstGeom>
                    <a:noFill/>
                    <a:ln>
                      <a:noFill/>
                    </a:ln>
                  </pic:spPr>
                </pic:pic>
              </a:graphicData>
            </a:graphic>
          </wp:inline>
        </w:drawing>
      </w:r>
    </w:p>
    <w:p w:rsidR="00733E1D" w:rsidRDefault="00733E1D" w:rsidP="00A628B7"/>
    <w:p w:rsidR="00733E1D" w:rsidRDefault="00733E1D" w:rsidP="00A628B7">
      <w:r>
        <w:rPr>
          <w:rFonts w:ascii="Helvetica" w:hAnsi="Helvetica" w:cs="Helvetica"/>
          <w:noProof/>
          <w:kern w:val="0"/>
          <w:szCs w:val="24"/>
          <w:lang w:val="de-DE"/>
        </w:rPr>
        <w:drawing>
          <wp:inline distT="0" distB="0" distL="0" distR="0">
            <wp:extent cx="5756910" cy="322960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229606"/>
                    </a:xfrm>
                    <a:prstGeom prst="rect">
                      <a:avLst/>
                    </a:prstGeom>
                    <a:noFill/>
                    <a:ln>
                      <a:noFill/>
                    </a:ln>
                  </pic:spPr>
                </pic:pic>
              </a:graphicData>
            </a:graphic>
          </wp:inline>
        </w:drawing>
      </w:r>
    </w:p>
    <w:p w:rsidR="00733E1D" w:rsidRDefault="00733E1D" w:rsidP="00A628B7"/>
    <w:p w:rsidR="00733E1D" w:rsidRDefault="00733E1D" w:rsidP="00733E1D">
      <w:pPr>
        <w:rPr>
          <w:lang w:val="de-DE"/>
        </w:rPr>
      </w:pPr>
    </w:p>
    <w:p w:rsidR="00733E1D" w:rsidRPr="00733E1D" w:rsidRDefault="00733E1D" w:rsidP="00733E1D">
      <w:pPr>
        <w:rPr>
          <w:lang w:val="de-DE"/>
        </w:rPr>
      </w:pPr>
      <w:r w:rsidRPr="00733E1D">
        <w:rPr>
          <w:rFonts w:hint="eastAsia"/>
          <w:lang w:val="de-DE"/>
        </w:rPr>
        <w:lastRenderedPageBreak/>
        <w:t>既然音乐如此重要，我们大脑中是如何加工这个音乐的呢？可以发现，相对于音乐，语言其实更多激活了大脑左侧半球的一些脑区。而相对于言语，我们在加工音乐的时候更多激活的是大脑右半球的脑区。但是这并不等于像我们传统认为的那样，左脑加工语言，右脑加工音乐。</w:t>
      </w:r>
    </w:p>
    <w:p w:rsidR="00733E1D" w:rsidRPr="00733E1D" w:rsidRDefault="00733E1D" w:rsidP="00733E1D">
      <w:pPr>
        <w:rPr>
          <w:rFonts w:hint="eastAsia"/>
          <w:lang w:val="de-DE"/>
        </w:rPr>
      </w:pPr>
      <w:r w:rsidRPr="00733E1D">
        <w:rPr>
          <w:rFonts w:hint="eastAsia"/>
          <w:lang w:val="de-DE"/>
        </w:rPr>
        <w:t>事实上，我们的大脑半球同时都在加工这两种声音，只是大脑半球的激活程度和它们的激活的模式对两者的反应是不太一样的。比如说右侧听皮层这个地方，它同样在加工音乐也在加工言语。</w:t>
      </w:r>
    </w:p>
    <w:p w:rsidR="00733E1D" w:rsidRPr="00733E1D" w:rsidRDefault="00733E1D" w:rsidP="00733E1D">
      <w:pPr>
        <w:rPr>
          <w:rFonts w:hint="eastAsia"/>
          <w:lang w:val="de-DE"/>
        </w:rPr>
      </w:pPr>
      <w:r w:rsidRPr="00733E1D">
        <w:rPr>
          <w:rFonts w:hint="eastAsia"/>
          <w:lang w:val="de-DE"/>
        </w:rPr>
        <w:t>所以我们大脑中并没有一个脑区是对音乐特异性敏感的，音乐和言语它们其实是有共享的一个神经网络。</w:t>
      </w:r>
    </w:p>
    <w:p w:rsidR="00733E1D" w:rsidRDefault="00733E1D" w:rsidP="00A628B7">
      <w:pPr>
        <w:rPr>
          <w:lang w:val="de-DE"/>
        </w:rPr>
      </w:pPr>
    </w:p>
    <w:p w:rsidR="00733E1D" w:rsidRDefault="0039387D" w:rsidP="00A628B7">
      <w:pPr>
        <w:rPr>
          <w:lang w:val="de-DE"/>
        </w:rPr>
      </w:pPr>
      <w:r w:rsidRPr="0039387D">
        <w:rPr>
          <w:lang w:val="de-DE"/>
        </w:rPr>
        <w:drawing>
          <wp:inline distT="0" distB="0" distL="0" distR="0">
            <wp:extent cx="3449320" cy="2263140"/>
            <wp:effectExtent l="0" t="0" r="508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9320" cy="2263140"/>
                    </a:xfrm>
                    <a:prstGeom prst="rect">
                      <a:avLst/>
                    </a:prstGeom>
                    <a:noFill/>
                    <a:ln>
                      <a:noFill/>
                    </a:ln>
                  </pic:spPr>
                </pic:pic>
              </a:graphicData>
            </a:graphic>
          </wp:inline>
        </w:drawing>
      </w:r>
    </w:p>
    <w:p w:rsidR="0039387D" w:rsidRPr="0039387D" w:rsidRDefault="0039387D" w:rsidP="0039387D">
      <w:pPr>
        <w:pStyle w:val="berschrift5"/>
        <w:shd w:val="clear" w:color="auto" w:fill="FFFFFF"/>
        <w:spacing w:before="0" w:after="450" w:line="375" w:lineRule="atLeast"/>
        <w:rPr>
          <w:rFonts w:ascii="Times New Roman" w:eastAsia="SimSun" w:hAnsi="Times New Roman" w:cstheme="minorBidi"/>
          <w:color w:val="auto"/>
          <w:lang w:val="de-DE"/>
        </w:rPr>
      </w:pPr>
      <w:r>
        <w:rPr>
          <w:rFonts w:ascii="Times New Roman" w:eastAsia="SimSun" w:hAnsi="Times New Roman" w:cstheme="minorBidi" w:hint="eastAsia"/>
          <w:color w:val="auto"/>
          <w:lang w:val="de-DE"/>
        </w:rPr>
        <w:t>（</w:t>
      </w:r>
      <w:proofErr w:type="spellStart"/>
      <w:r w:rsidRPr="0039387D">
        <w:rPr>
          <w:rFonts w:ascii="Times New Roman" w:eastAsia="SimSun" w:hAnsi="Times New Roman" w:cstheme="minorBidi" w:hint="eastAsia"/>
          <w:color w:val="auto"/>
          <w:lang w:val="de-DE"/>
        </w:rPr>
        <w:t>Peretz</w:t>
      </w:r>
      <w:proofErr w:type="spellEnd"/>
      <w:r w:rsidRPr="0039387D">
        <w:rPr>
          <w:rFonts w:ascii="Times New Roman" w:eastAsia="SimSun" w:hAnsi="Times New Roman" w:cstheme="minorBidi" w:hint="eastAsia"/>
          <w:color w:val="auto"/>
          <w:lang w:val="de-DE"/>
        </w:rPr>
        <w:t xml:space="preserve">. et al., Phil Trans R </w:t>
      </w:r>
      <w:proofErr w:type="spellStart"/>
      <w:r w:rsidRPr="0039387D">
        <w:rPr>
          <w:rFonts w:ascii="Times New Roman" w:eastAsia="SimSun" w:hAnsi="Times New Roman" w:cstheme="minorBidi" w:hint="eastAsia"/>
          <w:color w:val="auto"/>
          <w:lang w:val="de-DE"/>
        </w:rPr>
        <w:t>Soc</w:t>
      </w:r>
      <w:proofErr w:type="spellEnd"/>
      <w:r w:rsidRPr="0039387D">
        <w:rPr>
          <w:rFonts w:ascii="Times New Roman" w:eastAsia="SimSun" w:hAnsi="Times New Roman" w:cstheme="minorBidi" w:hint="eastAsia"/>
          <w:color w:val="auto"/>
          <w:lang w:val="de-DE"/>
        </w:rPr>
        <w:t>, 2015</w:t>
      </w:r>
      <w:r>
        <w:rPr>
          <w:rFonts w:ascii="Times New Roman" w:eastAsia="SimSun" w:hAnsi="Times New Roman" w:cstheme="minorBidi" w:hint="eastAsia"/>
          <w:color w:val="auto"/>
          <w:lang w:val="de-DE"/>
        </w:rPr>
        <w:t>）</w:t>
      </w:r>
    </w:p>
    <w:p w:rsidR="0039387D" w:rsidRDefault="005E6D88" w:rsidP="00A628B7">
      <w:pPr>
        <w:rPr>
          <w:lang w:val="de-DE"/>
        </w:rPr>
      </w:pPr>
      <w:r>
        <w:rPr>
          <w:rFonts w:ascii="Helvetica" w:hAnsi="Helvetica" w:cs="Helvetica"/>
          <w:noProof/>
          <w:kern w:val="0"/>
          <w:szCs w:val="24"/>
          <w:lang w:val="de-DE"/>
        </w:rPr>
        <w:drawing>
          <wp:inline distT="0" distB="0" distL="0" distR="0">
            <wp:extent cx="3811270" cy="2381250"/>
            <wp:effectExtent l="0" t="0" r="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270" cy="2381250"/>
                    </a:xfrm>
                    <a:prstGeom prst="rect">
                      <a:avLst/>
                    </a:prstGeom>
                    <a:noFill/>
                    <a:ln>
                      <a:noFill/>
                    </a:ln>
                  </pic:spPr>
                </pic:pic>
              </a:graphicData>
            </a:graphic>
          </wp:inline>
        </w:drawing>
      </w:r>
    </w:p>
    <w:p w:rsidR="005E6D88" w:rsidRDefault="005E6D88" w:rsidP="00A628B7">
      <w:pPr>
        <w:rPr>
          <w:lang w:val="de-DE"/>
        </w:rPr>
      </w:pPr>
    </w:p>
    <w:p w:rsidR="005E6D88" w:rsidRDefault="005E6D88" w:rsidP="00A628B7">
      <w:pPr>
        <w:rPr>
          <w:lang w:val="de-DE"/>
        </w:rPr>
      </w:pPr>
    </w:p>
    <w:p w:rsidR="005E6D88" w:rsidRPr="00733E1D" w:rsidRDefault="005E6D88" w:rsidP="00A628B7">
      <w:pPr>
        <w:rPr>
          <w:rFonts w:hint="eastAsia"/>
          <w:lang w:val="de-DE"/>
        </w:rPr>
      </w:pPr>
      <w:bookmarkStart w:id="0" w:name="_GoBack"/>
      <w:bookmarkEnd w:id="0"/>
    </w:p>
    <w:sectPr w:rsidR="005E6D88" w:rsidRPr="00733E1D" w:rsidSect="006C02D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888" w:rsidRDefault="00102888" w:rsidP="00330FA1">
      <w:pPr>
        <w:spacing w:line="240" w:lineRule="auto"/>
      </w:pPr>
      <w:r>
        <w:separator/>
      </w:r>
    </w:p>
  </w:endnote>
  <w:endnote w:type="continuationSeparator" w:id="0">
    <w:p w:rsidR="00102888" w:rsidRDefault="00102888" w:rsidP="00330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888" w:rsidRDefault="00102888" w:rsidP="00330FA1">
      <w:pPr>
        <w:spacing w:line="240" w:lineRule="auto"/>
      </w:pPr>
      <w:r>
        <w:separator/>
      </w:r>
    </w:p>
  </w:footnote>
  <w:footnote w:type="continuationSeparator" w:id="0">
    <w:p w:rsidR="00102888" w:rsidRDefault="00102888" w:rsidP="00330FA1">
      <w:pPr>
        <w:spacing w:line="240" w:lineRule="auto"/>
      </w:pPr>
      <w:r>
        <w:continuationSeparator/>
      </w:r>
    </w:p>
  </w:footnote>
  <w:footnote w:id="1">
    <w:p w:rsidR="00330FA1" w:rsidRPr="00330FA1" w:rsidRDefault="00330FA1">
      <w:pPr>
        <w:pStyle w:val="Funotentext"/>
        <w:rPr>
          <w:lang w:val="de-DE"/>
        </w:rPr>
      </w:pPr>
      <w:r>
        <w:rPr>
          <w:rStyle w:val="Funotenzeichen"/>
        </w:rPr>
        <w:footnoteRef/>
      </w:r>
      <w:r w:rsidRPr="00330FA1">
        <w:rPr>
          <w:lang w:val="de-DE"/>
        </w:rPr>
        <w:t xml:space="preserve"> </w:t>
      </w:r>
      <w:r>
        <w:rPr>
          <w:lang w:val="de-DE"/>
        </w:rPr>
        <w:t xml:space="preserve">Dabei werden nicht nur die äußerlich sichtbaren Strukturen betrachtet, sondern auch jene Strukturen, die man beim </w:t>
      </w:r>
      <w:proofErr w:type="spellStart"/>
      <w:r>
        <w:rPr>
          <w:lang w:val="de-DE"/>
        </w:rPr>
        <w:t>Sektionieren</w:t>
      </w:r>
      <w:proofErr w:type="spellEnd"/>
      <w:r>
        <w:rPr>
          <w:lang w:val="de-DE"/>
        </w:rPr>
        <w:t xml:space="preserve"> erkennen kann.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01E89"/>
    <w:multiLevelType w:val="hybridMultilevel"/>
    <w:tmpl w:val="E37A3E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BF"/>
    <w:rsid w:val="00102888"/>
    <w:rsid w:val="001A54DD"/>
    <w:rsid w:val="002B77BF"/>
    <w:rsid w:val="003256CA"/>
    <w:rsid w:val="00330FA1"/>
    <w:rsid w:val="0039387D"/>
    <w:rsid w:val="00440A4D"/>
    <w:rsid w:val="004E2B0C"/>
    <w:rsid w:val="005558B9"/>
    <w:rsid w:val="005E6D88"/>
    <w:rsid w:val="005F10BF"/>
    <w:rsid w:val="006C02D0"/>
    <w:rsid w:val="006C3FE6"/>
    <w:rsid w:val="00733E1D"/>
    <w:rsid w:val="008C13F3"/>
    <w:rsid w:val="00A3164F"/>
    <w:rsid w:val="00A628B7"/>
    <w:rsid w:val="00B87ACF"/>
    <w:rsid w:val="00F712B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76DA8"/>
  <w14:defaultImageDpi w14:val="32767"/>
  <w15:chartTrackingRefBased/>
  <w15:docId w15:val="{6C835851-0F76-414C-8494-332D96EB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712B3"/>
    <w:pPr>
      <w:widowControl w:val="0"/>
      <w:spacing w:line="360" w:lineRule="auto"/>
      <w:jc w:val="both"/>
    </w:pPr>
    <w:rPr>
      <w:rFonts w:ascii="Times New Roman" w:hAnsi="Times New Roman"/>
      <w:kern w:val="2"/>
      <w:szCs w:val="22"/>
      <w:lang w:val="en-US"/>
    </w:rPr>
  </w:style>
  <w:style w:type="paragraph" w:styleId="berschrift5">
    <w:name w:val="heading 5"/>
    <w:basedOn w:val="Standard"/>
    <w:next w:val="Standard"/>
    <w:link w:val="berschrift5Zchn"/>
    <w:uiPriority w:val="9"/>
    <w:semiHidden/>
    <w:unhideWhenUsed/>
    <w:qFormat/>
    <w:rsid w:val="008C13F3"/>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30FA1"/>
    <w:pPr>
      <w:spacing w:line="240" w:lineRule="auto"/>
    </w:pPr>
    <w:rPr>
      <w:sz w:val="20"/>
      <w:szCs w:val="20"/>
    </w:rPr>
  </w:style>
  <w:style w:type="character" w:customStyle="1" w:styleId="FunotentextZchn">
    <w:name w:val="Fußnotentext Zchn"/>
    <w:basedOn w:val="Absatz-Standardschriftart"/>
    <w:link w:val="Funotentext"/>
    <w:uiPriority w:val="99"/>
    <w:semiHidden/>
    <w:rsid w:val="00330FA1"/>
    <w:rPr>
      <w:rFonts w:ascii="Times New Roman" w:hAnsi="Times New Roman"/>
      <w:kern w:val="2"/>
      <w:sz w:val="20"/>
      <w:szCs w:val="20"/>
      <w:lang w:val="en-US"/>
    </w:rPr>
  </w:style>
  <w:style w:type="character" w:styleId="Funotenzeichen">
    <w:name w:val="footnote reference"/>
    <w:basedOn w:val="Absatz-Standardschriftart"/>
    <w:uiPriority w:val="99"/>
    <w:semiHidden/>
    <w:unhideWhenUsed/>
    <w:rsid w:val="00330FA1"/>
    <w:rPr>
      <w:vertAlign w:val="superscript"/>
    </w:rPr>
  </w:style>
  <w:style w:type="paragraph" w:styleId="Listenabsatz">
    <w:name w:val="List Paragraph"/>
    <w:basedOn w:val="Standard"/>
    <w:uiPriority w:val="34"/>
    <w:qFormat/>
    <w:rsid w:val="005558B9"/>
    <w:pPr>
      <w:ind w:left="720"/>
      <w:contextualSpacing/>
    </w:pPr>
  </w:style>
  <w:style w:type="character" w:styleId="Hyperlink">
    <w:name w:val="Hyperlink"/>
    <w:basedOn w:val="Absatz-Standardschriftart"/>
    <w:uiPriority w:val="99"/>
    <w:unhideWhenUsed/>
    <w:rsid w:val="00A628B7"/>
    <w:rPr>
      <w:color w:val="0563C1" w:themeColor="hyperlink"/>
      <w:u w:val="single"/>
    </w:rPr>
  </w:style>
  <w:style w:type="character" w:styleId="NichtaufgelsteErwhnung">
    <w:name w:val="Unresolved Mention"/>
    <w:basedOn w:val="Absatz-Standardschriftart"/>
    <w:uiPriority w:val="99"/>
    <w:rsid w:val="00A628B7"/>
    <w:rPr>
      <w:color w:val="808080"/>
      <w:shd w:val="clear" w:color="auto" w:fill="E6E6E6"/>
    </w:rPr>
  </w:style>
  <w:style w:type="character" w:customStyle="1" w:styleId="berschrift5Zchn">
    <w:name w:val="Überschrift 5 Zchn"/>
    <w:basedOn w:val="Absatz-Standardschriftart"/>
    <w:link w:val="berschrift5"/>
    <w:uiPriority w:val="9"/>
    <w:semiHidden/>
    <w:rsid w:val="008C13F3"/>
    <w:rPr>
      <w:rFonts w:asciiTheme="majorHAnsi" w:eastAsiaTheme="majorEastAsia" w:hAnsiTheme="majorHAnsi" w:cstheme="majorBidi"/>
      <w:color w:val="2F5496" w:themeColor="accent1" w:themeShade="BF"/>
      <w:kern w:val="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3729">
      <w:bodyDiv w:val="1"/>
      <w:marLeft w:val="0"/>
      <w:marRight w:val="0"/>
      <w:marTop w:val="0"/>
      <w:marBottom w:val="0"/>
      <w:divBdr>
        <w:top w:val="none" w:sz="0" w:space="0" w:color="auto"/>
        <w:left w:val="none" w:sz="0" w:space="0" w:color="auto"/>
        <w:bottom w:val="none" w:sz="0" w:space="0" w:color="auto"/>
        <w:right w:val="none" w:sz="0" w:space="0" w:color="auto"/>
      </w:divBdr>
    </w:div>
    <w:div w:id="249123794">
      <w:bodyDiv w:val="1"/>
      <w:marLeft w:val="0"/>
      <w:marRight w:val="0"/>
      <w:marTop w:val="0"/>
      <w:marBottom w:val="0"/>
      <w:divBdr>
        <w:top w:val="none" w:sz="0" w:space="0" w:color="auto"/>
        <w:left w:val="none" w:sz="0" w:space="0" w:color="auto"/>
        <w:bottom w:val="none" w:sz="0" w:space="0" w:color="auto"/>
        <w:right w:val="none" w:sz="0" w:space="0" w:color="auto"/>
      </w:divBdr>
    </w:div>
    <w:div w:id="411052583">
      <w:bodyDiv w:val="1"/>
      <w:marLeft w:val="0"/>
      <w:marRight w:val="0"/>
      <w:marTop w:val="0"/>
      <w:marBottom w:val="0"/>
      <w:divBdr>
        <w:top w:val="none" w:sz="0" w:space="0" w:color="auto"/>
        <w:left w:val="none" w:sz="0" w:space="0" w:color="auto"/>
        <w:bottom w:val="none" w:sz="0" w:space="0" w:color="auto"/>
        <w:right w:val="none" w:sz="0" w:space="0" w:color="auto"/>
      </w:divBdr>
    </w:div>
    <w:div w:id="430660151">
      <w:bodyDiv w:val="1"/>
      <w:marLeft w:val="0"/>
      <w:marRight w:val="0"/>
      <w:marTop w:val="0"/>
      <w:marBottom w:val="0"/>
      <w:divBdr>
        <w:top w:val="none" w:sz="0" w:space="0" w:color="auto"/>
        <w:left w:val="none" w:sz="0" w:space="0" w:color="auto"/>
        <w:bottom w:val="none" w:sz="0" w:space="0" w:color="auto"/>
        <w:right w:val="none" w:sz="0" w:space="0" w:color="auto"/>
      </w:divBdr>
    </w:div>
    <w:div w:id="433676697">
      <w:bodyDiv w:val="1"/>
      <w:marLeft w:val="0"/>
      <w:marRight w:val="0"/>
      <w:marTop w:val="0"/>
      <w:marBottom w:val="0"/>
      <w:divBdr>
        <w:top w:val="none" w:sz="0" w:space="0" w:color="auto"/>
        <w:left w:val="none" w:sz="0" w:space="0" w:color="auto"/>
        <w:bottom w:val="none" w:sz="0" w:space="0" w:color="auto"/>
        <w:right w:val="none" w:sz="0" w:space="0" w:color="auto"/>
      </w:divBdr>
    </w:div>
    <w:div w:id="497114390">
      <w:bodyDiv w:val="1"/>
      <w:marLeft w:val="0"/>
      <w:marRight w:val="0"/>
      <w:marTop w:val="0"/>
      <w:marBottom w:val="0"/>
      <w:divBdr>
        <w:top w:val="none" w:sz="0" w:space="0" w:color="auto"/>
        <w:left w:val="none" w:sz="0" w:space="0" w:color="auto"/>
        <w:bottom w:val="none" w:sz="0" w:space="0" w:color="auto"/>
        <w:right w:val="none" w:sz="0" w:space="0" w:color="auto"/>
      </w:divBdr>
    </w:div>
    <w:div w:id="513883919">
      <w:bodyDiv w:val="1"/>
      <w:marLeft w:val="0"/>
      <w:marRight w:val="0"/>
      <w:marTop w:val="0"/>
      <w:marBottom w:val="0"/>
      <w:divBdr>
        <w:top w:val="none" w:sz="0" w:space="0" w:color="auto"/>
        <w:left w:val="none" w:sz="0" w:space="0" w:color="auto"/>
        <w:bottom w:val="none" w:sz="0" w:space="0" w:color="auto"/>
        <w:right w:val="none" w:sz="0" w:space="0" w:color="auto"/>
      </w:divBdr>
    </w:div>
    <w:div w:id="537395332">
      <w:bodyDiv w:val="1"/>
      <w:marLeft w:val="0"/>
      <w:marRight w:val="0"/>
      <w:marTop w:val="0"/>
      <w:marBottom w:val="0"/>
      <w:divBdr>
        <w:top w:val="none" w:sz="0" w:space="0" w:color="auto"/>
        <w:left w:val="none" w:sz="0" w:space="0" w:color="auto"/>
        <w:bottom w:val="none" w:sz="0" w:space="0" w:color="auto"/>
        <w:right w:val="none" w:sz="0" w:space="0" w:color="auto"/>
      </w:divBdr>
    </w:div>
    <w:div w:id="599458732">
      <w:bodyDiv w:val="1"/>
      <w:marLeft w:val="0"/>
      <w:marRight w:val="0"/>
      <w:marTop w:val="0"/>
      <w:marBottom w:val="0"/>
      <w:divBdr>
        <w:top w:val="none" w:sz="0" w:space="0" w:color="auto"/>
        <w:left w:val="none" w:sz="0" w:space="0" w:color="auto"/>
        <w:bottom w:val="none" w:sz="0" w:space="0" w:color="auto"/>
        <w:right w:val="none" w:sz="0" w:space="0" w:color="auto"/>
      </w:divBdr>
    </w:div>
    <w:div w:id="614024915">
      <w:bodyDiv w:val="1"/>
      <w:marLeft w:val="0"/>
      <w:marRight w:val="0"/>
      <w:marTop w:val="0"/>
      <w:marBottom w:val="0"/>
      <w:divBdr>
        <w:top w:val="none" w:sz="0" w:space="0" w:color="auto"/>
        <w:left w:val="none" w:sz="0" w:space="0" w:color="auto"/>
        <w:bottom w:val="none" w:sz="0" w:space="0" w:color="auto"/>
        <w:right w:val="none" w:sz="0" w:space="0" w:color="auto"/>
      </w:divBdr>
    </w:div>
    <w:div w:id="693967450">
      <w:bodyDiv w:val="1"/>
      <w:marLeft w:val="0"/>
      <w:marRight w:val="0"/>
      <w:marTop w:val="0"/>
      <w:marBottom w:val="0"/>
      <w:divBdr>
        <w:top w:val="none" w:sz="0" w:space="0" w:color="auto"/>
        <w:left w:val="none" w:sz="0" w:space="0" w:color="auto"/>
        <w:bottom w:val="none" w:sz="0" w:space="0" w:color="auto"/>
        <w:right w:val="none" w:sz="0" w:space="0" w:color="auto"/>
      </w:divBdr>
    </w:div>
    <w:div w:id="751511484">
      <w:bodyDiv w:val="1"/>
      <w:marLeft w:val="0"/>
      <w:marRight w:val="0"/>
      <w:marTop w:val="0"/>
      <w:marBottom w:val="0"/>
      <w:divBdr>
        <w:top w:val="none" w:sz="0" w:space="0" w:color="auto"/>
        <w:left w:val="none" w:sz="0" w:space="0" w:color="auto"/>
        <w:bottom w:val="none" w:sz="0" w:space="0" w:color="auto"/>
        <w:right w:val="none" w:sz="0" w:space="0" w:color="auto"/>
      </w:divBdr>
    </w:div>
    <w:div w:id="787235597">
      <w:bodyDiv w:val="1"/>
      <w:marLeft w:val="0"/>
      <w:marRight w:val="0"/>
      <w:marTop w:val="0"/>
      <w:marBottom w:val="0"/>
      <w:divBdr>
        <w:top w:val="none" w:sz="0" w:space="0" w:color="auto"/>
        <w:left w:val="none" w:sz="0" w:space="0" w:color="auto"/>
        <w:bottom w:val="none" w:sz="0" w:space="0" w:color="auto"/>
        <w:right w:val="none" w:sz="0" w:space="0" w:color="auto"/>
      </w:divBdr>
    </w:div>
    <w:div w:id="831524107">
      <w:bodyDiv w:val="1"/>
      <w:marLeft w:val="0"/>
      <w:marRight w:val="0"/>
      <w:marTop w:val="0"/>
      <w:marBottom w:val="0"/>
      <w:divBdr>
        <w:top w:val="none" w:sz="0" w:space="0" w:color="auto"/>
        <w:left w:val="none" w:sz="0" w:space="0" w:color="auto"/>
        <w:bottom w:val="none" w:sz="0" w:space="0" w:color="auto"/>
        <w:right w:val="none" w:sz="0" w:space="0" w:color="auto"/>
      </w:divBdr>
    </w:div>
    <w:div w:id="923344578">
      <w:bodyDiv w:val="1"/>
      <w:marLeft w:val="0"/>
      <w:marRight w:val="0"/>
      <w:marTop w:val="0"/>
      <w:marBottom w:val="0"/>
      <w:divBdr>
        <w:top w:val="none" w:sz="0" w:space="0" w:color="auto"/>
        <w:left w:val="none" w:sz="0" w:space="0" w:color="auto"/>
        <w:bottom w:val="none" w:sz="0" w:space="0" w:color="auto"/>
        <w:right w:val="none" w:sz="0" w:space="0" w:color="auto"/>
      </w:divBdr>
    </w:div>
    <w:div w:id="956331905">
      <w:bodyDiv w:val="1"/>
      <w:marLeft w:val="0"/>
      <w:marRight w:val="0"/>
      <w:marTop w:val="0"/>
      <w:marBottom w:val="0"/>
      <w:divBdr>
        <w:top w:val="none" w:sz="0" w:space="0" w:color="auto"/>
        <w:left w:val="none" w:sz="0" w:space="0" w:color="auto"/>
        <w:bottom w:val="none" w:sz="0" w:space="0" w:color="auto"/>
        <w:right w:val="none" w:sz="0" w:space="0" w:color="auto"/>
      </w:divBdr>
    </w:div>
    <w:div w:id="1004436598">
      <w:bodyDiv w:val="1"/>
      <w:marLeft w:val="0"/>
      <w:marRight w:val="0"/>
      <w:marTop w:val="0"/>
      <w:marBottom w:val="0"/>
      <w:divBdr>
        <w:top w:val="none" w:sz="0" w:space="0" w:color="auto"/>
        <w:left w:val="none" w:sz="0" w:space="0" w:color="auto"/>
        <w:bottom w:val="none" w:sz="0" w:space="0" w:color="auto"/>
        <w:right w:val="none" w:sz="0" w:space="0" w:color="auto"/>
      </w:divBdr>
    </w:div>
    <w:div w:id="1033387797">
      <w:bodyDiv w:val="1"/>
      <w:marLeft w:val="0"/>
      <w:marRight w:val="0"/>
      <w:marTop w:val="0"/>
      <w:marBottom w:val="0"/>
      <w:divBdr>
        <w:top w:val="none" w:sz="0" w:space="0" w:color="auto"/>
        <w:left w:val="none" w:sz="0" w:space="0" w:color="auto"/>
        <w:bottom w:val="none" w:sz="0" w:space="0" w:color="auto"/>
        <w:right w:val="none" w:sz="0" w:space="0" w:color="auto"/>
      </w:divBdr>
    </w:div>
    <w:div w:id="1279607277">
      <w:bodyDiv w:val="1"/>
      <w:marLeft w:val="0"/>
      <w:marRight w:val="0"/>
      <w:marTop w:val="0"/>
      <w:marBottom w:val="0"/>
      <w:divBdr>
        <w:top w:val="none" w:sz="0" w:space="0" w:color="auto"/>
        <w:left w:val="none" w:sz="0" w:space="0" w:color="auto"/>
        <w:bottom w:val="none" w:sz="0" w:space="0" w:color="auto"/>
        <w:right w:val="none" w:sz="0" w:space="0" w:color="auto"/>
      </w:divBdr>
    </w:div>
    <w:div w:id="1292008532">
      <w:bodyDiv w:val="1"/>
      <w:marLeft w:val="0"/>
      <w:marRight w:val="0"/>
      <w:marTop w:val="0"/>
      <w:marBottom w:val="0"/>
      <w:divBdr>
        <w:top w:val="none" w:sz="0" w:space="0" w:color="auto"/>
        <w:left w:val="none" w:sz="0" w:space="0" w:color="auto"/>
        <w:bottom w:val="none" w:sz="0" w:space="0" w:color="auto"/>
        <w:right w:val="none" w:sz="0" w:space="0" w:color="auto"/>
      </w:divBdr>
    </w:div>
    <w:div w:id="1409577411">
      <w:bodyDiv w:val="1"/>
      <w:marLeft w:val="0"/>
      <w:marRight w:val="0"/>
      <w:marTop w:val="0"/>
      <w:marBottom w:val="0"/>
      <w:divBdr>
        <w:top w:val="none" w:sz="0" w:space="0" w:color="auto"/>
        <w:left w:val="none" w:sz="0" w:space="0" w:color="auto"/>
        <w:bottom w:val="none" w:sz="0" w:space="0" w:color="auto"/>
        <w:right w:val="none" w:sz="0" w:space="0" w:color="auto"/>
      </w:divBdr>
    </w:div>
    <w:div w:id="1432241182">
      <w:bodyDiv w:val="1"/>
      <w:marLeft w:val="0"/>
      <w:marRight w:val="0"/>
      <w:marTop w:val="0"/>
      <w:marBottom w:val="0"/>
      <w:divBdr>
        <w:top w:val="none" w:sz="0" w:space="0" w:color="auto"/>
        <w:left w:val="none" w:sz="0" w:space="0" w:color="auto"/>
        <w:bottom w:val="none" w:sz="0" w:space="0" w:color="auto"/>
        <w:right w:val="none" w:sz="0" w:space="0" w:color="auto"/>
      </w:divBdr>
    </w:div>
    <w:div w:id="1458140772">
      <w:bodyDiv w:val="1"/>
      <w:marLeft w:val="0"/>
      <w:marRight w:val="0"/>
      <w:marTop w:val="0"/>
      <w:marBottom w:val="0"/>
      <w:divBdr>
        <w:top w:val="none" w:sz="0" w:space="0" w:color="auto"/>
        <w:left w:val="none" w:sz="0" w:space="0" w:color="auto"/>
        <w:bottom w:val="none" w:sz="0" w:space="0" w:color="auto"/>
        <w:right w:val="none" w:sz="0" w:space="0" w:color="auto"/>
      </w:divBdr>
    </w:div>
    <w:div w:id="1478834482">
      <w:bodyDiv w:val="1"/>
      <w:marLeft w:val="0"/>
      <w:marRight w:val="0"/>
      <w:marTop w:val="0"/>
      <w:marBottom w:val="0"/>
      <w:divBdr>
        <w:top w:val="none" w:sz="0" w:space="0" w:color="auto"/>
        <w:left w:val="none" w:sz="0" w:space="0" w:color="auto"/>
        <w:bottom w:val="none" w:sz="0" w:space="0" w:color="auto"/>
        <w:right w:val="none" w:sz="0" w:space="0" w:color="auto"/>
      </w:divBdr>
    </w:div>
    <w:div w:id="1560361341">
      <w:bodyDiv w:val="1"/>
      <w:marLeft w:val="0"/>
      <w:marRight w:val="0"/>
      <w:marTop w:val="0"/>
      <w:marBottom w:val="0"/>
      <w:divBdr>
        <w:top w:val="none" w:sz="0" w:space="0" w:color="auto"/>
        <w:left w:val="none" w:sz="0" w:space="0" w:color="auto"/>
        <w:bottom w:val="none" w:sz="0" w:space="0" w:color="auto"/>
        <w:right w:val="none" w:sz="0" w:space="0" w:color="auto"/>
      </w:divBdr>
    </w:div>
    <w:div w:id="1676571392">
      <w:bodyDiv w:val="1"/>
      <w:marLeft w:val="0"/>
      <w:marRight w:val="0"/>
      <w:marTop w:val="0"/>
      <w:marBottom w:val="0"/>
      <w:divBdr>
        <w:top w:val="none" w:sz="0" w:space="0" w:color="auto"/>
        <w:left w:val="none" w:sz="0" w:space="0" w:color="auto"/>
        <w:bottom w:val="none" w:sz="0" w:space="0" w:color="auto"/>
        <w:right w:val="none" w:sz="0" w:space="0" w:color="auto"/>
      </w:divBdr>
    </w:div>
    <w:div w:id="1685403306">
      <w:bodyDiv w:val="1"/>
      <w:marLeft w:val="0"/>
      <w:marRight w:val="0"/>
      <w:marTop w:val="0"/>
      <w:marBottom w:val="0"/>
      <w:divBdr>
        <w:top w:val="none" w:sz="0" w:space="0" w:color="auto"/>
        <w:left w:val="none" w:sz="0" w:space="0" w:color="auto"/>
        <w:bottom w:val="none" w:sz="0" w:space="0" w:color="auto"/>
        <w:right w:val="none" w:sz="0" w:space="0" w:color="auto"/>
      </w:divBdr>
    </w:div>
    <w:div w:id="1689256422">
      <w:bodyDiv w:val="1"/>
      <w:marLeft w:val="0"/>
      <w:marRight w:val="0"/>
      <w:marTop w:val="0"/>
      <w:marBottom w:val="0"/>
      <w:divBdr>
        <w:top w:val="none" w:sz="0" w:space="0" w:color="auto"/>
        <w:left w:val="none" w:sz="0" w:space="0" w:color="auto"/>
        <w:bottom w:val="none" w:sz="0" w:space="0" w:color="auto"/>
        <w:right w:val="none" w:sz="0" w:space="0" w:color="auto"/>
      </w:divBdr>
    </w:div>
    <w:div w:id="1708411406">
      <w:bodyDiv w:val="1"/>
      <w:marLeft w:val="0"/>
      <w:marRight w:val="0"/>
      <w:marTop w:val="0"/>
      <w:marBottom w:val="0"/>
      <w:divBdr>
        <w:top w:val="none" w:sz="0" w:space="0" w:color="auto"/>
        <w:left w:val="none" w:sz="0" w:space="0" w:color="auto"/>
        <w:bottom w:val="none" w:sz="0" w:space="0" w:color="auto"/>
        <w:right w:val="none" w:sz="0" w:space="0" w:color="auto"/>
      </w:divBdr>
    </w:div>
    <w:div w:id="1720547947">
      <w:bodyDiv w:val="1"/>
      <w:marLeft w:val="0"/>
      <w:marRight w:val="0"/>
      <w:marTop w:val="0"/>
      <w:marBottom w:val="0"/>
      <w:divBdr>
        <w:top w:val="none" w:sz="0" w:space="0" w:color="auto"/>
        <w:left w:val="none" w:sz="0" w:space="0" w:color="auto"/>
        <w:bottom w:val="none" w:sz="0" w:space="0" w:color="auto"/>
        <w:right w:val="none" w:sz="0" w:space="0" w:color="auto"/>
      </w:divBdr>
    </w:div>
    <w:div w:id="1778401373">
      <w:bodyDiv w:val="1"/>
      <w:marLeft w:val="0"/>
      <w:marRight w:val="0"/>
      <w:marTop w:val="0"/>
      <w:marBottom w:val="0"/>
      <w:divBdr>
        <w:top w:val="none" w:sz="0" w:space="0" w:color="auto"/>
        <w:left w:val="none" w:sz="0" w:space="0" w:color="auto"/>
        <w:bottom w:val="none" w:sz="0" w:space="0" w:color="auto"/>
        <w:right w:val="none" w:sz="0" w:space="0" w:color="auto"/>
      </w:divBdr>
    </w:div>
    <w:div w:id="1941137111">
      <w:bodyDiv w:val="1"/>
      <w:marLeft w:val="0"/>
      <w:marRight w:val="0"/>
      <w:marTop w:val="0"/>
      <w:marBottom w:val="0"/>
      <w:divBdr>
        <w:top w:val="none" w:sz="0" w:space="0" w:color="auto"/>
        <w:left w:val="none" w:sz="0" w:space="0" w:color="auto"/>
        <w:bottom w:val="none" w:sz="0" w:space="0" w:color="auto"/>
        <w:right w:val="none" w:sz="0" w:space="0" w:color="auto"/>
      </w:divBdr>
    </w:div>
    <w:div w:id="20884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page.smc.edu/russell_richard/Psych2/Graphics/human_brain_directions.ht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gi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7BD-C5B5-E446-8D93-F982A038B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462</Words>
  <Characters>2916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10</cp:revision>
  <dcterms:created xsi:type="dcterms:W3CDTF">2018-03-29T11:45:00Z</dcterms:created>
  <dcterms:modified xsi:type="dcterms:W3CDTF">2018-03-29T13:13:00Z</dcterms:modified>
</cp:coreProperties>
</file>