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851" w:leader="none"/>
        </w:tabs>
        <w:ind w:firstLine="567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1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Данные о земельных участках</w:t>
      </w:r>
    </w:p>
    <w:tbl>
      <w:tblPr>
        <w:tblW w:w="98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"/>
        <w:gridCol w:w="4842"/>
        <w:gridCol w:w="4446"/>
      </w:tblGrid>
      <w:tr>
        <w:trPr>
          <w:trHeight w:val="626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№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Единица измерения/ возможные значения</w:t>
            </w:r>
          </w:p>
        </w:tc>
      </w:tr>
      <w:tr>
        <w:trPr>
          <w:trHeight w:val="626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Кадастровый номер земельного участка/условный номер территории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26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Кадастровый квартал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26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26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Муниципальное образование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Адрес или описание местоположения земельного участка или территории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Площадь земельного участка или территории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br/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Категория земель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Территориальная зона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Вид разрешенного использования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Форма собственности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Кадастровая стоимость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Потенциал использования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на земельном участке объектов капитального строительства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Наличие инженерных сетей, подведенных к выбранному земельному участку/территории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Входит в территорию (является территорией), в отношении которой возможно (планируется) комплексное развитие территории жилой застройки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851" w:leader="none"/>
              </w:tabs>
              <w:spacing w:before="0" w:after="20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Предназначен для предоставления льготным категориям граждан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851" w:leader="none"/>
              </w:tabs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Льготная категория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851" w:leader="none"/>
              </w:tabs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Агентом Российской Федерации </w:t>
              <w:br/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 отношении земельного участка </w:t>
              <w:br/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выступает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АО «ДОМ. РФ.»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Расстояние до ближайшей Федеральной трассы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Расстояние до ближайшей дороги с твердым покрытием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Расстояние до ближайшего центра муниципального района или городского округа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66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Расстояние до ближайшего населенного пункта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5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Инвестиционный портал региона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27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уполномоченного органа и его контакты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527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Вовлечен под жилищное строительство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27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Выдан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>градостроительный план земельного участка</w:t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527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Выдано </w:t>
            </w: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разрешение на строительство (для многоквартирных домов) или направлено уведомление о соответствии указанных </w:t>
              <w:br/>
              <w:t xml:space="preserve">в уведомлении о планируемом строительстве параметров объекта индивидуального жилищного строительства установленным параметрам </w:t>
              <w:br/>
              <w:t xml:space="preserve">и допустимости размещения объекта индивидуального жилищного строительства на земельном участке </w:t>
            </w:r>
          </w:p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150" w:hRule="atLeast"/>
        </w:trPr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numPr>
                <w:ilvl w:val="0"/>
                <w:numId w:val="2"/>
              </w:numPr>
              <w:snapToGrid w:val="false"/>
              <w:spacing w:lineRule="auto" w:line="240" w:before="0" w:after="0"/>
              <w:ind w:hanging="0" w:start="0" w:end="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  <w:t xml:space="preserve">Отсутствует выданное разрешение на ввод объекта капитального строительства </w:t>
              <w:br/>
              <w:t xml:space="preserve">в эксплуатацию (для многоквартирных домов) или направленное уведомление </w:t>
              <w:br/>
              <w:t xml:space="preserve">о соответствии построенного объекта индивидуального жилищного строительства требованиям законодательства о градостроительной деятельности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4"/>
                <w:szCs w:val="24"/>
                <w:lang w:eastAsia="ru-RU"/>
              </w:rPr>
              <w:footnoteReference w:id="2"/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4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1906" w:h="16838"/>
      <w:pgMar w:left="1134" w:right="850" w:gutter="0" w:header="426" w:top="851" w:footer="0" w:bottom="568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</w:rPr>
        <w:t xml:space="preserve">В случае </w:t>
      </w:r>
      <w:r>
        <w:rPr>
          <w:rFonts w:cs="Times New Roman" w:ascii="Times New Roman" w:hAnsi="Times New Roman"/>
          <w:lang w:eastAsia="ru-RU"/>
        </w:rPr>
        <w:t>выдачи разрешения на ввод объекта капитального строительства в эксплуатацию или направления уведомления о соответствии построенного объекта индивидуального жилищного строительства требованиям законодательства о градостроительной деятельности з</w:t>
      </w:r>
      <w:r>
        <w:rPr>
          <w:rFonts w:cs="Times New Roman" w:ascii="Times New Roman" w:hAnsi="Times New Roman"/>
        </w:rPr>
        <w:t xml:space="preserve">емельный участок  подлежит исключению из Перечня </w:t>
        <w:br/>
        <w:t>в соответствии с пунктом 2.2.5 Методических рекомендаций.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cs="Times New Roman" w:ascii="Times New Roman" w:hAnsi="Times New Roman"/>
      </w:rPr>
      <w:instrText xml:space="preserve"> PAGE </w:instrText>
    </w:r>
    <w:r>
      <w:rPr>
        <w:sz w:val="24"/>
        <w:szCs w:val="24"/>
        <w:rFonts w:cs="Times New Roman" w:ascii="Times New Roman" w:hAnsi="Times New Roman"/>
      </w:rPr>
      <w:fldChar w:fldCharType="separate"/>
    </w:r>
    <w:r>
      <w:rPr>
        <w:sz w:val="24"/>
        <w:szCs w:val="24"/>
        <w:rFonts w:cs="Times New Roman" w:ascii="Times New Roman" w:hAnsi="Times New Roman"/>
      </w:rPr>
      <w:t>2</w:t>
    </w:r>
    <w:r>
      <w:rPr>
        <w:sz w:val="24"/>
        <w:szCs w:val="24"/>
        <w:rFonts w:cs="Times New Roman" w:ascii="Times New Roman" w:hAnsi="Times New Roman"/>
      </w:rPr>
      <w:fldChar w:fldCharType="end"/>
    </w:r>
  </w:p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mbria" w:hAnsi="Cambria" w:eastAsia="Times New Roman" w:cs="Times New Roman"/>
      <w:color w:val="243F60"/>
      <w:sz w:val="24"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Times New Roman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Style12">
    <w:name w:val="Основной шрифт абзаца"/>
    <w:qFormat/>
    <w:rPr/>
  </w:style>
  <w:style w:type="character" w:styleId="Style13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tyle14">
    <w:name w:val="Верхний колонтитул Знак"/>
    <w:basedOn w:val="Style12"/>
    <w:qFormat/>
    <w:rPr/>
  </w:style>
  <w:style w:type="character" w:styleId="Style15">
    <w:name w:val="Нижний колонтитул Знак"/>
    <w:basedOn w:val="Style12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3">
    <w:name w:val="Заголовок 3 Знак"/>
    <w:qFormat/>
    <w:rPr>
      <w:rFonts w:ascii="Cambria" w:hAnsi="Cambria" w:eastAsia="Times New Roman" w:cs="Times New Roman"/>
      <w:color w:val="243F60"/>
      <w:sz w:val="24"/>
      <w:szCs w:val="24"/>
    </w:rPr>
  </w:style>
  <w:style w:type="character" w:styleId="Style16">
    <w:name w:val="Текст сноски Знак"/>
    <w:qFormat/>
    <w:rPr>
      <w:rFonts w:cs="SimSun;宋体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/>
  </w:style>
  <w:style w:type="character" w:styleId="Style17">
    <w:name w:val="Основной текст + Полужирный"/>
    <w:qFormat/>
    <w:rPr>
      <w:rFonts w:ascii="Times New Roman" w:hAnsi="Times New Roman" w:cs="Times New Roman"/>
      <w:b/>
      <w:color w:val="000000"/>
      <w:spacing w:val="0"/>
      <w:w w:val="100"/>
      <w:position w:val="0"/>
      <w:sz w:val="28"/>
      <w:sz w:val="28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9">
    <w:name w:val="Знак примечания"/>
    <w:qFormat/>
    <w:rPr>
      <w:sz w:val="16"/>
      <w:szCs w:val="16"/>
    </w:rPr>
  </w:style>
  <w:style w:type="character" w:styleId="Style20">
    <w:name w:val="Текст примечания Знак"/>
    <w:qFormat/>
    <w:rPr/>
  </w:style>
  <w:style w:type="character" w:styleId="Style21">
    <w:name w:val="Тема примечания Знак"/>
    <w:qFormat/>
    <w:rPr>
      <w:b/>
      <w:bCs/>
    </w:rPr>
  </w:style>
  <w:style w:type="character" w:styleId="Style22">
    <w:name w:val="Текст концевой сноски Знак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WW-">
    <w:name w:val="WW-Без интервала"/>
    <w:qFormat/>
    <w:pPr>
      <w:widowControl/>
      <w:suppressAutoHyphens w:val="true"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Style23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Style24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SimSun;宋体"/>
      <w:sz w:val="20"/>
      <w:szCs w:val="20"/>
    </w:rPr>
  </w:style>
  <w:style w:type="paragraph" w:styleId="Style25">
    <w:name w:val="Рецензия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BodyTextIndent">
    <w:name w:val="Body Text Indent"/>
    <w:basedOn w:val="Normal"/>
    <w:pPr>
      <w:spacing w:lineRule="auto" w:line="240" w:before="0" w:after="0"/>
      <w:ind w:firstLine="528" w:start="0" w:end="0"/>
      <w:jc w:val="both"/>
    </w:pPr>
    <w:rPr>
      <w:rFonts w:ascii="Times New Roman" w:hAnsi="Times New Roman" w:eastAsia="Times New Roman" w:cs="Times New Roman"/>
      <w:sz w:val="28"/>
      <w:szCs w:val="24"/>
    </w:rPr>
  </w:style>
  <w:style w:type="paragraph" w:styleId="Style26">
    <w:name w:val="Текст примечания"/>
    <w:basedOn w:val="Normal"/>
    <w:qFormat/>
    <w:pPr/>
    <w:rPr>
      <w:sz w:val="20"/>
      <w:szCs w:val="20"/>
    </w:rPr>
  </w:style>
  <w:style w:type="paragraph" w:styleId="Style27">
    <w:name w:val="Тема примечания"/>
    <w:basedOn w:val="Style26"/>
    <w:next w:val="Style26"/>
    <w:qFormat/>
    <w:pPr/>
    <w:rPr>
      <w:b/>
      <w:bCs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2023-09-01T04:08:00Z</dcterms:created>
  <dc:creator>Akulenko_DM@rosreestr.ru</dc:creator>
  <dc:description/>
  <cp:keywords/>
  <dc:language>en-US</dc:language>
  <cp:lastModifiedBy>Татьяна Горская</cp:lastModifiedBy>
  <cp:lastPrinted>2026-03-02T09:31:00Z</cp:lastPrinted>
  <dcterms:modified xsi:type="dcterms:W3CDTF">2026-05-07T08:31:00Z</dcterms:modified>
  <cp:revision>48</cp:revision>
  <dc:subject/>
  <dc:title/>
</cp:coreProperties>
</file>