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AE1" w:rsidRPr="00CE55B7" w:rsidRDefault="002F4AE1" w:rsidP="00DE1E31">
      <w:pPr>
        <w:autoSpaceDE w:val="0"/>
        <w:autoSpaceDN w:val="0"/>
        <w:adjustRightInd w:val="0"/>
        <w:jc w:val="center"/>
        <w:rPr>
          <w:noProof/>
        </w:rPr>
      </w:pPr>
      <w:r w:rsidRPr="00CE55B7">
        <w:rPr>
          <w:noProof/>
        </w:rPr>
        <w:t>Требования к архитектурно-градостроительному облику объектов капитального строительства в границах территории АГО-1:</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629"/>
        <w:gridCol w:w="2127"/>
        <w:gridCol w:w="7229"/>
      </w:tblGrid>
      <w:tr w:rsidR="002F4AE1" w:rsidRPr="00CE55B7" w:rsidTr="007F7434">
        <w:tc>
          <w:tcPr>
            <w:tcW w:w="629" w:type="dxa"/>
            <w:tcBorders>
              <w:top w:val="single" w:sz="4" w:space="0" w:color="auto"/>
              <w:left w:val="single" w:sz="4" w:space="0" w:color="auto"/>
              <w:bottom w:val="single" w:sz="4" w:space="0" w:color="auto"/>
              <w:right w:val="single" w:sz="4" w:space="0" w:color="auto"/>
            </w:tcBorders>
            <w:vAlign w:val="center"/>
            <w:hideMark/>
          </w:tcPr>
          <w:p w:rsidR="002F4AE1" w:rsidRPr="00CE55B7" w:rsidRDefault="002F4AE1" w:rsidP="007F7434">
            <w:pPr>
              <w:autoSpaceDE w:val="0"/>
              <w:autoSpaceDN w:val="0"/>
              <w:adjustRightInd w:val="0"/>
              <w:jc w:val="center"/>
              <w:rPr>
                <w:noProof/>
              </w:rPr>
            </w:pPr>
            <w:r w:rsidRPr="00CE55B7">
              <w:rPr>
                <w:noProof/>
              </w:rPr>
              <w:t>№</w:t>
            </w:r>
          </w:p>
        </w:tc>
        <w:tc>
          <w:tcPr>
            <w:tcW w:w="2127" w:type="dxa"/>
            <w:tcBorders>
              <w:top w:val="single" w:sz="4" w:space="0" w:color="auto"/>
              <w:left w:val="single" w:sz="4" w:space="0" w:color="auto"/>
              <w:bottom w:val="single" w:sz="4" w:space="0" w:color="auto"/>
              <w:right w:val="single" w:sz="4" w:space="0" w:color="auto"/>
            </w:tcBorders>
            <w:hideMark/>
          </w:tcPr>
          <w:p w:rsidR="002F4AE1" w:rsidRPr="00CE55B7" w:rsidRDefault="002F4AE1" w:rsidP="007F7434">
            <w:pPr>
              <w:autoSpaceDE w:val="0"/>
              <w:autoSpaceDN w:val="0"/>
              <w:adjustRightInd w:val="0"/>
              <w:jc w:val="both"/>
              <w:rPr>
                <w:noProof/>
              </w:rPr>
            </w:pPr>
            <w:r w:rsidRPr="00CE55B7">
              <w:rPr>
                <w:noProof/>
              </w:rPr>
              <w:t>Требования к архитектурно-градостроительному облику объекта капитального строительства</w:t>
            </w:r>
          </w:p>
        </w:tc>
        <w:tc>
          <w:tcPr>
            <w:tcW w:w="7229" w:type="dxa"/>
            <w:tcBorders>
              <w:top w:val="single" w:sz="4" w:space="0" w:color="auto"/>
              <w:left w:val="single" w:sz="4" w:space="0" w:color="auto"/>
              <w:bottom w:val="single" w:sz="4" w:space="0" w:color="auto"/>
              <w:right w:val="single" w:sz="4" w:space="0" w:color="auto"/>
            </w:tcBorders>
            <w:vAlign w:val="center"/>
            <w:hideMark/>
          </w:tcPr>
          <w:p w:rsidR="002F4AE1" w:rsidRPr="00CE55B7" w:rsidRDefault="002F4AE1" w:rsidP="007F7434">
            <w:pPr>
              <w:autoSpaceDE w:val="0"/>
              <w:autoSpaceDN w:val="0"/>
              <w:adjustRightInd w:val="0"/>
              <w:jc w:val="center"/>
              <w:rPr>
                <w:noProof/>
              </w:rPr>
            </w:pPr>
            <w:r w:rsidRPr="00CE55B7">
              <w:rPr>
                <w:noProof/>
              </w:rPr>
              <w:t>Показатель</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hideMark/>
          </w:tcPr>
          <w:p w:rsidR="002F4AE1" w:rsidRPr="00CE55B7" w:rsidRDefault="002F4AE1" w:rsidP="007F7434">
            <w:pPr>
              <w:autoSpaceDE w:val="0"/>
              <w:autoSpaceDN w:val="0"/>
              <w:adjustRightInd w:val="0"/>
              <w:jc w:val="center"/>
              <w:rPr>
                <w:noProof/>
              </w:rPr>
            </w:pPr>
            <w:r w:rsidRPr="00CE55B7">
              <w:rPr>
                <w:noProof/>
              </w:rPr>
              <w:t>1</w:t>
            </w:r>
          </w:p>
        </w:tc>
        <w:tc>
          <w:tcPr>
            <w:tcW w:w="2127" w:type="dxa"/>
            <w:tcBorders>
              <w:top w:val="single" w:sz="4" w:space="0" w:color="auto"/>
              <w:left w:val="single" w:sz="4" w:space="0" w:color="auto"/>
              <w:bottom w:val="single" w:sz="4" w:space="0" w:color="auto"/>
              <w:right w:val="single" w:sz="4" w:space="0" w:color="auto"/>
            </w:tcBorders>
            <w:hideMark/>
          </w:tcPr>
          <w:p w:rsidR="002F4AE1" w:rsidRPr="00CE55B7" w:rsidRDefault="002F4AE1" w:rsidP="007F7434">
            <w:pPr>
              <w:autoSpaceDE w:val="0"/>
              <w:autoSpaceDN w:val="0"/>
              <w:adjustRightInd w:val="0"/>
              <w:jc w:val="center"/>
              <w:rPr>
                <w:noProof/>
              </w:rPr>
            </w:pPr>
            <w:r w:rsidRPr="00CE55B7">
              <w:rPr>
                <w:noProof/>
              </w:rPr>
              <w:t>2</w:t>
            </w:r>
          </w:p>
        </w:tc>
        <w:tc>
          <w:tcPr>
            <w:tcW w:w="7229" w:type="dxa"/>
            <w:tcBorders>
              <w:top w:val="single" w:sz="4" w:space="0" w:color="auto"/>
              <w:left w:val="single" w:sz="4" w:space="0" w:color="auto"/>
              <w:bottom w:val="single" w:sz="4" w:space="0" w:color="auto"/>
              <w:right w:val="single" w:sz="4" w:space="0" w:color="auto"/>
            </w:tcBorders>
            <w:hideMark/>
          </w:tcPr>
          <w:p w:rsidR="002F4AE1" w:rsidRPr="00CE55B7" w:rsidRDefault="002F4AE1" w:rsidP="007F7434">
            <w:pPr>
              <w:autoSpaceDE w:val="0"/>
              <w:autoSpaceDN w:val="0"/>
              <w:adjustRightInd w:val="0"/>
              <w:jc w:val="center"/>
              <w:rPr>
                <w:noProof/>
              </w:rPr>
            </w:pPr>
            <w:r w:rsidRPr="00CE55B7">
              <w:rPr>
                <w:noProof/>
              </w:rPr>
              <w:t>3</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1.</w:t>
            </w:r>
          </w:p>
        </w:tc>
        <w:tc>
          <w:tcPr>
            <w:tcW w:w="2127"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Требования к объемно-пространственным характеристикам объекта капитального строительства</w:t>
            </w: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1. Максимальный отступ объектов капитального строительства, формирующих уличный фронт, от красных линий улиц:</w:t>
            </w:r>
          </w:p>
          <w:p w:rsidR="002F4AE1" w:rsidRPr="00CE55B7" w:rsidRDefault="002F4AE1" w:rsidP="007F7434">
            <w:pPr>
              <w:autoSpaceDE w:val="0"/>
              <w:autoSpaceDN w:val="0"/>
              <w:adjustRightInd w:val="0"/>
              <w:jc w:val="both"/>
              <w:rPr>
                <w:noProof/>
              </w:rPr>
            </w:pPr>
            <w:r w:rsidRPr="00CE55B7">
              <w:rPr>
                <w:noProof/>
              </w:rPr>
              <w:t>- в условиях реконструкции и регенерации кварталов – застройка смежными и (или) отдельно стоящими рядовыми и угловыми объектами капитального строительства по исторически сложившейся линии застройки;</w:t>
            </w:r>
          </w:p>
          <w:p w:rsidR="002F4AE1" w:rsidRPr="00CE55B7" w:rsidRDefault="002F4AE1" w:rsidP="007F7434">
            <w:pPr>
              <w:autoSpaceDE w:val="0"/>
              <w:autoSpaceDN w:val="0"/>
              <w:adjustRightInd w:val="0"/>
              <w:jc w:val="both"/>
              <w:rPr>
                <w:noProof/>
              </w:rPr>
            </w:pPr>
            <w:r w:rsidRPr="00CE55B7">
              <w:rPr>
                <w:noProof/>
              </w:rPr>
              <w:t>- при новом строительстве – с учетом установленного градостроительным регламентом территориальной зоны минимального отступа от границ земельного участка.</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2. Минимальная высота объектов капитального строительства, формирующих уличный фронт вдоль территорий общего пользования, улично-дорожной сети, за исключением проездов:</w:t>
            </w:r>
          </w:p>
          <w:p w:rsidR="002F4AE1" w:rsidRPr="00CE55B7" w:rsidRDefault="002F4AE1" w:rsidP="007F7434">
            <w:pPr>
              <w:autoSpaceDE w:val="0"/>
              <w:autoSpaceDN w:val="0"/>
              <w:adjustRightInd w:val="0"/>
              <w:jc w:val="both"/>
              <w:rPr>
                <w:noProof/>
              </w:rPr>
            </w:pPr>
            <w:r w:rsidRPr="00CE55B7">
              <w:rPr>
                <w:noProof/>
              </w:rPr>
              <w:t>- 4,8 м – для встроенно-пристроенных объектов капитального строительства, относящихся к видам разрешенного использования Предпринимательство                (код 4.0);</w:t>
            </w:r>
          </w:p>
          <w:p w:rsidR="002F4AE1" w:rsidRPr="00CE55B7" w:rsidRDefault="002F4AE1" w:rsidP="007F7434">
            <w:pPr>
              <w:autoSpaceDE w:val="0"/>
              <w:autoSpaceDN w:val="0"/>
              <w:adjustRightInd w:val="0"/>
              <w:jc w:val="both"/>
              <w:rPr>
                <w:noProof/>
              </w:rPr>
            </w:pPr>
            <w:proofErr w:type="gramStart"/>
            <w:r w:rsidRPr="00CE55B7">
              <w:rPr>
                <w:noProof/>
              </w:rPr>
              <w:t>- 8 м – для отдельностоящих объектов капитального строительства, а также для встроенно-пристроенных объектов капитального строительства (за исключением встроенно-пристроенных объектов капитального строительства, относящихся к видам разрешенного использования Предпринимательство (код 4.0).</w:t>
            </w:r>
            <w:proofErr w:type="gramEnd"/>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3. Максимальная высота объектов капитального строительства, формирующих уличный фронт вдоль территорий общего пользования, улично-дорожной сети, за исключением проездов:</w:t>
            </w:r>
          </w:p>
          <w:p w:rsidR="002F4AE1" w:rsidRPr="00CE55B7" w:rsidRDefault="002F4AE1" w:rsidP="007F7434">
            <w:pPr>
              <w:autoSpaceDE w:val="0"/>
              <w:autoSpaceDN w:val="0"/>
              <w:adjustRightInd w:val="0"/>
              <w:jc w:val="both"/>
              <w:rPr>
                <w:noProof/>
              </w:rPr>
            </w:pPr>
            <w:r w:rsidRPr="00CE55B7">
              <w:rPr>
                <w:noProof/>
              </w:rPr>
              <w:t>- до конька объекта капитального строительства по линии застройки – 28 м;</w:t>
            </w:r>
          </w:p>
          <w:p w:rsidR="002F4AE1" w:rsidRPr="00CE55B7" w:rsidRDefault="002F4AE1" w:rsidP="007F7434">
            <w:pPr>
              <w:autoSpaceDE w:val="0"/>
              <w:autoSpaceDN w:val="0"/>
              <w:adjustRightInd w:val="0"/>
              <w:jc w:val="both"/>
              <w:rPr>
                <w:noProof/>
              </w:rPr>
            </w:pPr>
            <w:r w:rsidRPr="00CE55B7">
              <w:rPr>
                <w:noProof/>
              </w:rPr>
              <w:t>- допускается увеличение высоты объекта капитального строительства на 3,6 м при размещении верхней части здания с отступом от плоскости наружной стены фасада, кратным 4,0 м, с учетом установленных градостроительным регламентом территориальной зоны предельного количества этажей или предельной высоты зданий, строений, сооружений.</w:t>
            </w:r>
          </w:p>
          <w:p w:rsidR="002F4AE1" w:rsidRPr="00CE55B7" w:rsidRDefault="002F4AE1" w:rsidP="007F7434">
            <w:pPr>
              <w:autoSpaceDE w:val="0"/>
              <w:autoSpaceDN w:val="0"/>
              <w:adjustRightInd w:val="0"/>
              <w:jc w:val="both"/>
              <w:rPr>
                <w:noProof/>
              </w:rPr>
            </w:pPr>
            <w:r w:rsidRPr="00CE55B7">
              <w:rPr>
                <w:noProof/>
              </w:rPr>
              <w:t>- в условиях реконструкции и регенерации кварталов – высота фасадов объекта капитального строительства (высота верхней отметки карниза кровли, парапета, иного элемента объекта капитального строительства), не должна превышать высоту фасадов наиболее высокого из объектов капитального строительства, расположенных по линии застройки справа и (или) слева от объекта капитального строительства (далее – высота фасадов смежного объекта);</w:t>
            </w:r>
          </w:p>
          <w:p w:rsidR="002F4AE1" w:rsidRPr="00CE55B7" w:rsidRDefault="002F4AE1" w:rsidP="007F7434">
            <w:pPr>
              <w:autoSpaceDE w:val="0"/>
              <w:autoSpaceDN w:val="0"/>
              <w:adjustRightInd w:val="0"/>
              <w:jc w:val="both"/>
              <w:rPr>
                <w:noProof/>
              </w:rPr>
            </w:pPr>
            <w:r w:rsidRPr="00CE55B7">
              <w:rPr>
                <w:noProof/>
              </w:rPr>
              <w:t xml:space="preserve">- допускается устройство объектов капитального строительства высота фасадов, обращенных к территориям общего пользования, </w:t>
            </w:r>
            <w:r w:rsidRPr="00CE55B7">
              <w:rPr>
                <w:noProof/>
              </w:rPr>
              <w:lastRenderedPageBreak/>
              <w:t>которых превышает высоту фасадов смежного объекта при выполнении одновременно следующих условий:</w:t>
            </w:r>
          </w:p>
          <w:p w:rsidR="002F4AE1" w:rsidRPr="00CE55B7" w:rsidRDefault="002F4AE1" w:rsidP="007F7434">
            <w:pPr>
              <w:autoSpaceDE w:val="0"/>
              <w:autoSpaceDN w:val="0"/>
              <w:adjustRightInd w:val="0"/>
              <w:jc w:val="both"/>
              <w:rPr>
                <w:noProof/>
              </w:rPr>
            </w:pPr>
            <w:r w:rsidRPr="00CE55B7">
              <w:rPr>
                <w:noProof/>
              </w:rPr>
              <w:t>а) размещения нижней части объекта капитального строительства по сложившимся линиям застройки, с учетом установленного градостроительным регламентом территориальной зоны минимального отступа от границ земельного участка, с высотой фасадов, не превышающих высоту фасадов смежного объекта (далее – нижняя часть объекта);</w:t>
            </w:r>
          </w:p>
          <w:p w:rsidR="002F4AE1" w:rsidRPr="00CE55B7" w:rsidRDefault="002F4AE1" w:rsidP="007F7434">
            <w:pPr>
              <w:autoSpaceDE w:val="0"/>
              <w:autoSpaceDN w:val="0"/>
              <w:adjustRightInd w:val="0"/>
              <w:jc w:val="both"/>
              <w:rPr>
                <w:noProof/>
              </w:rPr>
            </w:pPr>
            <w:r w:rsidRPr="00CE55B7">
              <w:rPr>
                <w:noProof/>
              </w:rPr>
              <w:t xml:space="preserve">б) размещения верхней части объекта с отступом не менее чем 4,0 м от плоскости наружной стены фасада нижней части объекта (далее – верхняя часть объекта); </w:t>
            </w:r>
            <w:proofErr w:type="gramStart"/>
            <w:r w:rsidRPr="00CE55B7">
              <w:rPr>
                <w:noProof/>
              </w:rPr>
              <w:t>общая высота фасадов нижней и верхней частей объекта, обращенных к территориям общего пользования, должна быть определена с учетом установленной градостроительным регламентом территориальной зоны предельного (максимального) количества этажей зданий строений и сооружений или предельной (максимальной) высоты зданий строений и сооружений, требований законодательства Российской Федерации и Кемеровской области об охране объектов культурного наследия и другими ограничениями, установленными законодательными и (или) нормативными правовыми</w:t>
            </w:r>
            <w:proofErr w:type="gramEnd"/>
            <w:r w:rsidRPr="00CE55B7">
              <w:rPr>
                <w:noProof/>
              </w:rPr>
              <w:t xml:space="preserve"> актами для соответствующей территории.</w:t>
            </w:r>
          </w:p>
        </w:tc>
      </w:tr>
      <w:tr w:rsidR="002F4AE1" w:rsidRPr="00CE55B7" w:rsidTr="007F7434">
        <w:trPr>
          <w:trHeight w:val="2969"/>
        </w:trPr>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4. </w:t>
            </w:r>
            <w:proofErr w:type="gramStart"/>
            <w:r w:rsidRPr="00CE55B7">
              <w:rPr>
                <w:noProof/>
              </w:rPr>
              <w:t>Минимальный процент застроенности объектами капитального строительства по границам земельного участка, обращенным к территориям общего пользования, улично-дорожной сети, за исключением проездов, определяемый как процентное соотношение протяженности фасада объекта или объектов капитального строительства (учитывается надземные части, включая стилобатную часть объекта или объектов капитального строительства), обращенных к территории общего пользования, улично-дорожной сети, за исключением проездов,  к протяженности границы земельного участка, вдоль которой расположен</w:t>
            </w:r>
            <w:proofErr w:type="gramEnd"/>
            <w:r w:rsidRPr="00CE55B7">
              <w:rPr>
                <w:noProof/>
              </w:rPr>
              <w:t xml:space="preserve"> соответствующий фасад объекта капитального строительства:</w:t>
            </w:r>
          </w:p>
          <w:p w:rsidR="002F4AE1" w:rsidRPr="00CE55B7" w:rsidRDefault="002F4AE1" w:rsidP="007F7434">
            <w:pPr>
              <w:autoSpaceDE w:val="0"/>
              <w:autoSpaceDN w:val="0"/>
              <w:adjustRightInd w:val="0"/>
              <w:jc w:val="both"/>
              <w:rPr>
                <w:noProof/>
              </w:rPr>
            </w:pPr>
            <w:r w:rsidRPr="00CE55B7">
              <w:rPr>
                <w:noProof/>
              </w:rPr>
              <w:t xml:space="preserve"> - для видов разрешенного использования Малоэтажная многоквартирная жилая застройка (код 2.1.1), Блокированная жилая застройка (код 2.3), Среднеэтажная жилая застройка (код 2.5) – 65 %; для прочих видов разрешенного использования – 50 %.</w:t>
            </w:r>
          </w:p>
        </w:tc>
      </w:tr>
      <w:tr w:rsidR="002F4AE1" w:rsidRPr="00CE55B7" w:rsidTr="007F7434">
        <w:trPr>
          <w:trHeight w:val="325"/>
        </w:trPr>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5. Минимальная высота типового этажа объектов капитального строительства, формирующих уличный фронт вдоль территорий общего пользования, улично-дорожной сети, за исключением проездов: - 3,3 м от пола до пола вышележащего этажа.</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6. Минимальная высота первого этажа объектов капитального строительства, формирующих уличный фронт вдоль территорий общего пользования, улично-дорожной сети, за исключением проездов: - 3,9 м от пола до пола вышележащего этажа.</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7. Уровень отметки пола входов в объекты капитального строительства на фасадах, обращенных к территориям общего пользования, улично-дорожной сети, за исключением проездов:</w:t>
            </w:r>
          </w:p>
          <w:p w:rsidR="002F4AE1" w:rsidRPr="00CE55B7" w:rsidRDefault="002F4AE1" w:rsidP="007F7434">
            <w:pPr>
              <w:autoSpaceDE w:val="0"/>
              <w:autoSpaceDN w:val="0"/>
              <w:adjustRightInd w:val="0"/>
              <w:jc w:val="both"/>
              <w:rPr>
                <w:noProof/>
              </w:rPr>
            </w:pPr>
            <w:r w:rsidRPr="00CE55B7">
              <w:rPr>
                <w:noProof/>
              </w:rPr>
              <w:t>- может превышать отметку уровня земли не более чем на 0,15 м за исключением случаев расположения объекта капитального строительства в условиях сложного рельефа.</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8. </w:t>
            </w:r>
            <w:proofErr w:type="gramStart"/>
            <w:r w:rsidRPr="00CE55B7">
              <w:rPr>
                <w:noProof/>
              </w:rPr>
              <w:t>Требования пункта 2 к объемно-пространственным характеристикам объекта капитального строительства не распространяются на объекты капитального строительства, относящиеся к видам разрешенного использования Амбулаторно-поликлиническое обслуживание (код 3.4.1), Стационарное медицинское обслуживание (код 3.4.2), Дошкольное, начальное и среднее общее образование (код 3.5.1), Среднее и высшее профессиональное образование (код 3.5.2), Объекты культурно-досуговой деятельности (код 3.6.1), Цирки и зверинцы (код 3.6.3), Осуществление религиозных обрядов (код 3.7.1), Государственное</w:t>
            </w:r>
            <w:proofErr w:type="gramEnd"/>
            <w:r w:rsidRPr="00CE55B7">
              <w:rPr>
                <w:noProof/>
              </w:rPr>
              <w:t xml:space="preserve"> </w:t>
            </w:r>
            <w:proofErr w:type="gramStart"/>
            <w:r w:rsidRPr="00CE55B7">
              <w:rPr>
                <w:noProof/>
              </w:rPr>
              <w:t>управление (код 3.8.1), Объекты торговли (торговые центры, торгово-развлекательные центры (комплексы) (код 4.2), Рынки (код 4.3), Обеспечение спортивно-зрелищных мероприятий (код 5.1.1),  а также промышленные предприятия, объекты водного транспорта, объекты транспортной инфраструктуры, в том числе вокзалы и станции (виды разрешенного использования с кодами 6.0 – 7.6).</w:t>
            </w:r>
            <w:proofErr w:type="gramEnd"/>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9. </w:t>
            </w:r>
            <w:proofErr w:type="gramStart"/>
            <w:r w:rsidRPr="00CE55B7">
              <w:rPr>
                <w:noProof/>
              </w:rPr>
              <w:t>Требования пунктов 3-4 к объемно-пространственным характеристикам объекта капитального строительства не распространяются на объекты капитального строительства (кроме встроенно-пристроенных зданий, строений, сооружений), относящиеся к видам разрешенного использования Амбулаторно-поликлиническое обслуживание (код 3.4.1), Стационарное медицинское обслуживание (код 3.4.2), Дошкольное, начальное и среднее общее образование (код 3.5.1), Среднее и высшее профессиональное образование (код 3.5.2), Объекты культурно-досуговой деятельности (код 3.6.1), Цирки и зверинцы (код 3.6.3), Осуществление</w:t>
            </w:r>
            <w:proofErr w:type="gramEnd"/>
            <w:r w:rsidRPr="00CE55B7">
              <w:rPr>
                <w:noProof/>
              </w:rPr>
              <w:t xml:space="preserve"> </w:t>
            </w:r>
            <w:proofErr w:type="gramStart"/>
            <w:r w:rsidRPr="00CE55B7">
              <w:rPr>
                <w:noProof/>
              </w:rPr>
              <w:t>религиозных обрядов (код 3.7.1), Государственное управление (код 3.8.1), Объекты торговли (торговые центры, торгово-развлекательные центры (комплексы) (код 4.2), Рынки (код 4.3), Обеспечение спортивно-зрелищных мероприятий (код 5.1.1),  а также промышленные предприятия, объекты водного транспорта, объекты транспортной инфраструктуры, в том числе вокзалы и станции (виды разрешенного использования с кодами 6.0 – 7.6).</w:t>
            </w:r>
            <w:proofErr w:type="gramEnd"/>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10. Требования пунктов 2-7 к объемно-пространственным характеристикам объекта капитального строительства не распространяются на реконструируемые объекты капитального строительства.</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11. </w:t>
            </w:r>
            <w:proofErr w:type="gramStart"/>
            <w:r w:rsidRPr="00CE55B7">
              <w:rPr>
                <w:noProof/>
              </w:rPr>
              <w:t>Параметры застройки принимаются в соответствии с регламентами, установленными в территориальных зонах настоящих правил землепользования и застройки, а также с учетом положений постановления Коллегии Администрации Кемеровской области от 04.09.2013 № 369 «Об утверждении границ зон охраны объектов культурного наследия регионального значения, объектов культурного наследия местного (муниципального) значения, расположенных на территории г. Новокузнецка, режимов использования земель и градостроительных регламентов в границах данных зон</w:t>
            </w:r>
            <w:proofErr w:type="gramEnd"/>
            <w:r w:rsidRPr="00CE55B7">
              <w:rPr>
                <w:noProof/>
              </w:rPr>
              <w:t xml:space="preserve">», постановления Коллегии Администрации Кемеровской области от 26.11.2013 № 532 «Об утверждении границ зон охраны объектов культурного наследия федерального значения, расположенных на территории г. Новокузнецка, режимов использования земель и градостроительных регламентов в границах </w:t>
            </w:r>
            <w:r w:rsidRPr="00CE55B7">
              <w:rPr>
                <w:noProof/>
              </w:rPr>
              <w:lastRenderedPageBreak/>
              <w:t>данных зон».</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lastRenderedPageBreak/>
              <w:t>2.</w:t>
            </w:r>
          </w:p>
        </w:tc>
        <w:tc>
          <w:tcPr>
            <w:tcW w:w="2127"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Требования к архитектурно-стилистическим характеристикам объекта капитального строительства</w:t>
            </w: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1. Минимальный процент остекления первого этажа фасада, обращенного к территориям общего пользования, улично-дорожной сети, за исключением проездов: - 40 %.</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2. Минимальная высота оконных проемов первого этажа фасада, обращенного к территориям общего пользования, улично-дорожной сети, за исключением проездов: - 2,5 м.</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3. Максимальный выступ консольных элементов, крылец, навесов, эркеров, балконов, террас, приямков из плоскости наружной стены фасада объекта капитального строительства, обращенного к территориям общего пользования, улично-дорожной сети, за исключением проездов: -1,2 м.</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4. Минимальный процент остекления входных групп в жилые и (или) общественные помещения (кроме вспомогательных и аварийных выходов и входов): - 40 %.</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5. </w:t>
            </w:r>
            <w:proofErr w:type="gramStart"/>
            <w:r w:rsidRPr="00CE55B7">
              <w:rPr>
                <w:noProof/>
              </w:rPr>
              <w:t>Входные группы в жилые и (или) общественные помещения (кроме вспомогательных и аварийных входов и выходов) должны иметь единое архитектурное решение в пределах всего фасада, дифференцированное с учетом функционального назначения помещений, для доступа в которые устраиваются входные группы (в том числе цвет, конструкцию и рисунок дверных полотен по всему фасаду), располагаться с привязкой к композиционным осям фасада.</w:t>
            </w:r>
            <w:proofErr w:type="gramEnd"/>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6. Устройство внешних тамбуров входных групп на фасадах, обращенных к территориям общего пользования, улично-дорожной сети, за исключением проездов, не допускается.</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7. При устройстве плоского козырька, навеса необходимо предусматривать воодоотведение со скрытым лотком. При наличии на козырьке фриза, он должен быть оформлен со всех видимых сторон.</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8. </w:t>
            </w:r>
            <w:proofErr w:type="gramStart"/>
            <w:r w:rsidRPr="00CE55B7">
              <w:rPr>
                <w:noProof/>
              </w:rPr>
              <w:t>Требования пунктов 3, 6 к архитектурно-стилистическим характеристикам объекта капитального строительства не распространяются на объекты капитального строительства (кроме встроенно-пристроенных зданий, строений, сооружений), относящиеся к видам разрешенного использования Амбулаторно-поликлиническое обслуживание (код 3.4.1), Стационарное медицинское обслуживание (код 3.4.2), Дошкольное, начальное и среднее общее образование (код 3.5.1), Среднее и высшее профессиональное образование (код 3.5.2), Объекты культурно-досуговой деятельности (код 3.6.1), Цирки и зверинцы (код 3.6.3</w:t>
            </w:r>
            <w:proofErr w:type="gramEnd"/>
            <w:r w:rsidRPr="00CE55B7">
              <w:rPr>
                <w:noProof/>
              </w:rPr>
              <w:t xml:space="preserve">), </w:t>
            </w:r>
            <w:proofErr w:type="gramStart"/>
            <w:r w:rsidRPr="00CE55B7">
              <w:rPr>
                <w:noProof/>
              </w:rPr>
              <w:t xml:space="preserve">Осуществление религиозных обрядов (код 3.7.1), Государственное управление (код 3.8.1), Объекты торговли (торговые центры, торгово-развлекательные центры (комплексы) (код 4.2), Рынки (код 4.3), Обеспечение спортивно-зрелищных мероприятий (код 5.1.1),  а </w:t>
            </w:r>
            <w:r w:rsidRPr="00CE55B7">
              <w:rPr>
                <w:noProof/>
              </w:rPr>
              <w:lastRenderedPageBreak/>
              <w:t>также промышленные предприятия, объекты водного транспорта, объекты транспортной инфраструктуры, в том числе вокзалы и станции (виды разрешенного использования с кодами 6.0 – 7.6).</w:t>
            </w:r>
            <w:proofErr w:type="gramEnd"/>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9. Требования пунктов 1-5 к архитектурно-стилистическим характеристикам объекта капитального строительства не распространяются на реконструируемые объекты капитального строительства</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10. Архитектурно-стилистическое решение объектов капитального строительства, находящихся в визуальной связи с объектами культурного наследия (выявленными объектами культурного наследия), должно носить фоновый характер (быть нейтральными по отношению к объектам культурного наследия и доминантам и обеспечивают благоприятные условия их восприятия). </w:t>
            </w:r>
            <w:proofErr w:type="gramStart"/>
            <w:r w:rsidRPr="00CE55B7">
              <w:rPr>
                <w:noProof/>
              </w:rPr>
              <w:t>Фоновый характер объектов капитального строительства может быть обеспечен способом отделки фасадов (окраска, штукатурка, облицовка естественным камнем, кирпичом, цветовое решение с выделением декоративных деталей, материал кровли - металл), композиционными приемами, включающими осевую композицию, сочетание простых объемов и минимизацию декоративных элементов, горизонтальным членением фасада, а также отсутствием на лицевом фасаде выступающих элементов - портиков, внешних тамбуров, лестниц.</w:t>
            </w:r>
            <w:proofErr w:type="gramEnd"/>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11. </w:t>
            </w:r>
            <w:proofErr w:type="gramStart"/>
            <w:r w:rsidRPr="00CE55B7">
              <w:rPr>
                <w:noProof/>
              </w:rPr>
              <w:t>Архитектурно-стилистические характеристики планируемых к строительству объектов капитального строительства должны учитывать положений постановления Коллегии Администрации Кемеровской области от 04.09.2013 № 369 «Об утверждении границ зон охраны объектов культурного наследия регионального значения, объектов культурного наследия местного (муниципального) значения, расположенных на территории г. Новокузнецка, режимов использования земель и градостроительных регламентов в границах данных зон», постановления Коллегии Администрации Кемеровской области от 26.11.2013 № 532 «Об утверждении</w:t>
            </w:r>
            <w:proofErr w:type="gramEnd"/>
            <w:r w:rsidRPr="00CE55B7">
              <w:rPr>
                <w:noProof/>
              </w:rPr>
              <w:t xml:space="preserve"> границ зон охраны объектов культурного наследия федерального значения, расположенных на территории г. Новокузнецка, режимов использования земель и градостроительных регламентов в границах данных зон».</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3.</w:t>
            </w:r>
          </w:p>
        </w:tc>
        <w:tc>
          <w:tcPr>
            <w:tcW w:w="2127"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Требования к цветовым решениям объектов капитального строительства</w:t>
            </w: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1. </w:t>
            </w:r>
            <w:proofErr w:type="gramStart"/>
            <w:r w:rsidRPr="00CE55B7">
              <w:rPr>
                <w:noProof/>
              </w:rPr>
              <w:t>Цветовые решения планируемых к строительству и планируемых к реконструкции объектов капитального строительства должны учитывать положения постановления Коллегии Администрации Кемеровской области от 04.09.2013 № 369 «Об утверждении границ зон охраны объектов культурного наследия регионального значения, объектов культурного наследия местного (муниципального) значения, расположенных на территории г. Новокузнецка, режимов использования земель и градостроительных регламентов в границах данных зон», постановления Коллегии Администрации Кемеровской области от</w:t>
            </w:r>
            <w:proofErr w:type="gramEnd"/>
            <w:r w:rsidRPr="00CE55B7">
              <w:rPr>
                <w:noProof/>
              </w:rPr>
              <w:t xml:space="preserve"> 26.11.2013 № 532 «Об утверждении границ зон охраны объектов культурного наследия федерального значения, расположенных на территории г. Новокузнецка, режимов использования земель и градостроительных регламентов в границах данных зон».</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2. </w:t>
            </w:r>
            <w:proofErr w:type="gramStart"/>
            <w:r w:rsidRPr="00CE55B7">
              <w:rPr>
                <w:noProof/>
              </w:rPr>
              <w:t>Фасады объектов капитального строительства выполняются с учетом требований законодательства в области сохранения, использования, популяризации и государственной охраны объектов культурного наследия (при наличии) с применением цветового решения неярких (пастельных) оттенков, нейтральных по отношению к сложившейся застройке территории (цвета фасадов выбираются из цветовой палитры отделки фасадов объектов капитального строительства, расположенных по сложившейся линии застройки и (или) в границах квартала).</w:t>
            </w:r>
            <w:proofErr w:type="gramEnd"/>
          </w:p>
          <w:p w:rsidR="002F4AE1" w:rsidRPr="00CE55B7" w:rsidRDefault="002F4AE1" w:rsidP="007F7434">
            <w:pPr>
              <w:autoSpaceDE w:val="0"/>
              <w:autoSpaceDN w:val="0"/>
              <w:adjustRightInd w:val="0"/>
              <w:jc w:val="both"/>
              <w:rPr>
                <w:noProof/>
              </w:rPr>
            </w:pPr>
            <w:r w:rsidRPr="00CE55B7">
              <w:rPr>
                <w:noProof/>
              </w:rPr>
              <w:t>Не допускается применение локальных неразбеленных (базовых) цветов в качестве основных цветов отделки фасадов.</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3. Все фасады в рамках одного здания должны иметь единое композиционно-цветовое решение. При проведении капитального ремонта не допускается применение цветов, нарушающих архитектурный замысел объекта, а также не допускается выкрашивание торцевых фасадов здания или его фрагментов другим цветом (если только это не предусмотрено архитектурным замыслом объекта).</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4. Стены.</w:t>
            </w:r>
          </w:p>
          <w:p w:rsidR="002F4AE1" w:rsidRPr="00CE55B7" w:rsidRDefault="002F4AE1" w:rsidP="007F7434">
            <w:pPr>
              <w:autoSpaceDE w:val="0"/>
              <w:autoSpaceDN w:val="0"/>
              <w:adjustRightInd w:val="0"/>
              <w:jc w:val="both"/>
              <w:rPr>
                <w:noProof/>
              </w:rPr>
            </w:pPr>
            <w:r w:rsidRPr="00CE55B7">
              <w:rPr>
                <w:noProof/>
              </w:rPr>
              <w:t>4.1. В цветовом решении облицовочных материалов плоскости фасада разрешается использовать 1 оттенок в качестве основного цвета и не более двух - в качестве дополнительных цветов. Основной оттенок должен быть использован на большей части площади фасада, дополнительные - суммарно не более 40 % площади фасада.</w:t>
            </w:r>
          </w:p>
          <w:p w:rsidR="002F4AE1" w:rsidRPr="00CE55B7" w:rsidRDefault="002F4AE1" w:rsidP="007F7434">
            <w:pPr>
              <w:autoSpaceDE w:val="0"/>
              <w:autoSpaceDN w:val="0"/>
              <w:adjustRightInd w:val="0"/>
              <w:jc w:val="both"/>
              <w:rPr>
                <w:noProof/>
              </w:rPr>
            </w:pPr>
            <w:r w:rsidRPr="00CE55B7">
              <w:rPr>
                <w:noProof/>
              </w:rPr>
              <w:t>4.2. В составе натуральных материалов должны отсутствовать дополнительные цветные пигменты. Колер материалов, имитирующих натуральные, должен совпадать с натуральным цветом этих материалов.</w:t>
            </w:r>
          </w:p>
          <w:p w:rsidR="002F4AE1" w:rsidRPr="00CE55B7" w:rsidRDefault="002F4AE1" w:rsidP="007F7434">
            <w:pPr>
              <w:autoSpaceDE w:val="0"/>
              <w:autoSpaceDN w:val="0"/>
              <w:adjustRightInd w:val="0"/>
              <w:jc w:val="both"/>
              <w:rPr>
                <w:noProof/>
              </w:rPr>
            </w:pPr>
            <w:r w:rsidRPr="00CE55B7">
              <w:rPr>
                <w:noProof/>
              </w:rPr>
              <w:t>4.3. При создании архитектурных решений необходимо выполнять стыковку наружных стеновых панелей в тон их отделки. Цветовое решение нащельников на стыках поверхностей должно осуществляться в соответствии с колером отделки этих поверхностей.</w:t>
            </w:r>
          </w:p>
          <w:p w:rsidR="002F4AE1" w:rsidRPr="00CE55B7" w:rsidRDefault="002F4AE1" w:rsidP="007F7434">
            <w:pPr>
              <w:autoSpaceDE w:val="0"/>
              <w:autoSpaceDN w:val="0"/>
              <w:adjustRightInd w:val="0"/>
              <w:jc w:val="both"/>
              <w:rPr>
                <w:noProof/>
              </w:rPr>
            </w:pPr>
            <w:r w:rsidRPr="00CE55B7">
              <w:rPr>
                <w:noProof/>
              </w:rPr>
              <w:t>4.4. Поэтажное деление торцевыми поверхностями плит перекрытий допускается при условии отделки плиты в тон соответствующей плоскости стены фасада.</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5. Окна.</w:t>
            </w:r>
          </w:p>
          <w:p w:rsidR="002F4AE1" w:rsidRPr="00CE55B7" w:rsidRDefault="002F4AE1" w:rsidP="007F7434">
            <w:pPr>
              <w:autoSpaceDE w:val="0"/>
              <w:autoSpaceDN w:val="0"/>
              <w:adjustRightInd w:val="0"/>
              <w:jc w:val="both"/>
              <w:rPr>
                <w:noProof/>
              </w:rPr>
            </w:pPr>
            <w:r w:rsidRPr="00CE55B7">
              <w:rPr>
                <w:noProof/>
              </w:rPr>
              <w:t>5.1. Все элементы окон (за исключением стекла) должны выполняться в едином цветовом решении. Допускается применение разных цветов для разных по назначению групп проемов (окна жилых помещений, витрины коммерческих предприятий).</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6. Остекление.</w:t>
            </w:r>
          </w:p>
          <w:p w:rsidR="002F4AE1" w:rsidRPr="00CE55B7" w:rsidRDefault="002F4AE1" w:rsidP="007F7434">
            <w:pPr>
              <w:autoSpaceDE w:val="0"/>
              <w:autoSpaceDN w:val="0"/>
              <w:adjustRightInd w:val="0"/>
              <w:jc w:val="both"/>
              <w:rPr>
                <w:noProof/>
              </w:rPr>
            </w:pPr>
            <w:r w:rsidRPr="00CE55B7">
              <w:rPr>
                <w:noProof/>
              </w:rPr>
              <w:t>6.1. Не допускается использование цветного (тонированного в массе), непросматриваемого зеркального остекления.</w:t>
            </w:r>
          </w:p>
          <w:p w:rsidR="002F4AE1" w:rsidRPr="00CE55B7" w:rsidRDefault="002F4AE1" w:rsidP="007F7434">
            <w:pPr>
              <w:autoSpaceDE w:val="0"/>
              <w:autoSpaceDN w:val="0"/>
              <w:adjustRightInd w:val="0"/>
              <w:jc w:val="both"/>
              <w:rPr>
                <w:noProof/>
              </w:rPr>
            </w:pPr>
            <w:r w:rsidRPr="00CE55B7">
              <w:rPr>
                <w:noProof/>
              </w:rPr>
              <w:t>6.2. Цветовое решение должно осуществляться в нейтральных (с максимальной прозрачностью, без искажения цвета) и серых оттенках стекла.</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7. Цоколь.</w:t>
            </w:r>
          </w:p>
          <w:p w:rsidR="002F4AE1" w:rsidRPr="00CE55B7" w:rsidRDefault="002F4AE1" w:rsidP="007F7434">
            <w:pPr>
              <w:autoSpaceDE w:val="0"/>
              <w:autoSpaceDN w:val="0"/>
              <w:adjustRightInd w:val="0"/>
              <w:jc w:val="both"/>
              <w:rPr>
                <w:noProof/>
              </w:rPr>
            </w:pPr>
            <w:r w:rsidRPr="00CE55B7">
              <w:rPr>
                <w:noProof/>
              </w:rPr>
              <w:t xml:space="preserve">7.1. При подборе материалов неоднородной текстуры (натуральных </w:t>
            </w:r>
            <w:r w:rsidRPr="00CE55B7">
              <w:rPr>
                <w:noProof/>
              </w:rPr>
              <w:lastRenderedPageBreak/>
              <w:t>- кирпич, гранит и т. д. и имитирующих натуральные - композитные плиты и т.д.) допускается отклонение от перечня разрешенных RAL. В составе натуральных материалов должны отсутствовать дополнительные цветные пигменты. Колер материалов, имитирующих натуральные, должен совпадать с натуральным цветом этих материалов.</w:t>
            </w:r>
          </w:p>
          <w:p w:rsidR="002F4AE1" w:rsidRPr="00CE55B7" w:rsidRDefault="002F4AE1" w:rsidP="007F7434">
            <w:pPr>
              <w:autoSpaceDE w:val="0"/>
              <w:autoSpaceDN w:val="0"/>
              <w:adjustRightInd w:val="0"/>
              <w:jc w:val="both"/>
              <w:rPr>
                <w:noProof/>
              </w:rPr>
            </w:pPr>
            <w:r w:rsidRPr="00CE55B7">
              <w:rPr>
                <w:noProof/>
              </w:rPr>
              <w:t>7.2. При создании архитектурных решений необходимо выполнять стыковку наружных стеновых панелей в тон их отделки. Цветовое решение нащельников на стыках поверхностей должно осуществляться в соответствии с колером отделки этих поверхностей.</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8. Кровля</w:t>
            </w:r>
          </w:p>
          <w:p w:rsidR="002F4AE1" w:rsidRPr="00CE55B7" w:rsidRDefault="002F4AE1" w:rsidP="007F7434">
            <w:pPr>
              <w:autoSpaceDE w:val="0"/>
              <w:autoSpaceDN w:val="0"/>
              <w:adjustRightInd w:val="0"/>
              <w:jc w:val="both"/>
              <w:rPr>
                <w:noProof/>
              </w:rPr>
            </w:pPr>
            <w:r w:rsidRPr="00CE55B7">
              <w:rPr>
                <w:noProof/>
              </w:rPr>
              <w:t xml:space="preserve">8.1. Цветовое решение покрытия кровли (за исключением эксплуатируемых и озелененных кровель) должно осуществляться в соответствии с разрешенными к использованию: </w:t>
            </w:r>
          </w:p>
          <w:p w:rsidR="002F4AE1" w:rsidRPr="00CE55B7" w:rsidRDefault="002F4AE1" w:rsidP="007F7434">
            <w:pPr>
              <w:autoSpaceDE w:val="0"/>
              <w:autoSpaceDN w:val="0"/>
              <w:adjustRightInd w:val="0"/>
              <w:jc w:val="both"/>
              <w:rPr>
                <w:noProof/>
              </w:rPr>
            </w:pPr>
            <w:r w:rsidRPr="00CE55B7">
              <w:rPr>
                <w:noProof/>
              </w:rPr>
              <w:t>RAL: 7001, 8015.</w:t>
            </w:r>
          </w:p>
          <w:p w:rsidR="002F4AE1" w:rsidRPr="00CE55B7" w:rsidRDefault="002F4AE1" w:rsidP="007F7434">
            <w:pPr>
              <w:autoSpaceDE w:val="0"/>
              <w:autoSpaceDN w:val="0"/>
              <w:adjustRightInd w:val="0"/>
              <w:jc w:val="both"/>
              <w:rPr>
                <w:noProof/>
              </w:rPr>
            </w:pPr>
            <w:r w:rsidRPr="00CE55B7">
              <w:rPr>
                <w:noProof/>
              </w:rPr>
              <w:t>8.2. Все элементы покрытия кровли, за исключением покрытия функциональных элементов эксплуатируемой кровли (озеленение, детские площадки, террасы и др.), должны выполняться в едином цветовом решении.</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9. Элементы входных групп</w:t>
            </w:r>
          </w:p>
          <w:p w:rsidR="002F4AE1" w:rsidRPr="00CE55B7" w:rsidRDefault="002F4AE1" w:rsidP="007F7434">
            <w:pPr>
              <w:autoSpaceDE w:val="0"/>
              <w:autoSpaceDN w:val="0"/>
              <w:adjustRightInd w:val="0"/>
              <w:jc w:val="both"/>
              <w:rPr>
                <w:noProof/>
              </w:rPr>
            </w:pPr>
            <w:r w:rsidRPr="00CE55B7">
              <w:rPr>
                <w:noProof/>
              </w:rPr>
              <w:t>9.1. Предусмотреть цветовое решение, соответствующее одному из колеров элементов здания (стен, перекрытий, окон, цоколя).</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4.</w:t>
            </w:r>
          </w:p>
        </w:tc>
        <w:tc>
          <w:tcPr>
            <w:tcW w:w="2127"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Требования к отделочным и (или) строительным материалам, определяющие архитектурный облик объектов капитального строительства</w:t>
            </w: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1. </w:t>
            </w:r>
            <w:proofErr w:type="gramStart"/>
            <w:r w:rsidRPr="00CE55B7">
              <w:rPr>
                <w:noProof/>
              </w:rPr>
              <w:t>Отделочные материалы и (или) строительные материалы, определяющие облик планируемых к строительству и планируемых к реконструкции объектов капитального строительства, должны учитывать положения постановления Коллегии Администрации Кемеровской области от 04.09.2013 № 369 «Об утверждении границ зон охраны объектов культурного наследия регионального значения, объектов культурного наследия местного (муниципального) значения, расположенных на территории г. Новокузнецка, режимов использования земель и градостроительных регламентов в границах данных зон</w:t>
            </w:r>
            <w:proofErr w:type="gramEnd"/>
            <w:r w:rsidRPr="00CE55B7">
              <w:rPr>
                <w:noProof/>
              </w:rPr>
              <w:t>», постановления Коллегии Администрации Кемеровской области от 26.11.2013 № 532 «Об утверждении границ зон охраны объектов культурного наследия федерального значения, расположенных на территории г. Новокузнецка, режимов использования земель и градостроительных регламентов в границах данных зон».</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2. Материалы, имитирующие натуральные, должны соответствовать им по фактуре.</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3. Не допускается окраска поверхностей, облицованных натуральным камнем.</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4. Стены, цоколь.</w:t>
            </w:r>
          </w:p>
          <w:p w:rsidR="002F4AE1" w:rsidRPr="00CE55B7" w:rsidRDefault="002F4AE1" w:rsidP="007F7434">
            <w:pPr>
              <w:autoSpaceDE w:val="0"/>
              <w:autoSpaceDN w:val="0"/>
              <w:adjustRightInd w:val="0"/>
              <w:jc w:val="both"/>
              <w:rPr>
                <w:noProof/>
              </w:rPr>
            </w:pPr>
            <w:r w:rsidRPr="00CE55B7">
              <w:rPr>
                <w:noProof/>
              </w:rPr>
              <w:t>4.1. При использовании двух и более типов материалов необходимо обеспечивать их стыковку в разных (смещенных друг относительно друга не менее, чем на 3 см) плоскостях. Один из материалов должен быть основным и использоваться на большей части площади фасада.</w:t>
            </w:r>
          </w:p>
          <w:p w:rsidR="002F4AE1" w:rsidRPr="00CE55B7" w:rsidRDefault="002F4AE1" w:rsidP="007F7434">
            <w:pPr>
              <w:autoSpaceDE w:val="0"/>
              <w:autoSpaceDN w:val="0"/>
              <w:adjustRightInd w:val="0"/>
              <w:jc w:val="both"/>
              <w:rPr>
                <w:noProof/>
              </w:rPr>
            </w:pPr>
            <w:r w:rsidRPr="00CE55B7">
              <w:rPr>
                <w:noProof/>
              </w:rPr>
              <w:t xml:space="preserve">4.2. Материалы с глянцевой поверхностью (за исключением стекла) </w:t>
            </w:r>
            <w:r w:rsidRPr="00CE55B7">
              <w:rPr>
                <w:noProof/>
              </w:rPr>
              <w:lastRenderedPageBreak/>
              <w:t>должны применяться на меньшей части площади фасада.</w:t>
            </w:r>
          </w:p>
          <w:p w:rsidR="002F4AE1" w:rsidRPr="00CE55B7" w:rsidRDefault="002F4AE1" w:rsidP="007F7434">
            <w:pPr>
              <w:autoSpaceDE w:val="0"/>
              <w:autoSpaceDN w:val="0"/>
              <w:adjustRightInd w:val="0"/>
              <w:jc w:val="both"/>
              <w:rPr>
                <w:noProof/>
              </w:rPr>
            </w:pPr>
            <w:r w:rsidRPr="00CE55B7">
              <w:rPr>
                <w:noProof/>
              </w:rPr>
              <w:t xml:space="preserve">4.3. </w:t>
            </w:r>
            <w:proofErr w:type="gramStart"/>
            <w:r w:rsidRPr="00CE55B7">
              <w:rPr>
                <w:noProof/>
              </w:rPr>
              <w:t>Не допускается использовать: пленку (в том числе самоклеящуюся), профилированный лист, асбестоцементный лист, металлический и пластиковый (виниловый) сайдинг, поликарбонат, ПВХ-панели (за исключением HPL-панелей с имитацией дерева, металла (отражающего) и бетона), крупные фракции штукатурки «фактурная шуба», стекломагнезитовые листы, панели из стали и алюминия с полимерным покрытием.</w:t>
            </w:r>
            <w:proofErr w:type="gramEnd"/>
          </w:p>
          <w:p w:rsidR="002F4AE1" w:rsidRPr="00CE55B7" w:rsidRDefault="002F4AE1" w:rsidP="007F7434">
            <w:pPr>
              <w:autoSpaceDE w:val="0"/>
              <w:autoSpaceDN w:val="0"/>
              <w:adjustRightInd w:val="0"/>
              <w:jc w:val="both"/>
              <w:rPr>
                <w:noProof/>
              </w:rPr>
            </w:pPr>
            <w:r w:rsidRPr="00CE55B7">
              <w:rPr>
                <w:noProof/>
              </w:rPr>
              <w:t xml:space="preserve">4.4. </w:t>
            </w:r>
            <w:proofErr w:type="gramStart"/>
            <w:r w:rsidRPr="00CE55B7">
              <w:rPr>
                <w:noProof/>
              </w:rPr>
              <w:t xml:space="preserve">Рекомендуются к использованию: натуральный камень, штукатурка, облицовочный кирпич (керамический, клинкерный), терракотовая плитка, навесные фасады (клинкерная плитка; фиброцементный сайдинг с имитацией дерева; крупноформатные композитные панели (в том числе перфорированные) с металлом (медь, кортеновская сталь), натуральным камнем; дерево (лемех, гонт, планкен скошенный и прямой); </w:t>
            </w:r>
            <w:r w:rsidRPr="00CE55B7">
              <w:rPr>
                <w:noProof/>
                <w:lang w:val="en-US"/>
              </w:rPr>
              <w:t>HPL</w:t>
            </w:r>
            <w:r w:rsidRPr="00CE55B7">
              <w:rPr>
                <w:noProof/>
              </w:rPr>
              <w:t>-фасады с имитацией дерева, металла и бетона; керамические термопанели;</w:t>
            </w:r>
            <w:proofErr w:type="gramEnd"/>
            <w:r w:rsidRPr="00CE55B7">
              <w:rPr>
                <w:noProof/>
              </w:rPr>
              <w:t xml:space="preserve"> фасадная доска из термодерева; панели из меди, кортеновской стали).</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5. Окна.</w:t>
            </w:r>
          </w:p>
          <w:p w:rsidR="002F4AE1" w:rsidRPr="00CE55B7" w:rsidRDefault="002F4AE1" w:rsidP="007F7434">
            <w:pPr>
              <w:autoSpaceDE w:val="0"/>
              <w:autoSpaceDN w:val="0"/>
              <w:adjustRightInd w:val="0"/>
              <w:jc w:val="both"/>
              <w:rPr>
                <w:noProof/>
              </w:rPr>
            </w:pPr>
            <w:r w:rsidRPr="00CE55B7">
              <w:rPr>
                <w:noProof/>
              </w:rPr>
              <w:t>5.1. Не допускается облицовка откосов керамической плиткой, а также применение на откосах системы навесного фасада (за исключением системы с использованием панелей, имитирующих натуральные материалы).</w:t>
            </w:r>
          </w:p>
          <w:p w:rsidR="002F4AE1" w:rsidRPr="00CE55B7" w:rsidRDefault="002F4AE1" w:rsidP="007F7434">
            <w:pPr>
              <w:autoSpaceDE w:val="0"/>
              <w:autoSpaceDN w:val="0"/>
              <w:adjustRightInd w:val="0"/>
              <w:jc w:val="both"/>
              <w:rPr>
                <w:noProof/>
              </w:rPr>
            </w:pPr>
            <w:r w:rsidRPr="00CE55B7">
              <w:rPr>
                <w:noProof/>
              </w:rPr>
              <w:t>5.2. Все элементы окон (за исключением стекла) должны выполняться в едином материале. Допускается применение разных материалов для разных по назначению групп проемов (окна жилых помещений, витрины коммерческих предприятий).</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6. Остекление.</w:t>
            </w:r>
          </w:p>
          <w:p w:rsidR="002F4AE1" w:rsidRPr="00CE55B7" w:rsidRDefault="002F4AE1" w:rsidP="007F7434">
            <w:pPr>
              <w:autoSpaceDE w:val="0"/>
              <w:autoSpaceDN w:val="0"/>
              <w:adjustRightInd w:val="0"/>
              <w:jc w:val="both"/>
              <w:rPr>
                <w:noProof/>
              </w:rPr>
            </w:pPr>
            <w:r w:rsidRPr="00CE55B7">
              <w:rPr>
                <w:noProof/>
              </w:rPr>
              <w:t>6.1. Не допускается установка дверных заполнений с остеклением менее 70% полотна (за исключением дверных проемов к техническим помещениям).</w:t>
            </w:r>
          </w:p>
          <w:p w:rsidR="002F4AE1" w:rsidRPr="00CE55B7" w:rsidRDefault="002F4AE1" w:rsidP="007F7434">
            <w:pPr>
              <w:autoSpaceDE w:val="0"/>
              <w:autoSpaceDN w:val="0"/>
              <w:adjustRightInd w:val="0"/>
              <w:jc w:val="both"/>
              <w:rPr>
                <w:noProof/>
              </w:rPr>
            </w:pPr>
            <w:r w:rsidRPr="00CE55B7">
              <w:rPr>
                <w:noProof/>
              </w:rPr>
              <w:t>6.2. Остекление балконов не допускается.</w:t>
            </w:r>
          </w:p>
          <w:p w:rsidR="002F4AE1" w:rsidRPr="00CE55B7" w:rsidRDefault="002F4AE1" w:rsidP="007F7434">
            <w:pPr>
              <w:autoSpaceDE w:val="0"/>
              <w:autoSpaceDN w:val="0"/>
              <w:adjustRightInd w:val="0"/>
              <w:jc w:val="both"/>
              <w:rPr>
                <w:noProof/>
              </w:rPr>
            </w:pPr>
            <w:r w:rsidRPr="00CE55B7">
              <w:rPr>
                <w:noProof/>
              </w:rPr>
              <w:t>6.3. При остеклении лоджий не допускается устройство глухих пластиковых полотен.</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7. Кровля.</w:t>
            </w:r>
          </w:p>
          <w:p w:rsidR="002F4AE1" w:rsidRPr="00CE55B7" w:rsidRDefault="002F4AE1" w:rsidP="007F7434">
            <w:pPr>
              <w:autoSpaceDE w:val="0"/>
              <w:autoSpaceDN w:val="0"/>
              <w:adjustRightInd w:val="0"/>
              <w:jc w:val="both"/>
              <w:rPr>
                <w:noProof/>
              </w:rPr>
            </w:pPr>
            <w:r w:rsidRPr="00CE55B7">
              <w:rPr>
                <w:noProof/>
              </w:rPr>
              <w:t>7.1. Не допускается использовать: асбестоцементный лист, пластиковый (виниловый) сайдинг, поликарбонат, ПВХ-панели, ондулин, шифер, сланцевую кровлю, фанеру, вагонку.</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8. Элементы входных групп.</w:t>
            </w:r>
          </w:p>
          <w:p w:rsidR="002F4AE1" w:rsidRPr="00CE55B7" w:rsidRDefault="002F4AE1" w:rsidP="007F7434">
            <w:pPr>
              <w:autoSpaceDE w:val="0"/>
              <w:autoSpaceDN w:val="0"/>
              <w:adjustRightInd w:val="0"/>
              <w:jc w:val="both"/>
              <w:rPr>
                <w:noProof/>
              </w:rPr>
            </w:pPr>
            <w:r w:rsidRPr="00CE55B7">
              <w:rPr>
                <w:noProof/>
              </w:rPr>
              <w:t>8.1. Для навесов и козырьков не допускается использовать: асбестоцементный лист, пластиковый (виниловый) сайдинг, поликарбонат, ондулин, шифер, сланцевую кровлю, фанеру, вагонку, ПВХ-панели (за исключением HPL-панелей с имитацией дерева, металла и бетона), крупные фракции штукатурки “фактурная шуба”, стекломагнезитовые листы, панели из стали и алюминия с полимерным покрытием.</w:t>
            </w:r>
          </w:p>
          <w:p w:rsidR="002F4AE1" w:rsidRPr="00CE55B7" w:rsidRDefault="002F4AE1" w:rsidP="007F7434">
            <w:pPr>
              <w:autoSpaceDE w:val="0"/>
              <w:autoSpaceDN w:val="0"/>
              <w:adjustRightInd w:val="0"/>
              <w:jc w:val="both"/>
              <w:rPr>
                <w:noProof/>
              </w:rPr>
            </w:pPr>
            <w:r w:rsidRPr="00CE55B7">
              <w:rPr>
                <w:noProof/>
              </w:rPr>
              <w:t>8.2. Не допускается устройство радиальных козырьков и навесов к приямкам.</w:t>
            </w:r>
          </w:p>
          <w:p w:rsidR="002F4AE1" w:rsidRPr="00CE55B7" w:rsidRDefault="002F4AE1" w:rsidP="007F7434">
            <w:pPr>
              <w:autoSpaceDE w:val="0"/>
              <w:autoSpaceDN w:val="0"/>
              <w:adjustRightInd w:val="0"/>
              <w:jc w:val="both"/>
              <w:rPr>
                <w:noProof/>
              </w:rPr>
            </w:pPr>
            <w:r w:rsidRPr="00CE55B7">
              <w:rPr>
                <w:noProof/>
              </w:rPr>
              <w:t>8.3. Для лестниц, площадок, ступеней не допускается использовать: материалы с классом противоскольжения менее R12, резиновую плитку.</w:t>
            </w:r>
          </w:p>
          <w:p w:rsidR="002F4AE1" w:rsidRPr="00CE55B7" w:rsidRDefault="002F4AE1" w:rsidP="007F7434">
            <w:pPr>
              <w:autoSpaceDE w:val="0"/>
              <w:autoSpaceDN w:val="0"/>
              <w:adjustRightInd w:val="0"/>
              <w:jc w:val="both"/>
              <w:rPr>
                <w:noProof/>
              </w:rPr>
            </w:pPr>
            <w:r w:rsidRPr="00CE55B7">
              <w:rPr>
                <w:noProof/>
              </w:rPr>
              <w:lastRenderedPageBreak/>
              <w:t>8.4. Необходимо предусматривать придверные грязезащитные системы.</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lastRenderedPageBreak/>
              <w:t>5.</w:t>
            </w:r>
          </w:p>
        </w:tc>
        <w:tc>
          <w:tcPr>
            <w:tcW w:w="2127"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Требования к размещению технического и инженерного оборудования на фасадах и кровлях объектов капитального строительства</w:t>
            </w: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1. </w:t>
            </w:r>
            <w:proofErr w:type="gramStart"/>
            <w:r w:rsidRPr="00CE55B7">
              <w:rPr>
                <w:noProof/>
              </w:rPr>
              <w:t>Размещение технического и инженерного оборудования на фасадах и кровлях планируемых к строительству и планируемых к реконструкции объектов капитального строительства, должны учитывать положения постановления Коллегии Администрации Кемеровской области от 04.09.2013 № 369 «Об утверждении границ зон охраны объектов культурного наследия регионального значения, объектов культурного наследия местного (муниципального) значения, расположенных на территории г. Новокузнецка, режимов использования земель и градостроительных регламентов в границах данных</w:t>
            </w:r>
            <w:proofErr w:type="gramEnd"/>
            <w:r w:rsidRPr="00CE55B7">
              <w:rPr>
                <w:noProof/>
              </w:rPr>
              <w:t xml:space="preserve"> зон», постановления Коллегии Администрации Кемеровской области от 26.11.2013 № 532 «Об утверждении границ зон охраны объектов культурного наследия федерального значения, расположенных на территории г. Новокузнецка, режимов использования земель и градостроительных регламентов в границах данных зон».</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2. Требования и основные принципы размещения дополнительного оборудования установлены Правилами благоустройства территории Новокузнецкого городского округа, утвержденными решением Новокузнецкого городского Совета народных депутатов от 24.12.2013 № 16/198.</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3. </w:t>
            </w:r>
            <w:proofErr w:type="gramStart"/>
            <w:r w:rsidRPr="00CE55B7">
              <w:rPr>
                <w:noProof/>
              </w:rPr>
              <w:t>Размещение технического и инженерного оборудования (антенн, кабелей, наружных блоков вентиляции и кондиционирования, вентиляционных труб, элементов системы наружного водоотведения и др.) на фасадах, силуэтных завершениях объектов капитального строительства (башнях, куполах), на парапетах, ограждениях кровли, вентиляционных трубах, ограждениях балконов, лоджий допускается исключительно в предусмотренных проектной документацией местах, скрытых для визуального восприятия, или с использованием декоративных маскирующих ограждений соответствующих по колеру элементам здания</w:t>
            </w:r>
            <w:proofErr w:type="gramEnd"/>
            <w:r w:rsidRPr="00CE55B7">
              <w:rPr>
                <w:noProof/>
              </w:rPr>
              <w:t>, на которых расположены.</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4. Допускается установка наружного блока кондиционера на фасаде здания на балконах (ниже верхнего уровня балконного ограждения), лоджиях, в оконных проемах (не выходя за плоскость фасада), на кровлях не выше верха парапетов, в декоративных корзинах предусмотренных архитектурным проектом.</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5. Монтаж элементов технического и инженерного оборудования, а также элементов дополнительного оборудования должен производиться с маскировкой наружных блоков, деталей и элементов крепления, без ущерба для внешнего вида и технического состояния фасадов, при минимальном контакте с архитектурными поверхностями, рациональном устройстве и технологичности крепежа, использовании стандартных конструкций крепления. Элементы крепления должны иметь нейтральный цвет или быть выкрашенными в цвет фасада.</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6. Камеры видеонаблюдения и гобо-проекторы необходимо размещать под козырьками, балконами или на свободных участках </w:t>
            </w:r>
            <w:r w:rsidRPr="00CE55B7">
              <w:rPr>
                <w:noProof/>
              </w:rPr>
              <w:lastRenderedPageBreak/>
              <w:t>фасада, не нарушая архитектурные детали и элементы декора на фасаде.</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7. При установке видеокамер, гобо-проекторов, организации архитектурной подсветки здания необходимо осуществлять скрытое подведение сетей. При прокладке по фасаду кабель-канала, скрывающего провода, он должен быть выкрашен в цвет фасада здания. Допускается только ортогональная прокладка кабеля.</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8. Допускается прокладывать газопроводы по стенам зданий без нарушений архитектурных элементов фасадов с учетом отраслевых нормативов проектирования.</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6.</w:t>
            </w:r>
          </w:p>
        </w:tc>
        <w:tc>
          <w:tcPr>
            <w:tcW w:w="2127"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Требования к подсветке фасадов объектов капитального строительства</w:t>
            </w:r>
          </w:p>
        </w:tc>
        <w:tc>
          <w:tcPr>
            <w:tcW w:w="7229" w:type="dxa"/>
            <w:tcBorders>
              <w:top w:val="single" w:sz="4" w:space="0" w:color="auto"/>
              <w:left w:val="single" w:sz="4" w:space="0" w:color="auto"/>
              <w:bottom w:val="single" w:sz="4" w:space="0" w:color="auto"/>
              <w:right w:val="single" w:sz="4" w:space="0" w:color="auto"/>
            </w:tcBorders>
            <w:shd w:val="clear" w:color="auto" w:fill="auto"/>
            <w:hideMark/>
          </w:tcPr>
          <w:p w:rsidR="002F4AE1" w:rsidRPr="00CE55B7" w:rsidRDefault="002F4AE1" w:rsidP="007F7434">
            <w:pPr>
              <w:autoSpaceDE w:val="0"/>
              <w:autoSpaceDN w:val="0"/>
              <w:adjustRightInd w:val="0"/>
              <w:jc w:val="both"/>
              <w:rPr>
                <w:noProof/>
              </w:rPr>
            </w:pPr>
            <w:r w:rsidRPr="00CE55B7">
              <w:rPr>
                <w:noProof/>
              </w:rPr>
              <w:t xml:space="preserve">1. </w:t>
            </w:r>
            <w:proofErr w:type="gramStart"/>
            <w:r w:rsidRPr="00CE55B7">
              <w:rPr>
                <w:noProof/>
              </w:rPr>
              <w:t>Подсветка фасадов планируемых к строительству и планируемых к реконструкции объектов капитального строительства, должна учитывать положения постановления Коллегии Администрации Кемеровской области от 04.09.2013 № 369 «Об утверждении границ зон охраны объектов культурного наследия регионального значения, объектов культурного наследия местного (муниципального) значения, расположенных на территории г. Новокузнецка, режимов использования земель и градостроительных регламентов в границах данных зон», постановления Коллегии Администрации Кемеровской области от</w:t>
            </w:r>
            <w:proofErr w:type="gramEnd"/>
            <w:r w:rsidRPr="00CE55B7">
              <w:rPr>
                <w:noProof/>
              </w:rPr>
              <w:t xml:space="preserve"> 26.11.2013 № 532 «Об утверждении границ зон охраны объектов культурного наследия федерального значения, расположенных на территории г. Новокузнецка, режимов использования земель и градостроительных регламентов в границах данных зон».</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r w:rsidRPr="00CE55B7">
              <w:rPr>
                <w:noProof/>
              </w:rPr>
              <w:t>2. Фасады объектов капитального строительства, обращенные к территориям общего пользования, оборудуются архитектурным освещением с учетом требований и нормативов, предусмотренных «СП 52.13330.2016. Свод правил. Естественное и искусственное освещение. Актуализированная редакция СНиП 23-05-95*», утвержденного Приказом Минстроя России от 07.11.2016 № 777/пр, и Правил благоустройства территории Новокузнецкого городского округа, утвержденные решением Новокузнецкого городского Совета народных депутатов от 24.12.2013 № 16/198. Архитектурное освещение фасадов не должно приводить к нарушению восприятия пропорций и иных визуальных характеристик объекта капитального строительства, нарушать гигиенические нормативы освещенности окон жилых зданий, палат лечебных учреждений, палат и спальных комнат объектов социального обеспечения, предусмотренные федеральными санитарными правилами, ослеплять участников дорожного движения.</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r w:rsidRPr="00CE55B7">
              <w:rPr>
                <w:noProof/>
              </w:rPr>
              <w:t>3. Светильники должны быть выполнены из ударопрочных материалов, не должны быть подвержены коррозии и менять форму под влиянием высоких или низких температур, должны быть максимально безопасными при эксплуатации.</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r w:rsidRPr="00CE55B7">
              <w:rPr>
                <w:noProof/>
              </w:rPr>
              <w:t xml:space="preserve">4. Форма и размеры приборов архитектурной подсветки должны быть компактных размеров и гармонично смотреться на фасаде здания. Светильники подсветки должны иметь минимальные габариты и нейтральную окраску, размещаться незаметно в архитектурно- и технически обоснованных местах с помощью </w:t>
            </w:r>
            <w:r w:rsidRPr="00CE55B7">
              <w:rPr>
                <w:noProof/>
              </w:rPr>
              <w:lastRenderedPageBreak/>
              <w:t>специальных креплений.</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r w:rsidRPr="00CE55B7">
              <w:rPr>
                <w:noProof/>
              </w:rPr>
              <w:t>5. Запрещается использовать в подсветке фасадов зданий и сооружений пиксельную, мигающую подсветку.</w:t>
            </w:r>
          </w:p>
        </w:tc>
      </w:tr>
      <w:tr w:rsidR="002F4AE1" w:rsidRPr="00CE55B7" w:rsidTr="007F7434">
        <w:tc>
          <w:tcPr>
            <w:tcW w:w="629"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p>
        </w:tc>
        <w:tc>
          <w:tcPr>
            <w:tcW w:w="2127"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p>
        </w:tc>
        <w:tc>
          <w:tcPr>
            <w:tcW w:w="7229" w:type="dxa"/>
            <w:tcBorders>
              <w:top w:val="single" w:sz="4" w:space="0" w:color="auto"/>
              <w:left w:val="single" w:sz="4" w:space="0" w:color="auto"/>
              <w:bottom w:val="single" w:sz="4" w:space="0" w:color="auto"/>
              <w:right w:val="single" w:sz="4" w:space="0" w:color="auto"/>
            </w:tcBorders>
            <w:shd w:val="clear" w:color="auto" w:fill="auto"/>
          </w:tcPr>
          <w:p w:rsidR="002F4AE1" w:rsidRPr="00CE55B7" w:rsidRDefault="002F4AE1" w:rsidP="007F7434">
            <w:pPr>
              <w:autoSpaceDE w:val="0"/>
              <w:autoSpaceDN w:val="0"/>
              <w:adjustRightInd w:val="0"/>
              <w:jc w:val="both"/>
              <w:rPr>
                <w:noProof/>
              </w:rPr>
            </w:pPr>
            <w:r w:rsidRPr="00CE55B7">
              <w:rPr>
                <w:noProof/>
              </w:rPr>
              <w:t>6. Использование подсветки иных цветов, кроме теплого белого или холодного белого, допускается только для праздничных сценариев освещения, которые могут работать только в дни официальных государственных городских праздников и мероприятий.</w:t>
            </w:r>
          </w:p>
        </w:tc>
      </w:tr>
    </w:tbl>
    <w:p w:rsidR="00771D32" w:rsidRPr="00AC0F87" w:rsidRDefault="00771D32" w:rsidP="001E6C45">
      <w:pPr>
        <w:autoSpaceDE w:val="0"/>
        <w:autoSpaceDN w:val="0"/>
        <w:adjustRightInd w:val="0"/>
        <w:jc w:val="both"/>
      </w:pPr>
      <w:bookmarkStart w:id="0" w:name="_GoBack"/>
      <w:bookmarkEnd w:id="0"/>
    </w:p>
    <w:sectPr w:rsidR="00771D32" w:rsidRPr="00AC0F87" w:rsidSect="00314EF6">
      <w:pgSz w:w="11906" w:h="16838"/>
      <w:pgMar w:top="1135" w:right="851"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2CC8" w:rsidRDefault="004A2CC8">
      <w:r>
        <w:separator/>
      </w:r>
    </w:p>
  </w:endnote>
  <w:endnote w:type="continuationSeparator" w:id="0">
    <w:p w:rsidR="004A2CC8" w:rsidRDefault="004A2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2CC8" w:rsidRDefault="004A2CC8">
      <w:r>
        <w:separator/>
      </w:r>
    </w:p>
  </w:footnote>
  <w:footnote w:type="continuationSeparator" w:id="0">
    <w:p w:rsidR="004A2CC8" w:rsidRDefault="004A2CC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90BD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1B2759F4"/>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2C671DCD"/>
    <w:multiLevelType w:val="hybridMultilevel"/>
    <w:tmpl w:val="B37E5A3C"/>
    <w:lvl w:ilvl="0" w:tplc="D826DC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2FE9283B"/>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34C22640"/>
    <w:multiLevelType w:val="multilevel"/>
    <w:tmpl w:val="F15AA470"/>
    <w:lvl w:ilvl="0">
      <w:start w:val="1"/>
      <w:numFmt w:val="decimal"/>
      <w:lvlText w:val="%1"/>
      <w:lvlJc w:val="left"/>
      <w:pPr>
        <w:ind w:left="360" w:hanging="360"/>
      </w:pPr>
      <w:rPr>
        <w:rFonts w:hint="default"/>
      </w:rPr>
    </w:lvl>
    <w:lvl w:ilvl="1">
      <w:start w:val="1"/>
      <w:numFmt w:val="bullet"/>
      <w:lvlText w:val=""/>
      <w:lvlJc w:val="left"/>
      <w:pPr>
        <w:ind w:left="644"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BDB7888"/>
    <w:multiLevelType w:val="hybridMultilevel"/>
    <w:tmpl w:val="A52C35DC"/>
    <w:lvl w:ilvl="0" w:tplc="D826DC38">
      <w:start w:val="1"/>
      <w:numFmt w:val="bullet"/>
      <w:lvlText w:val=""/>
      <w:lvlJc w:val="left"/>
      <w:pPr>
        <w:ind w:left="1260" w:hanging="360"/>
      </w:pPr>
      <w:rPr>
        <w:rFonts w:ascii="Symbol" w:hAnsi="Symbol" w:hint="default"/>
      </w:rPr>
    </w:lvl>
    <w:lvl w:ilvl="1" w:tplc="04190003">
      <w:start w:val="1"/>
      <w:numFmt w:val="bullet"/>
      <w:lvlText w:val="o"/>
      <w:lvlJc w:val="left"/>
      <w:pPr>
        <w:ind w:left="1980" w:hanging="360"/>
      </w:pPr>
      <w:rPr>
        <w:rFonts w:ascii="Courier New" w:hAnsi="Courier New" w:cs="Courier New" w:hint="default"/>
      </w:rPr>
    </w:lvl>
    <w:lvl w:ilvl="2" w:tplc="04190005">
      <w:start w:val="1"/>
      <w:numFmt w:val="bullet"/>
      <w:lvlText w:val=""/>
      <w:lvlJc w:val="left"/>
      <w:pPr>
        <w:ind w:left="2700" w:hanging="360"/>
      </w:pPr>
      <w:rPr>
        <w:rFonts w:ascii="Wingdings" w:hAnsi="Wingdings" w:hint="default"/>
      </w:rPr>
    </w:lvl>
    <w:lvl w:ilvl="3" w:tplc="04190001">
      <w:start w:val="1"/>
      <w:numFmt w:val="bullet"/>
      <w:lvlText w:val=""/>
      <w:lvlJc w:val="left"/>
      <w:pPr>
        <w:ind w:left="3420" w:hanging="360"/>
      </w:pPr>
      <w:rPr>
        <w:rFonts w:ascii="Symbol" w:hAnsi="Symbol" w:hint="default"/>
      </w:rPr>
    </w:lvl>
    <w:lvl w:ilvl="4" w:tplc="04190003">
      <w:start w:val="1"/>
      <w:numFmt w:val="bullet"/>
      <w:lvlText w:val="o"/>
      <w:lvlJc w:val="left"/>
      <w:pPr>
        <w:ind w:left="4140" w:hanging="360"/>
      </w:pPr>
      <w:rPr>
        <w:rFonts w:ascii="Courier New" w:hAnsi="Courier New" w:cs="Courier New" w:hint="default"/>
      </w:rPr>
    </w:lvl>
    <w:lvl w:ilvl="5" w:tplc="04190005">
      <w:start w:val="1"/>
      <w:numFmt w:val="bullet"/>
      <w:lvlText w:val=""/>
      <w:lvlJc w:val="left"/>
      <w:pPr>
        <w:ind w:left="4860" w:hanging="360"/>
      </w:pPr>
      <w:rPr>
        <w:rFonts w:ascii="Wingdings" w:hAnsi="Wingdings" w:hint="default"/>
      </w:rPr>
    </w:lvl>
    <w:lvl w:ilvl="6" w:tplc="04190001">
      <w:start w:val="1"/>
      <w:numFmt w:val="bullet"/>
      <w:lvlText w:val=""/>
      <w:lvlJc w:val="left"/>
      <w:pPr>
        <w:ind w:left="5580" w:hanging="360"/>
      </w:pPr>
      <w:rPr>
        <w:rFonts w:ascii="Symbol" w:hAnsi="Symbol" w:hint="default"/>
      </w:rPr>
    </w:lvl>
    <w:lvl w:ilvl="7" w:tplc="04190003">
      <w:start w:val="1"/>
      <w:numFmt w:val="bullet"/>
      <w:lvlText w:val="o"/>
      <w:lvlJc w:val="left"/>
      <w:pPr>
        <w:ind w:left="6300" w:hanging="360"/>
      </w:pPr>
      <w:rPr>
        <w:rFonts w:ascii="Courier New" w:hAnsi="Courier New" w:cs="Courier New" w:hint="default"/>
      </w:rPr>
    </w:lvl>
    <w:lvl w:ilvl="8" w:tplc="04190005">
      <w:start w:val="1"/>
      <w:numFmt w:val="bullet"/>
      <w:lvlText w:val=""/>
      <w:lvlJc w:val="left"/>
      <w:pPr>
        <w:ind w:left="7020" w:hanging="360"/>
      </w:pPr>
      <w:rPr>
        <w:rFonts w:ascii="Wingdings" w:hAnsi="Wingdings" w:hint="default"/>
      </w:rPr>
    </w:lvl>
  </w:abstractNum>
  <w:abstractNum w:abstractNumId="6">
    <w:nsid w:val="592939E2"/>
    <w:multiLevelType w:val="hybridMultilevel"/>
    <w:tmpl w:val="CC2C50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CB30333"/>
    <w:multiLevelType w:val="hybridMultilevel"/>
    <w:tmpl w:val="EE6417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6C8F09C8"/>
    <w:multiLevelType w:val="hybridMultilevel"/>
    <w:tmpl w:val="601214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0"/>
  </w:num>
  <w:num w:numId="5">
    <w:abstractNumId w:val="4"/>
  </w:num>
  <w:num w:numId="6">
    <w:abstractNumId w:val="1"/>
  </w:num>
  <w:num w:numId="7">
    <w:abstractNumId w:val="3"/>
  </w:num>
  <w:num w:numId="8">
    <w:abstractNumId w:val="8"/>
  </w:num>
  <w:num w:numId="9">
    <w:abstractNumId w:val="6"/>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1E2"/>
    <w:rsid w:val="0000067F"/>
    <w:rsid w:val="00000E6B"/>
    <w:rsid w:val="00000F75"/>
    <w:rsid w:val="000026F1"/>
    <w:rsid w:val="000055D2"/>
    <w:rsid w:val="00006E78"/>
    <w:rsid w:val="00007888"/>
    <w:rsid w:val="00011414"/>
    <w:rsid w:val="000124BE"/>
    <w:rsid w:val="00013E63"/>
    <w:rsid w:val="000225BA"/>
    <w:rsid w:val="000228B6"/>
    <w:rsid w:val="00024A98"/>
    <w:rsid w:val="00025FFC"/>
    <w:rsid w:val="000261FA"/>
    <w:rsid w:val="000305D4"/>
    <w:rsid w:val="000306B3"/>
    <w:rsid w:val="00032B58"/>
    <w:rsid w:val="000335FF"/>
    <w:rsid w:val="0003486D"/>
    <w:rsid w:val="00037B14"/>
    <w:rsid w:val="00042DCE"/>
    <w:rsid w:val="0005120D"/>
    <w:rsid w:val="00051DE8"/>
    <w:rsid w:val="00053F42"/>
    <w:rsid w:val="000577ED"/>
    <w:rsid w:val="00060E99"/>
    <w:rsid w:val="00061892"/>
    <w:rsid w:val="00061E2D"/>
    <w:rsid w:val="00062405"/>
    <w:rsid w:val="000624C1"/>
    <w:rsid w:val="000679BA"/>
    <w:rsid w:val="00071FB1"/>
    <w:rsid w:val="00072C8D"/>
    <w:rsid w:val="000733C8"/>
    <w:rsid w:val="00074217"/>
    <w:rsid w:val="000748C5"/>
    <w:rsid w:val="00075111"/>
    <w:rsid w:val="0008095D"/>
    <w:rsid w:val="00080C6E"/>
    <w:rsid w:val="000810D0"/>
    <w:rsid w:val="00083ED8"/>
    <w:rsid w:val="00084275"/>
    <w:rsid w:val="0008469D"/>
    <w:rsid w:val="00093AAA"/>
    <w:rsid w:val="000967C3"/>
    <w:rsid w:val="000A1CAA"/>
    <w:rsid w:val="000A4444"/>
    <w:rsid w:val="000B3209"/>
    <w:rsid w:val="000B426B"/>
    <w:rsid w:val="000B7023"/>
    <w:rsid w:val="000C0C4C"/>
    <w:rsid w:val="000C4228"/>
    <w:rsid w:val="000C6769"/>
    <w:rsid w:val="000C6E30"/>
    <w:rsid w:val="000D19E0"/>
    <w:rsid w:val="000D2A42"/>
    <w:rsid w:val="000D36C6"/>
    <w:rsid w:val="000D7154"/>
    <w:rsid w:val="000D7FAA"/>
    <w:rsid w:val="000E0356"/>
    <w:rsid w:val="000E59AB"/>
    <w:rsid w:val="000E74F9"/>
    <w:rsid w:val="000F2C9D"/>
    <w:rsid w:val="000F456E"/>
    <w:rsid w:val="000F63FA"/>
    <w:rsid w:val="000F6EDB"/>
    <w:rsid w:val="00105B84"/>
    <w:rsid w:val="00107F10"/>
    <w:rsid w:val="00111B4A"/>
    <w:rsid w:val="00111DDA"/>
    <w:rsid w:val="00112042"/>
    <w:rsid w:val="0011280F"/>
    <w:rsid w:val="00116FBF"/>
    <w:rsid w:val="001353DE"/>
    <w:rsid w:val="0013582C"/>
    <w:rsid w:val="00137589"/>
    <w:rsid w:val="001459DA"/>
    <w:rsid w:val="00146E75"/>
    <w:rsid w:val="00150410"/>
    <w:rsid w:val="00152E94"/>
    <w:rsid w:val="00154983"/>
    <w:rsid w:val="00155106"/>
    <w:rsid w:val="00161F4C"/>
    <w:rsid w:val="00166DFC"/>
    <w:rsid w:val="0016716F"/>
    <w:rsid w:val="00171C4D"/>
    <w:rsid w:val="00172EDC"/>
    <w:rsid w:val="00174587"/>
    <w:rsid w:val="00175CA7"/>
    <w:rsid w:val="00176BD4"/>
    <w:rsid w:val="00177783"/>
    <w:rsid w:val="00187765"/>
    <w:rsid w:val="001942E2"/>
    <w:rsid w:val="00195537"/>
    <w:rsid w:val="001A0345"/>
    <w:rsid w:val="001A21DE"/>
    <w:rsid w:val="001A3AB8"/>
    <w:rsid w:val="001A7679"/>
    <w:rsid w:val="001B21B1"/>
    <w:rsid w:val="001B25CF"/>
    <w:rsid w:val="001B3F0B"/>
    <w:rsid w:val="001B4E33"/>
    <w:rsid w:val="001C22BF"/>
    <w:rsid w:val="001C30B4"/>
    <w:rsid w:val="001D257E"/>
    <w:rsid w:val="001D4816"/>
    <w:rsid w:val="001D4C59"/>
    <w:rsid w:val="001D574C"/>
    <w:rsid w:val="001D5D1D"/>
    <w:rsid w:val="001D5FCF"/>
    <w:rsid w:val="001D7095"/>
    <w:rsid w:val="001D795E"/>
    <w:rsid w:val="001E0A0A"/>
    <w:rsid w:val="001E199A"/>
    <w:rsid w:val="001E4356"/>
    <w:rsid w:val="001E4F90"/>
    <w:rsid w:val="001E6C45"/>
    <w:rsid w:val="001E7B15"/>
    <w:rsid w:val="001F17A1"/>
    <w:rsid w:val="001F437A"/>
    <w:rsid w:val="001F7D95"/>
    <w:rsid w:val="0020065E"/>
    <w:rsid w:val="002007A8"/>
    <w:rsid w:val="00203240"/>
    <w:rsid w:val="002106A9"/>
    <w:rsid w:val="00210963"/>
    <w:rsid w:val="00210D1F"/>
    <w:rsid w:val="0021115B"/>
    <w:rsid w:val="00214632"/>
    <w:rsid w:val="00214933"/>
    <w:rsid w:val="00215AF8"/>
    <w:rsid w:val="00221E34"/>
    <w:rsid w:val="00223C7D"/>
    <w:rsid w:val="00226962"/>
    <w:rsid w:val="00243490"/>
    <w:rsid w:val="00245D82"/>
    <w:rsid w:val="00247136"/>
    <w:rsid w:val="002471C3"/>
    <w:rsid w:val="002500CA"/>
    <w:rsid w:val="00253B8F"/>
    <w:rsid w:val="002551DE"/>
    <w:rsid w:val="00255D3E"/>
    <w:rsid w:val="00256472"/>
    <w:rsid w:val="00263730"/>
    <w:rsid w:val="00263E61"/>
    <w:rsid w:val="00264074"/>
    <w:rsid w:val="00267CB7"/>
    <w:rsid w:val="002711FF"/>
    <w:rsid w:val="00271D3B"/>
    <w:rsid w:val="00271FAC"/>
    <w:rsid w:val="002733AE"/>
    <w:rsid w:val="002754C1"/>
    <w:rsid w:val="002758AC"/>
    <w:rsid w:val="00285DD0"/>
    <w:rsid w:val="00286A86"/>
    <w:rsid w:val="002968D2"/>
    <w:rsid w:val="002A0323"/>
    <w:rsid w:val="002A100B"/>
    <w:rsid w:val="002A1BD9"/>
    <w:rsid w:val="002A1D20"/>
    <w:rsid w:val="002A24B1"/>
    <w:rsid w:val="002A28BD"/>
    <w:rsid w:val="002A31E5"/>
    <w:rsid w:val="002A3328"/>
    <w:rsid w:val="002B0145"/>
    <w:rsid w:val="002B088F"/>
    <w:rsid w:val="002C3C2C"/>
    <w:rsid w:val="002C45C7"/>
    <w:rsid w:val="002C7B18"/>
    <w:rsid w:val="002D125F"/>
    <w:rsid w:val="002D35B2"/>
    <w:rsid w:val="002D5286"/>
    <w:rsid w:val="002D5F9D"/>
    <w:rsid w:val="002D6128"/>
    <w:rsid w:val="002D696C"/>
    <w:rsid w:val="002D7144"/>
    <w:rsid w:val="002E3DA9"/>
    <w:rsid w:val="002E7625"/>
    <w:rsid w:val="002F4AE1"/>
    <w:rsid w:val="002F5D3B"/>
    <w:rsid w:val="002F6869"/>
    <w:rsid w:val="00300238"/>
    <w:rsid w:val="003016F5"/>
    <w:rsid w:val="003023C3"/>
    <w:rsid w:val="00302790"/>
    <w:rsid w:val="00305AD1"/>
    <w:rsid w:val="00306B95"/>
    <w:rsid w:val="003070FF"/>
    <w:rsid w:val="003115E4"/>
    <w:rsid w:val="0031347A"/>
    <w:rsid w:val="00314EF6"/>
    <w:rsid w:val="003169F6"/>
    <w:rsid w:val="00320DFD"/>
    <w:rsid w:val="003249D3"/>
    <w:rsid w:val="00326C78"/>
    <w:rsid w:val="003275FA"/>
    <w:rsid w:val="00327F02"/>
    <w:rsid w:val="0033346A"/>
    <w:rsid w:val="003355E6"/>
    <w:rsid w:val="0033718E"/>
    <w:rsid w:val="0034158B"/>
    <w:rsid w:val="003415B4"/>
    <w:rsid w:val="003427BC"/>
    <w:rsid w:val="00344928"/>
    <w:rsid w:val="00347A47"/>
    <w:rsid w:val="003510CE"/>
    <w:rsid w:val="0035405F"/>
    <w:rsid w:val="003559B0"/>
    <w:rsid w:val="00355C01"/>
    <w:rsid w:val="003568F1"/>
    <w:rsid w:val="00356A36"/>
    <w:rsid w:val="00357C76"/>
    <w:rsid w:val="00363F45"/>
    <w:rsid w:val="0036525B"/>
    <w:rsid w:val="00367E02"/>
    <w:rsid w:val="003700B6"/>
    <w:rsid w:val="00371E5B"/>
    <w:rsid w:val="00372395"/>
    <w:rsid w:val="003742F0"/>
    <w:rsid w:val="00375687"/>
    <w:rsid w:val="00376480"/>
    <w:rsid w:val="00387517"/>
    <w:rsid w:val="003910B3"/>
    <w:rsid w:val="0039472C"/>
    <w:rsid w:val="00395CF6"/>
    <w:rsid w:val="00397412"/>
    <w:rsid w:val="00397417"/>
    <w:rsid w:val="003A1858"/>
    <w:rsid w:val="003A1FC2"/>
    <w:rsid w:val="003A7D7D"/>
    <w:rsid w:val="003B54F9"/>
    <w:rsid w:val="003B7D54"/>
    <w:rsid w:val="003C0C1E"/>
    <w:rsid w:val="003C14FE"/>
    <w:rsid w:val="003C3B6F"/>
    <w:rsid w:val="003C4E5B"/>
    <w:rsid w:val="003C5A25"/>
    <w:rsid w:val="003C650E"/>
    <w:rsid w:val="003C7940"/>
    <w:rsid w:val="003D0DE6"/>
    <w:rsid w:val="003D7A02"/>
    <w:rsid w:val="003D7EC4"/>
    <w:rsid w:val="003E1F86"/>
    <w:rsid w:val="003E38CE"/>
    <w:rsid w:val="003E3DA1"/>
    <w:rsid w:val="003E4E27"/>
    <w:rsid w:val="003E7664"/>
    <w:rsid w:val="003E7B84"/>
    <w:rsid w:val="003E7DBE"/>
    <w:rsid w:val="003F1D03"/>
    <w:rsid w:val="003F2FC0"/>
    <w:rsid w:val="0040494C"/>
    <w:rsid w:val="00405A02"/>
    <w:rsid w:val="004064DF"/>
    <w:rsid w:val="00406AD8"/>
    <w:rsid w:val="00412D65"/>
    <w:rsid w:val="00412E06"/>
    <w:rsid w:val="0041344D"/>
    <w:rsid w:val="00414895"/>
    <w:rsid w:val="00415EB5"/>
    <w:rsid w:val="0042032E"/>
    <w:rsid w:val="00422D8B"/>
    <w:rsid w:val="00423500"/>
    <w:rsid w:val="004265C5"/>
    <w:rsid w:val="00426D84"/>
    <w:rsid w:val="0043011D"/>
    <w:rsid w:val="0043278C"/>
    <w:rsid w:val="0043482E"/>
    <w:rsid w:val="004348BF"/>
    <w:rsid w:val="00435D8F"/>
    <w:rsid w:val="00437BC8"/>
    <w:rsid w:val="00440D96"/>
    <w:rsid w:val="00441802"/>
    <w:rsid w:val="004462D5"/>
    <w:rsid w:val="00446768"/>
    <w:rsid w:val="0044748A"/>
    <w:rsid w:val="00447C60"/>
    <w:rsid w:val="00455122"/>
    <w:rsid w:val="0045637C"/>
    <w:rsid w:val="00460879"/>
    <w:rsid w:val="00461651"/>
    <w:rsid w:val="00465C0A"/>
    <w:rsid w:val="004667E2"/>
    <w:rsid w:val="004711AC"/>
    <w:rsid w:val="00471449"/>
    <w:rsid w:val="00472A43"/>
    <w:rsid w:val="0047438F"/>
    <w:rsid w:val="00475BE8"/>
    <w:rsid w:val="004778BC"/>
    <w:rsid w:val="0048047F"/>
    <w:rsid w:val="0048296A"/>
    <w:rsid w:val="00484B3C"/>
    <w:rsid w:val="004850D0"/>
    <w:rsid w:val="004910A8"/>
    <w:rsid w:val="00491738"/>
    <w:rsid w:val="00495288"/>
    <w:rsid w:val="00496CD2"/>
    <w:rsid w:val="004A2CC8"/>
    <w:rsid w:val="004A33F6"/>
    <w:rsid w:val="004A3481"/>
    <w:rsid w:val="004A3B64"/>
    <w:rsid w:val="004A436F"/>
    <w:rsid w:val="004A54D3"/>
    <w:rsid w:val="004B3EC6"/>
    <w:rsid w:val="004B44A7"/>
    <w:rsid w:val="004B4946"/>
    <w:rsid w:val="004C4550"/>
    <w:rsid w:val="004C48AB"/>
    <w:rsid w:val="004C6AE1"/>
    <w:rsid w:val="004C7E4E"/>
    <w:rsid w:val="004D6D5C"/>
    <w:rsid w:val="004D7C93"/>
    <w:rsid w:val="004E1198"/>
    <w:rsid w:val="004E1774"/>
    <w:rsid w:val="004E6A43"/>
    <w:rsid w:val="004E6F72"/>
    <w:rsid w:val="004F31E7"/>
    <w:rsid w:val="004F4735"/>
    <w:rsid w:val="004F5392"/>
    <w:rsid w:val="004F7FED"/>
    <w:rsid w:val="00500A36"/>
    <w:rsid w:val="00501B0F"/>
    <w:rsid w:val="00515854"/>
    <w:rsid w:val="0051716E"/>
    <w:rsid w:val="00517A65"/>
    <w:rsid w:val="00521B8D"/>
    <w:rsid w:val="0052267F"/>
    <w:rsid w:val="00522BCF"/>
    <w:rsid w:val="00523563"/>
    <w:rsid w:val="00523FBB"/>
    <w:rsid w:val="00531F8F"/>
    <w:rsid w:val="00534623"/>
    <w:rsid w:val="00537C03"/>
    <w:rsid w:val="00541246"/>
    <w:rsid w:val="00544B8B"/>
    <w:rsid w:val="0054541C"/>
    <w:rsid w:val="00545AB4"/>
    <w:rsid w:val="005465E1"/>
    <w:rsid w:val="005476F1"/>
    <w:rsid w:val="00547B15"/>
    <w:rsid w:val="00547D78"/>
    <w:rsid w:val="00552DAB"/>
    <w:rsid w:val="005552B3"/>
    <w:rsid w:val="005571DB"/>
    <w:rsid w:val="00557CF3"/>
    <w:rsid w:val="00560D6F"/>
    <w:rsid w:val="00565D7D"/>
    <w:rsid w:val="00566744"/>
    <w:rsid w:val="00567FAD"/>
    <w:rsid w:val="00574323"/>
    <w:rsid w:val="00576AD3"/>
    <w:rsid w:val="0059124D"/>
    <w:rsid w:val="00592BEE"/>
    <w:rsid w:val="00594656"/>
    <w:rsid w:val="00594D6C"/>
    <w:rsid w:val="005A04B5"/>
    <w:rsid w:val="005A1DCE"/>
    <w:rsid w:val="005A1FF4"/>
    <w:rsid w:val="005A42DE"/>
    <w:rsid w:val="005A6B58"/>
    <w:rsid w:val="005A7823"/>
    <w:rsid w:val="005B6D7A"/>
    <w:rsid w:val="005B6DF1"/>
    <w:rsid w:val="005C0995"/>
    <w:rsid w:val="005C1150"/>
    <w:rsid w:val="005C2365"/>
    <w:rsid w:val="005C4417"/>
    <w:rsid w:val="005D2FD6"/>
    <w:rsid w:val="005D3890"/>
    <w:rsid w:val="005D6A72"/>
    <w:rsid w:val="005E0312"/>
    <w:rsid w:val="005E1720"/>
    <w:rsid w:val="005E490D"/>
    <w:rsid w:val="005E7EE4"/>
    <w:rsid w:val="00602CB4"/>
    <w:rsid w:val="006032AA"/>
    <w:rsid w:val="00604164"/>
    <w:rsid w:val="006079FB"/>
    <w:rsid w:val="00611F42"/>
    <w:rsid w:val="00613229"/>
    <w:rsid w:val="0061401C"/>
    <w:rsid w:val="00614678"/>
    <w:rsid w:val="00616B59"/>
    <w:rsid w:val="00617F9D"/>
    <w:rsid w:val="00620074"/>
    <w:rsid w:val="00622E95"/>
    <w:rsid w:val="00624F16"/>
    <w:rsid w:val="0062508C"/>
    <w:rsid w:val="00625159"/>
    <w:rsid w:val="00626166"/>
    <w:rsid w:val="006306E7"/>
    <w:rsid w:val="0063091A"/>
    <w:rsid w:val="0063181D"/>
    <w:rsid w:val="00641E12"/>
    <w:rsid w:val="00642788"/>
    <w:rsid w:val="00647D64"/>
    <w:rsid w:val="00650E44"/>
    <w:rsid w:val="006533DF"/>
    <w:rsid w:val="00653731"/>
    <w:rsid w:val="006553E1"/>
    <w:rsid w:val="00655B3C"/>
    <w:rsid w:val="00663CE0"/>
    <w:rsid w:val="006660D1"/>
    <w:rsid w:val="0067020F"/>
    <w:rsid w:val="00670878"/>
    <w:rsid w:val="00670E77"/>
    <w:rsid w:val="00671547"/>
    <w:rsid w:val="00672010"/>
    <w:rsid w:val="00673903"/>
    <w:rsid w:val="006759D1"/>
    <w:rsid w:val="00677E4D"/>
    <w:rsid w:val="00677FFA"/>
    <w:rsid w:val="00680F40"/>
    <w:rsid w:val="006814C7"/>
    <w:rsid w:val="00683082"/>
    <w:rsid w:val="00685847"/>
    <w:rsid w:val="00690093"/>
    <w:rsid w:val="006936FE"/>
    <w:rsid w:val="00693D59"/>
    <w:rsid w:val="00695EBF"/>
    <w:rsid w:val="00697602"/>
    <w:rsid w:val="006A13A8"/>
    <w:rsid w:val="006A3CFD"/>
    <w:rsid w:val="006A719B"/>
    <w:rsid w:val="006B075B"/>
    <w:rsid w:val="006B1B06"/>
    <w:rsid w:val="006B391F"/>
    <w:rsid w:val="006B6DA4"/>
    <w:rsid w:val="006B7C03"/>
    <w:rsid w:val="006B7C09"/>
    <w:rsid w:val="006D12F0"/>
    <w:rsid w:val="006D1F48"/>
    <w:rsid w:val="006D20AD"/>
    <w:rsid w:val="006D6937"/>
    <w:rsid w:val="006E2F0E"/>
    <w:rsid w:val="006E3E3B"/>
    <w:rsid w:val="006E6901"/>
    <w:rsid w:val="006E77AE"/>
    <w:rsid w:val="006F1FC0"/>
    <w:rsid w:val="006F3F8D"/>
    <w:rsid w:val="006F5A12"/>
    <w:rsid w:val="006F69C4"/>
    <w:rsid w:val="00700606"/>
    <w:rsid w:val="00707C89"/>
    <w:rsid w:val="00711D13"/>
    <w:rsid w:val="0071266C"/>
    <w:rsid w:val="00712C55"/>
    <w:rsid w:val="00714A14"/>
    <w:rsid w:val="00715339"/>
    <w:rsid w:val="00715D70"/>
    <w:rsid w:val="007172A1"/>
    <w:rsid w:val="007210DC"/>
    <w:rsid w:val="0072577D"/>
    <w:rsid w:val="00725E49"/>
    <w:rsid w:val="00726BE1"/>
    <w:rsid w:val="007302D9"/>
    <w:rsid w:val="007346D1"/>
    <w:rsid w:val="007360F4"/>
    <w:rsid w:val="00736191"/>
    <w:rsid w:val="007419CC"/>
    <w:rsid w:val="0074757C"/>
    <w:rsid w:val="007475F1"/>
    <w:rsid w:val="00747680"/>
    <w:rsid w:val="0075003F"/>
    <w:rsid w:val="00750596"/>
    <w:rsid w:val="00751A56"/>
    <w:rsid w:val="007525A0"/>
    <w:rsid w:val="00755B74"/>
    <w:rsid w:val="00760339"/>
    <w:rsid w:val="0076361D"/>
    <w:rsid w:val="0076585A"/>
    <w:rsid w:val="00771D32"/>
    <w:rsid w:val="00773A7C"/>
    <w:rsid w:val="00773DCC"/>
    <w:rsid w:val="0077578C"/>
    <w:rsid w:val="00776597"/>
    <w:rsid w:val="00777B8D"/>
    <w:rsid w:val="00781564"/>
    <w:rsid w:val="007835B5"/>
    <w:rsid w:val="00783F8D"/>
    <w:rsid w:val="00787FDB"/>
    <w:rsid w:val="00790ADE"/>
    <w:rsid w:val="00792076"/>
    <w:rsid w:val="00793146"/>
    <w:rsid w:val="007950B1"/>
    <w:rsid w:val="007951F6"/>
    <w:rsid w:val="007A3D59"/>
    <w:rsid w:val="007B0598"/>
    <w:rsid w:val="007B1CC3"/>
    <w:rsid w:val="007B388D"/>
    <w:rsid w:val="007B5485"/>
    <w:rsid w:val="007B640E"/>
    <w:rsid w:val="007C0341"/>
    <w:rsid w:val="007C14BD"/>
    <w:rsid w:val="007C3D42"/>
    <w:rsid w:val="007C3DEF"/>
    <w:rsid w:val="007D17D5"/>
    <w:rsid w:val="007D31F7"/>
    <w:rsid w:val="007D40E4"/>
    <w:rsid w:val="007D7957"/>
    <w:rsid w:val="007E1E36"/>
    <w:rsid w:val="007E1ECF"/>
    <w:rsid w:val="007F08E5"/>
    <w:rsid w:val="007F2D48"/>
    <w:rsid w:val="007F7434"/>
    <w:rsid w:val="007F74F6"/>
    <w:rsid w:val="0080101D"/>
    <w:rsid w:val="00801D90"/>
    <w:rsid w:val="008025B8"/>
    <w:rsid w:val="00804C3E"/>
    <w:rsid w:val="00805868"/>
    <w:rsid w:val="00806AD8"/>
    <w:rsid w:val="0080759F"/>
    <w:rsid w:val="00813AD2"/>
    <w:rsid w:val="00814B47"/>
    <w:rsid w:val="0081635E"/>
    <w:rsid w:val="008175BC"/>
    <w:rsid w:val="00820569"/>
    <w:rsid w:val="00821DB0"/>
    <w:rsid w:val="00827C68"/>
    <w:rsid w:val="00830B63"/>
    <w:rsid w:val="0083450D"/>
    <w:rsid w:val="008360F1"/>
    <w:rsid w:val="0083661B"/>
    <w:rsid w:val="00837D12"/>
    <w:rsid w:val="00840EA0"/>
    <w:rsid w:val="00841718"/>
    <w:rsid w:val="008434A8"/>
    <w:rsid w:val="00850D54"/>
    <w:rsid w:val="00851B03"/>
    <w:rsid w:val="008527DE"/>
    <w:rsid w:val="00852C8C"/>
    <w:rsid w:val="0085488D"/>
    <w:rsid w:val="0085639F"/>
    <w:rsid w:val="00870058"/>
    <w:rsid w:val="00870B6F"/>
    <w:rsid w:val="008721A2"/>
    <w:rsid w:val="0087251E"/>
    <w:rsid w:val="008739EF"/>
    <w:rsid w:val="00875FC2"/>
    <w:rsid w:val="00890313"/>
    <w:rsid w:val="008915F5"/>
    <w:rsid w:val="0089652E"/>
    <w:rsid w:val="008966E4"/>
    <w:rsid w:val="0089683F"/>
    <w:rsid w:val="00896B6C"/>
    <w:rsid w:val="0089716D"/>
    <w:rsid w:val="00897E4B"/>
    <w:rsid w:val="008A2DAC"/>
    <w:rsid w:val="008A44D7"/>
    <w:rsid w:val="008B278D"/>
    <w:rsid w:val="008B450C"/>
    <w:rsid w:val="008B4ABA"/>
    <w:rsid w:val="008B4CEB"/>
    <w:rsid w:val="008C10C0"/>
    <w:rsid w:val="008C16BF"/>
    <w:rsid w:val="008C1B4E"/>
    <w:rsid w:val="008C2024"/>
    <w:rsid w:val="008C22B0"/>
    <w:rsid w:val="008C47EC"/>
    <w:rsid w:val="008C49E2"/>
    <w:rsid w:val="008C4B13"/>
    <w:rsid w:val="008C5B80"/>
    <w:rsid w:val="008C5D2D"/>
    <w:rsid w:val="008C662B"/>
    <w:rsid w:val="008D2CB1"/>
    <w:rsid w:val="008D4D52"/>
    <w:rsid w:val="008D71EE"/>
    <w:rsid w:val="008D7C87"/>
    <w:rsid w:val="008E3A29"/>
    <w:rsid w:val="008E3E1E"/>
    <w:rsid w:val="008E41E9"/>
    <w:rsid w:val="008E7A82"/>
    <w:rsid w:val="008E7FEC"/>
    <w:rsid w:val="008F01B4"/>
    <w:rsid w:val="008F055D"/>
    <w:rsid w:val="008F0C63"/>
    <w:rsid w:val="008F1607"/>
    <w:rsid w:val="008F4552"/>
    <w:rsid w:val="009003C0"/>
    <w:rsid w:val="0090076C"/>
    <w:rsid w:val="009014D9"/>
    <w:rsid w:val="00901778"/>
    <w:rsid w:val="009021E2"/>
    <w:rsid w:val="00903661"/>
    <w:rsid w:val="00904A7F"/>
    <w:rsid w:val="009066AB"/>
    <w:rsid w:val="009131FA"/>
    <w:rsid w:val="00913ED4"/>
    <w:rsid w:val="009151EB"/>
    <w:rsid w:val="009204C3"/>
    <w:rsid w:val="00922AEE"/>
    <w:rsid w:val="00925C5B"/>
    <w:rsid w:val="00930BEB"/>
    <w:rsid w:val="0093107B"/>
    <w:rsid w:val="009312EF"/>
    <w:rsid w:val="0093245A"/>
    <w:rsid w:val="009344B0"/>
    <w:rsid w:val="0093725B"/>
    <w:rsid w:val="009440EB"/>
    <w:rsid w:val="0094447A"/>
    <w:rsid w:val="00954C3C"/>
    <w:rsid w:val="00961103"/>
    <w:rsid w:val="00962621"/>
    <w:rsid w:val="00963EA6"/>
    <w:rsid w:val="009674B4"/>
    <w:rsid w:val="009719C8"/>
    <w:rsid w:val="00971B7E"/>
    <w:rsid w:val="009735D1"/>
    <w:rsid w:val="00980B9A"/>
    <w:rsid w:val="00980C57"/>
    <w:rsid w:val="00983A4A"/>
    <w:rsid w:val="009852F6"/>
    <w:rsid w:val="00985B56"/>
    <w:rsid w:val="00987141"/>
    <w:rsid w:val="00992699"/>
    <w:rsid w:val="00993D19"/>
    <w:rsid w:val="009960B8"/>
    <w:rsid w:val="009A28B9"/>
    <w:rsid w:val="009A45F8"/>
    <w:rsid w:val="009A4BB5"/>
    <w:rsid w:val="009A5E03"/>
    <w:rsid w:val="009B0042"/>
    <w:rsid w:val="009B0455"/>
    <w:rsid w:val="009C0358"/>
    <w:rsid w:val="009C3966"/>
    <w:rsid w:val="009C3A54"/>
    <w:rsid w:val="009D4205"/>
    <w:rsid w:val="009D52DF"/>
    <w:rsid w:val="009D550D"/>
    <w:rsid w:val="009D560A"/>
    <w:rsid w:val="009E09CB"/>
    <w:rsid w:val="009E4653"/>
    <w:rsid w:val="009E5E37"/>
    <w:rsid w:val="009E7469"/>
    <w:rsid w:val="009E7A76"/>
    <w:rsid w:val="009E7CB1"/>
    <w:rsid w:val="009F2D40"/>
    <w:rsid w:val="009F2E4F"/>
    <w:rsid w:val="009F33C2"/>
    <w:rsid w:val="009F3AB1"/>
    <w:rsid w:val="00A00DFD"/>
    <w:rsid w:val="00A016AB"/>
    <w:rsid w:val="00A13AA5"/>
    <w:rsid w:val="00A14B5A"/>
    <w:rsid w:val="00A16730"/>
    <w:rsid w:val="00A16E13"/>
    <w:rsid w:val="00A205C8"/>
    <w:rsid w:val="00A210BF"/>
    <w:rsid w:val="00A3034F"/>
    <w:rsid w:val="00A30E9D"/>
    <w:rsid w:val="00A31786"/>
    <w:rsid w:val="00A31B1B"/>
    <w:rsid w:val="00A33B8F"/>
    <w:rsid w:val="00A342C9"/>
    <w:rsid w:val="00A36D46"/>
    <w:rsid w:val="00A37ACD"/>
    <w:rsid w:val="00A46791"/>
    <w:rsid w:val="00A46F7A"/>
    <w:rsid w:val="00A51471"/>
    <w:rsid w:val="00A5197A"/>
    <w:rsid w:val="00A534F9"/>
    <w:rsid w:val="00A56933"/>
    <w:rsid w:val="00A611AB"/>
    <w:rsid w:val="00A635D9"/>
    <w:rsid w:val="00A63AE8"/>
    <w:rsid w:val="00A640EC"/>
    <w:rsid w:val="00A64E09"/>
    <w:rsid w:val="00A66611"/>
    <w:rsid w:val="00A709AF"/>
    <w:rsid w:val="00A70B6B"/>
    <w:rsid w:val="00A7109D"/>
    <w:rsid w:val="00A71561"/>
    <w:rsid w:val="00A718B2"/>
    <w:rsid w:val="00A81EBD"/>
    <w:rsid w:val="00A83CC5"/>
    <w:rsid w:val="00A865CC"/>
    <w:rsid w:val="00A8795F"/>
    <w:rsid w:val="00A87979"/>
    <w:rsid w:val="00A91F13"/>
    <w:rsid w:val="00A96B2C"/>
    <w:rsid w:val="00AA070D"/>
    <w:rsid w:val="00AA1A62"/>
    <w:rsid w:val="00AA1BE4"/>
    <w:rsid w:val="00AA2194"/>
    <w:rsid w:val="00AA2797"/>
    <w:rsid w:val="00AA5246"/>
    <w:rsid w:val="00AA5313"/>
    <w:rsid w:val="00AA6966"/>
    <w:rsid w:val="00AA71CD"/>
    <w:rsid w:val="00AB18CD"/>
    <w:rsid w:val="00AB2549"/>
    <w:rsid w:val="00AB355C"/>
    <w:rsid w:val="00AB3673"/>
    <w:rsid w:val="00AB3CD1"/>
    <w:rsid w:val="00AC0F87"/>
    <w:rsid w:val="00AC3333"/>
    <w:rsid w:val="00AC49C3"/>
    <w:rsid w:val="00AC60CB"/>
    <w:rsid w:val="00AD00F3"/>
    <w:rsid w:val="00AD3B45"/>
    <w:rsid w:val="00AD4B97"/>
    <w:rsid w:val="00AD4FFB"/>
    <w:rsid w:val="00AD5AEF"/>
    <w:rsid w:val="00AD6919"/>
    <w:rsid w:val="00AE2B02"/>
    <w:rsid w:val="00AE5569"/>
    <w:rsid w:val="00AE77B5"/>
    <w:rsid w:val="00AF0DB5"/>
    <w:rsid w:val="00AF5DE3"/>
    <w:rsid w:val="00AF7DE9"/>
    <w:rsid w:val="00B001AA"/>
    <w:rsid w:val="00B0162F"/>
    <w:rsid w:val="00B016CE"/>
    <w:rsid w:val="00B0671F"/>
    <w:rsid w:val="00B1445D"/>
    <w:rsid w:val="00B16D49"/>
    <w:rsid w:val="00B2458E"/>
    <w:rsid w:val="00B25687"/>
    <w:rsid w:val="00B363A4"/>
    <w:rsid w:val="00B37FC0"/>
    <w:rsid w:val="00B401FA"/>
    <w:rsid w:val="00B44D1E"/>
    <w:rsid w:val="00B46025"/>
    <w:rsid w:val="00B467E4"/>
    <w:rsid w:val="00B479D9"/>
    <w:rsid w:val="00B50232"/>
    <w:rsid w:val="00B56AA0"/>
    <w:rsid w:val="00B60B1F"/>
    <w:rsid w:val="00B60FD3"/>
    <w:rsid w:val="00B62C7B"/>
    <w:rsid w:val="00B64007"/>
    <w:rsid w:val="00B705BF"/>
    <w:rsid w:val="00B708B1"/>
    <w:rsid w:val="00B724F6"/>
    <w:rsid w:val="00B72FEA"/>
    <w:rsid w:val="00B74FB4"/>
    <w:rsid w:val="00B7770E"/>
    <w:rsid w:val="00B81583"/>
    <w:rsid w:val="00B845A1"/>
    <w:rsid w:val="00B85667"/>
    <w:rsid w:val="00B869D8"/>
    <w:rsid w:val="00B90597"/>
    <w:rsid w:val="00B91009"/>
    <w:rsid w:val="00B92167"/>
    <w:rsid w:val="00B92C78"/>
    <w:rsid w:val="00B9372A"/>
    <w:rsid w:val="00B93851"/>
    <w:rsid w:val="00B93891"/>
    <w:rsid w:val="00B96231"/>
    <w:rsid w:val="00B976BA"/>
    <w:rsid w:val="00BA1CBE"/>
    <w:rsid w:val="00BA3D1E"/>
    <w:rsid w:val="00BA5D99"/>
    <w:rsid w:val="00BB14BE"/>
    <w:rsid w:val="00BB71E7"/>
    <w:rsid w:val="00BC1BAF"/>
    <w:rsid w:val="00BC3799"/>
    <w:rsid w:val="00BC44B1"/>
    <w:rsid w:val="00BC4E58"/>
    <w:rsid w:val="00BC75AC"/>
    <w:rsid w:val="00BE22D8"/>
    <w:rsid w:val="00BF0EB1"/>
    <w:rsid w:val="00BF44FA"/>
    <w:rsid w:val="00BF5884"/>
    <w:rsid w:val="00BF6313"/>
    <w:rsid w:val="00BF6BD3"/>
    <w:rsid w:val="00BF77BD"/>
    <w:rsid w:val="00C00CA6"/>
    <w:rsid w:val="00C04942"/>
    <w:rsid w:val="00C04B25"/>
    <w:rsid w:val="00C06B1B"/>
    <w:rsid w:val="00C07CDB"/>
    <w:rsid w:val="00C139FC"/>
    <w:rsid w:val="00C14593"/>
    <w:rsid w:val="00C1685C"/>
    <w:rsid w:val="00C1700C"/>
    <w:rsid w:val="00C20C40"/>
    <w:rsid w:val="00C22446"/>
    <w:rsid w:val="00C245B3"/>
    <w:rsid w:val="00C263C8"/>
    <w:rsid w:val="00C26B32"/>
    <w:rsid w:val="00C31003"/>
    <w:rsid w:val="00C31404"/>
    <w:rsid w:val="00C33C4C"/>
    <w:rsid w:val="00C36F16"/>
    <w:rsid w:val="00C404E0"/>
    <w:rsid w:val="00C41D9F"/>
    <w:rsid w:val="00C42918"/>
    <w:rsid w:val="00C440BD"/>
    <w:rsid w:val="00C456E5"/>
    <w:rsid w:val="00C50C93"/>
    <w:rsid w:val="00C52198"/>
    <w:rsid w:val="00C5240F"/>
    <w:rsid w:val="00C52915"/>
    <w:rsid w:val="00C5541B"/>
    <w:rsid w:val="00C60807"/>
    <w:rsid w:val="00C60AEB"/>
    <w:rsid w:val="00C60BEF"/>
    <w:rsid w:val="00C62071"/>
    <w:rsid w:val="00C6361B"/>
    <w:rsid w:val="00C63BDB"/>
    <w:rsid w:val="00C6708D"/>
    <w:rsid w:val="00C6748B"/>
    <w:rsid w:val="00C7067A"/>
    <w:rsid w:val="00C85ADA"/>
    <w:rsid w:val="00C90527"/>
    <w:rsid w:val="00C918A9"/>
    <w:rsid w:val="00C91D1A"/>
    <w:rsid w:val="00C93344"/>
    <w:rsid w:val="00C93D66"/>
    <w:rsid w:val="00C93FC5"/>
    <w:rsid w:val="00CB06A3"/>
    <w:rsid w:val="00CB1445"/>
    <w:rsid w:val="00CB29FB"/>
    <w:rsid w:val="00CB4BDA"/>
    <w:rsid w:val="00CC30C1"/>
    <w:rsid w:val="00CC3AFA"/>
    <w:rsid w:val="00CC3D00"/>
    <w:rsid w:val="00CC422F"/>
    <w:rsid w:val="00CC75A4"/>
    <w:rsid w:val="00CD61FE"/>
    <w:rsid w:val="00CD6638"/>
    <w:rsid w:val="00CD6BC9"/>
    <w:rsid w:val="00CE02C9"/>
    <w:rsid w:val="00CE4F2E"/>
    <w:rsid w:val="00CE559A"/>
    <w:rsid w:val="00CF3B4D"/>
    <w:rsid w:val="00CF3EA7"/>
    <w:rsid w:val="00CF5EEF"/>
    <w:rsid w:val="00CF6609"/>
    <w:rsid w:val="00CF7147"/>
    <w:rsid w:val="00CF7246"/>
    <w:rsid w:val="00D016A4"/>
    <w:rsid w:val="00D02388"/>
    <w:rsid w:val="00D026BD"/>
    <w:rsid w:val="00D02DDB"/>
    <w:rsid w:val="00D03864"/>
    <w:rsid w:val="00D05D00"/>
    <w:rsid w:val="00D06104"/>
    <w:rsid w:val="00D115DF"/>
    <w:rsid w:val="00D16656"/>
    <w:rsid w:val="00D17E6A"/>
    <w:rsid w:val="00D2132C"/>
    <w:rsid w:val="00D229AA"/>
    <w:rsid w:val="00D22A7E"/>
    <w:rsid w:val="00D35F9F"/>
    <w:rsid w:val="00D401F2"/>
    <w:rsid w:val="00D41435"/>
    <w:rsid w:val="00D419AF"/>
    <w:rsid w:val="00D44B7F"/>
    <w:rsid w:val="00D52529"/>
    <w:rsid w:val="00D549A0"/>
    <w:rsid w:val="00D54E05"/>
    <w:rsid w:val="00D54E3C"/>
    <w:rsid w:val="00D55815"/>
    <w:rsid w:val="00D5730B"/>
    <w:rsid w:val="00D57E60"/>
    <w:rsid w:val="00D61240"/>
    <w:rsid w:val="00D64762"/>
    <w:rsid w:val="00D65268"/>
    <w:rsid w:val="00D66ABA"/>
    <w:rsid w:val="00D7249C"/>
    <w:rsid w:val="00D739D3"/>
    <w:rsid w:val="00D73C4C"/>
    <w:rsid w:val="00D74CC2"/>
    <w:rsid w:val="00D7580F"/>
    <w:rsid w:val="00D77492"/>
    <w:rsid w:val="00D80DB2"/>
    <w:rsid w:val="00D8593D"/>
    <w:rsid w:val="00D871BF"/>
    <w:rsid w:val="00D90133"/>
    <w:rsid w:val="00D90DC7"/>
    <w:rsid w:val="00D93346"/>
    <w:rsid w:val="00D94F08"/>
    <w:rsid w:val="00DA071D"/>
    <w:rsid w:val="00DA4E09"/>
    <w:rsid w:val="00DA5345"/>
    <w:rsid w:val="00DA74A9"/>
    <w:rsid w:val="00DA7732"/>
    <w:rsid w:val="00DB3367"/>
    <w:rsid w:val="00DB64F0"/>
    <w:rsid w:val="00DB7BFD"/>
    <w:rsid w:val="00DC0A32"/>
    <w:rsid w:val="00DC0E03"/>
    <w:rsid w:val="00DD21AA"/>
    <w:rsid w:val="00DD3F2E"/>
    <w:rsid w:val="00DD5387"/>
    <w:rsid w:val="00DE0665"/>
    <w:rsid w:val="00DE130D"/>
    <w:rsid w:val="00DE1880"/>
    <w:rsid w:val="00DE1E31"/>
    <w:rsid w:val="00DE1E34"/>
    <w:rsid w:val="00DE3369"/>
    <w:rsid w:val="00DE4059"/>
    <w:rsid w:val="00DE7BA7"/>
    <w:rsid w:val="00DF0F9D"/>
    <w:rsid w:val="00DF2D97"/>
    <w:rsid w:val="00DF3CFC"/>
    <w:rsid w:val="00DF4D5C"/>
    <w:rsid w:val="00DF4EDF"/>
    <w:rsid w:val="00DF56EF"/>
    <w:rsid w:val="00DF64CD"/>
    <w:rsid w:val="00DF66FB"/>
    <w:rsid w:val="00DF67C7"/>
    <w:rsid w:val="00DF6902"/>
    <w:rsid w:val="00DF7D8B"/>
    <w:rsid w:val="00E01647"/>
    <w:rsid w:val="00E02992"/>
    <w:rsid w:val="00E04AA1"/>
    <w:rsid w:val="00E04AD9"/>
    <w:rsid w:val="00E0754C"/>
    <w:rsid w:val="00E1237D"/>
    <w:rsid w:val="00E12B2E"/>
    <w:rsid w:val="00E14253"/>
    <w:rsid w:val="00E14751"/>
    <w:rsid w:val="00E148A0"/>
    <w:rsid w:val="00E1540B"/>
    <w:rsid w:val="00E22CC1"/>
    <w:rsid w:val="00E23F9A"/>
    <w:rsid w:val="00E25C89"/>
    <w:rsid w:val="00E271B9"/>
    <w:rsid w:val="00E27380"/>
    <w:rsid w:val="00E32A74"/>
    <w:rsid w:val="00E330D1"/>
    <w:rsid w:val="00E40081"/>
    <w:rsid w:val="00E41D17"/>
    <w:rsid w:val="00E42013"/>
    <w:rsid w:val="00E4374D"/>
    <w:rsid w:val="00E5237A"/>
    <w:rsid w:val="00E54349"/>
    <w:rsid w:val="00E55EA3"/>
    <w:rsid w:val="00E56006"/>
    <w:rsid w:val="00E6186F"/>
    <w:rsid w:val="00E63B22"/>
    <w:rsid w:val="00E64E68"/>
    <w:rsid w:val="00E64EC5"/>
    <w:rsid w:val="00E714C8"/>
    <w:rsid w:val="00E805C2"/>
    <w:rsid w:val="00E8092B"/>
    <w:rsid w:val="00E849B3"/>
    <w:rsid w:val="00E90D3D"/>
    <w:rsid w:val="00E94759"/>
    <w:rsid w:val="00E96092"/>
    <w:rsid w:val="00E974A7"/>
    <w:rsid w:val="00EA0C14"/>
    <w:rsid w:val="00EA1D4F"/>
    <w:rsid w:val="00EA6D97"/>
    <w:rsid w:val="00EB3B69"/>
    <w:rsid w:val="00EC113A"/>
    <w:rsid w:val="00EC743A"/>
    <w:rsid w:val="00ED41EE"/>
    <w:rsid w:val="00ED464D"/>
    <w:rsid w:val="00ED51A5"/>
    <w:rsid w:val="00ED7406"/>
    <w:rsid w:val="00EE1118"/>
    <w:rsid w:val="00EE1972"/>
    <w:rsid w:val="00EE1EA3"/>
    <w:rsid w:val="00EE2A86"/>
    <w:rsid w:val="00EE3E9A"/>
    <w:rsid w:val="00EF3252"/>
    <w:rsid w:val="00EF32D3"/>
    <w:rsid w:val="00EF332D"/>
    <w:rsid w:val="00EF6246"/>
    <w:rsid w:val="00EF6D76"/>
    <w:rsid w:val="00EF6FFF"/>
    <w:rsid w:val="00EF7F4D"/>
    <w:rsid w:val="00F013D4"/>
    <w:rsid w:val="00F02996"/>
    <w:rsid w:val="00F17110"/>
    <w:rsid w:val="00F1713D"/>
    <w:rsid w:val="00F25370"/>
    <w:rsid w:val="00F274BC"/>
    <w:rsid w:val="00F302F7"/>
    <w:rsid w:val="00F30D31"/>
    <w:rsid w:val="00F31437"/>
    <w:rsid w:val="00F31A53"/>
    <w:rsid w:val="00F32860"/>
    <w:rsid w:val="00F349CE"/>
    <w:rsid w:val="00F36993"/>
    <w:rsid w:val="00F4454C"/>
    <w:rsid w:val="00F45509"/>
    <w:rsid w:val="00F46A5F"/>
    <w:rsid w:val="00F50748"/>
    <w:rsid w:val="00F53F6B"/>
    <w:rsid w:val="00F56918"/>
    <w:rsid w:val="00F57602"/>
    <w:rsid w:val="00F6071F"/>
    <w:rsid w:val="00F60E50"/>
    <w:rsid w:val="00F612C3"/>
    <w:rsid w:val="00F6169A"/>
    <w:rsid w:val="00F62C05"/>
    <w:rsid w:val="00F63C0E"/>
    <w:rsid w:val="00F65C33"/>
    <w:rsid w:val="00F6637C"/>
    <w:rsid w:val="00F6654D"/>
    <w:rsid w:val="00F724F1"/>
    <w:rsid w:val="00F743CE"/>
    <w:rsid w:val="00F773DD"/>
    <w:rsid w:val="00F83BC7"/>
    <w:rsid w:val="00F8614E"/>
    <w:rsid w:val="00F9593B"/>
    <w:rsid w:val="00FA0718"/>
    <w:rsid w:val="00FA765D"/>
    <w:rsid w:val="00FA7FBF"/>
    <w:rsid w:val="00FB702C"/>
    <w:rsid w:val="00FB705E"/>
    <w:rsid w:val="00FC14C0"/>
    <w:rsid w:val="00FC2AA9"/>
    <w:rsid w:val="00FC7A8E"/>
    <w:rsid w:val="00FD0488"/>
    <w:rsid w:val="00FD13DE"/>
    <w:rsid w:val="00FD4447"/>
    <w:rsid w:val="00FD51C8"/>
    <w:rsid w:val="00FE008A"/>
    <w:rsid w:val="00FE0470"/>
    <w:rsid w:val="00FE10EB"/>
    <w:rsid w:val="00FE55CB"/>
    <w:rsid w:val="00FF0A1C"/>
    <w:rsid w:val="00FF1F56"/>
    <w:rsid w:val="00FF28AE"/>
    <w:rsid w:val="00FF3134"/>
    <w:rsid w:val="00FF7118"/>
    <w:rsid w:val="00FF72B5"/>
    <w:rsid w:val="00FF7B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7B1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ody Text"/>
    <w:basedOn w:val="a"/>
    <w:link w:val="aa"/>
    <w:rsid w:val="00DC0A32"/>
    <w:pPr>
      <w:jc w:val="both"/>
    </w:pPr>
  </w:style>
  <w:style w:type="character" w:customStyle="1" w:styleId="aa">
    <w:name w:val="Основной текст Знак"/>
    <w:basedOn w:val="a0"/>
    <w:link w:val="a9"/>
    <w:rsid w:val="00DC0A32"/>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C00CA6"/>
    <w:pPr>
      <w:tabs>
        <w:tab w:val="center" w:pos="4677"/>
        <w:tab w:val="right" w:pos="9355"/>
      </w:tabs>
    </w:pPr>
  </w:style>
  <w:style w:type="character" w:customStyle="1" w:styleId="ac">
    <w:name w:val="Верхний колонтитул Знак"/>
    <w:basedOn w:val="a0"/>
    <w:link w:val="ab"/>
    <w:uiPriority w:val="99"/>
    <w:rsid w:val="00C00CA6"/>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166DFC"/>
    <w:rPr>
      <w:rFonts w:ascii="Tahoma" w:hAnsi="Tahoma" w:cs="Tahoma"/>
      <w:sz w:val="16"/>
      <w:szCs w:val="16"/>
    </w:rPr>
  </w:style>
  <w:style w:type="character" w:customStyle="1" w:styleId="ae">
    <w:name w:val="Текст выноски Знак"/>
    <w:basedOn w:val="a0"/>
    <w:link w:val="ad"/>
    <w:uiPriority w:val="99"/>
    <w:semiHidden/>
    <w:rsid w:val="00166DFC"/>
    <w:rPr>
      <w:rFonts w:ascii="Tahoma" w:eastAsia="Times New Roman" w:hAnsi="Tahoma" w:cs="Tahoma"/>
      <w:sz w:val="16"/>
      <w:szCs w:val="16"/>
      <w:lang w:eastAsia="ru-RU"/>
    </w:rPr>
  </w:style>
  <w:style w:type="paragraph" w:styleId="af">
    <w:name w:val="List Paragraph"/>
    <w:basedOn w:val="a"/>
    <w:uiPriority w:val="34"/>
    <w:qFormat/>
    <w:rsid w:val="00547B15"/>
    <w:pPr>
      <w:ind w:left="720"/>
      <w:contextualSpacing/>
    </w:pPr>
  </w:style>
  <w:style w:type="paragraph" w:customStyle="1" w:styleId="ConsPlusNonformat">
    <w:name w:val="ConsPlusNonformat"/>
    <w:uiPriority w:val="99"/>
    <w:rsid w:val="00D5581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character" w:customStyle="1" w:styleId="a7">
    <w:name w:val="Без интервала Знак"/>
    <w:link w:val="a6"/>
    <w:uiPriority w:val="1"/>
    <w:rsid w:val="003B54F9"/>
    <w:rPr>
      <w:rFonts w:ascii="Times New Roman" w:eastAsia="Times New Roman" w:hAnsi="Times New Roman" w:cs="Times New Roman"/>
      <w:sz w:val="24"/>
      <w:szCs w:val="24"/>
      <w:lang w:eastAsia="ru-RU"/>
    </w:rPr>
  </w:style>
  <w:style w:type="table" w:customStyle="1" w:styleId="1">
    <w:name w:val="Сетка таблицы1"/>
    <w:basedOn w:val="a1"/>
    <w:next w:val="a8"/>
    <w:uiPriority w:val="59"/>
    <w:rsid w:val="00314E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oken">
    <w:name w:val="token"/>
    <w:basedOn w:val="a0"/>
    <w:rsid w:val="003169F6"/>
  </w:style>
  <w:style w:type="paragraph" w:customStyle="1" w:styleId="ConsPlusNormal">
    <w:name w:val="ConsPlusNormal"/>
    <w:rsid w:val="00C52915"/>
    <w:pPr>
      <w:widowControl w:val="0"/>
      <w:autoSpaceDE w:val="0"/>
      <w:autoSpaceDN w:val="0"/>
      <w:spacing w:after="0" w:line="240" w:lineRule="auto"/>
    </w:pPr>
    <w:rPr>
      <w:rFonts w:ascii="Times New Roman" w:eastAsia="Times New Roman" w:hAnsi="Times New Roman" w:cs="Times New Roman"/>
      <w:sz w:val="24"/>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7B1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ody Text"/>
    <w:basedOn w:val="a"/>
    <w:link w:val="aa"/>
    <w:rsid w:val="00DC0A32"/>
    <w:pPr>
      <w:jc w:val="both"/>
    </w:pPr>
  </w:style>
  <w:style w:type="character" w:customStyle="1" w:styleId="aa">
    <w:name w:val="Основной текст Знак"/>
    <w:basedOn w:val="a0"/>
    <w:link w:val="a9"/>
    <w:rsid w:val="00DC0A32"/>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C00CA6"/>
    <w:pPr>
      <w:tabs>
        <w:tab w:val="center" w:pos="4677"/>
        <w:tab w:val="right" w:pos="9355"/>
      </w:tabs>
    </w:pPr>
  </w:style>
  <w:style w:type="character" w:customStyle="1" w:styleId="ac">
    <w:name w:val="Верхний колонтитул Знак"/>
    <w:basedOn w:val="a0"/>
    <w:link w:val="ab"/>
    <w:uiPriority w:val="99"/>
    <w:rsid w:val="00C00CA6"/>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166DFC"/>
    <w:rPr>
      <w:rFonts w:ascii="Tahoma" w:hAnsi="Tahoma" w:cs="Tahoma"/>
      <w:sz w:val="16"/>
      <w:szCs w:val="16"/>
    </w:rPr>
  </w:style>
  <w:style w:type="character" w:customStyle="1" w:styleId="ae">
    <w:name w:val="Текст выноски Знак"/>
    <w:basedOn w:val="a0"/>
    <w:link w:val="ad"/>
    <w:uiPriority w:val="99"/>
    <w:semiHidden/>
    <w:rsid w:val="00166DFC"/>
    <w:rPr>
      <w:rFonts w:ascii="Tahoma" w:eastAsia="Times New Roman" w:hAnsi="Tahoma" w:cs="Tahoma"/>
      <w:sz w:val="16"/>
      <w:szCs w:val="16"/>
      <w:lang w:eastAsia="ru-RU"/>
    </w:rPr>
  </w:style>
  <w:style w:type="paragraph" w:styleId="af">
    <w:name w:val="List Paragraph"/>
    <w:basedOn w:val="a"/>
    <w:uiPriority w:val="34"/>
    <w:qFormat/>
    <w:rsid w:val="00547B15"/>
    <w:pPr>
      <w:ind w:left="720"/>
      <w:contextualSpacing/>
    </w:pPr>
  </w:style>
  <w:style w:type="paragraph" w:customStyle="1" w:styleId="ConsPlusNonformat">
    <w:name w:val="ConsPlusNonformat"/>
    <w:uiPriority w:val="99"/>
    <w:rsid w:val="00D5581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character" w:customStyle="1" w:styleId="a7">
    <w:name w:val="Без интервала Знак"/>
    <w:link w:val="a6"/>
    <w:uiPriority w:val="1"/>
    <w:rsid w:val="003B54F9"/>
    <w:rPr>
      <w:rFonts w:ascii="Times New Roman" w:eastAsia="Times New Roman" w:hAnsi="Times New Roman" w:cs="Times New Roman"/>
      <w:sz w:val="24"/>
      <w:szCs w:val="24"/>
      <w:lang w:eastAsia="ru-RU"/>
    </w:rPr>
  </w:style>
  <w:style w:type="table" w:customStyle="1" w:styleId="1">
    <w:name w:val="Сетка таблицы1"/>
    <w:basedOn w:val="a1"/>
    <w:next w:val="a8"/>
    <w:uiPriority w:val="59"/>
    <w:rsid w:val="00314E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oken">
    <w:name w:val="token"/>
    <w:basedOn w:val="a0"/>
    <w:rsid w:val="003169F6"/>
  </w:style>
  <w:style w:type="paragraph" w:customStyle="1" w:styleId="ConsPlusNormal">
    <w:name w:val="ConsPlusNormal"/>
    <w:rsid w:val="00C52915"/>
    <w:pPr>
      <w:widowControl w:val="0"/>
      <w:autoSpaceDE w:val="0"/>
      <w:autoSpaceDN w:val="0"/>
      <w:spacing w:after="0" w:line="240" w:lineRule="auto"/>
    </w:pPr>
    <w:rPr>
      <w:rFonts w:ascii="Times New Roman" w:eastAsia="Times New Roman" w:hAnsi="Times New Roman" w:cs="Times New Roman"/>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193377">
      <w:bodyDiv w:val="1"/>
      <w:marLeft w:val="0"/>
      <w:marRight w:val="0"/>
      <w:marTop w:val="0"/>
      <w:marBottom w:val="0"/>
      <w:divBdr>
        <w:top w:val="none" w:sz="0" w:space="0" w:color="auto"/>
        <w:left w:val="none" w:sz="0" w:space="0" w:color="auto"/>
        <w:bottom w:val="none" w:sz="0" w:space="0" w:color="auto"/>
        <w:right w:val="none" w:sz="0" w:space="0" w:color="auto"/>
      </w:divBdr>
    </w:div>
    <w:div w:id="907231053">
      <w:bodyDiv w:val="1"/>
      <w:marLeft w:val="0"/>
      <w:marRight w:val="0"/>
      <w:marTop w:val="0"/>
      <w:marBottom w:val="0"/>
      <w:divBdr>
        <w:top w:val="none" w:sz="0" w:space="0" w:color="auto"/>
        <w:left w:val="none" w:sz="0" w:space="0" w:color="auto"/>
        <w:bottom w:val="none" w:sz="0" w:space="0" w:color="auto"/>
        <w:right w:val="none" w:sz="0" w:space="0" w:color="auto"/>
      </w:divBdr>
    </w:div>
    <w:div w:id="1571186904">
      <w:bodyDiv w:val="1"/>
      <w:marLeft w:val="0"/>
      <w:marRight w:val="0"/>
      <w:marTop w:val="0"/>
      <w:marBottom w:val="0"/>
      <w:divBdr>
        <w:top w:val="none" w:sz="0" w:space="0" w:color="auto"/>
        <w:left w:val="none" w:sz="0" w:space="0" w:color="auto"/>
        <w:bottom w:val="none" w:sz="0" w:space="0" w:color="auto"/>
        <w:right w:val="none" w:sz="0" w:space="0" w:color="auto"/>
      </w:divBdr>
    </w:div>
    <w:div w:id="192297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25C8B5-39E1-4D32-BB68-760EC8FB3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4065</Words>
  <Characters>23177</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jilina</dc:creator>
  <cp:lastModifiedBy>Vera Levchenko</cp:lastModifiedBy>
  <cp:revision>3</cp:revision>
  <cp:lastPrinted>2021-08-11T10:00:00Z</cp:lastPrinted>
  <dcterms:created xsi:type="dcterms:W3CDTF">2026-04-05T15:36:00Z</dcterms:created>
  <dcterms:modified xsi:type="dcterms:W3CDTF">2026-04-05T17:13:00Z</dcterms:modified>
  <dc:identifier/>
  <dc:language/>
</cp:coreProperties>
</file>