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РЕШЕНИЕ</w:t>
      </w:r>
    </w:p>
    <w:p>
      <w:pPr>
        <w:jc w:val="center"/>
      </w:pPr>
      <w:r>
        <w:t>о разрешении размещения объектов на землях</w:t>
      </w:r>
    </w:p>
    <w:p>
      <w:pPr>
        <w:jc w:val="center"/>
      </w:pPr>
      <w:r>
        <w:t>государственной или муниципальной собственности</w:t>
      </w:r>
    </w:p>
    <w:p/>
    <w:p>
      <w:r>
        <w:t>от {{OUT_DATE}}    № {{OUT_NUMBER}}</w:t>
      </w:r>
    </w:p>
    <w:p/>
    <w:p>
      <w:r>
        <w:t xml:space="preserve">В соответствии со статьей 39.36 Земельного кодекса Российской Федерации, Постановлением Правительства Российской Федерации от 03.12.2014 № 1300, Постановлением Коллегии Администрации Кемеровской области от 01.07.2015 № 213, рассмотрев заявление {{APPLICANT}} (ИНН: {{INN}}, ОГРН: {{OGRN}}) от {{APP_DATE}} № {{APP_NUMBER}}, </w:t>
      </w:r>
    </w:p>
    <w:p/>
    <w:p>
      <w:r>
        <w:t>РЕШИЛ:</w:t>
      </w:r>
    </w:p>
    <w:p/>
    <w:p>
      <w:r>
        <w:t>1. Разрешить размещение объекта «{{OBJECT_NAME}}» (вид объекта: {{OBJECT_TYPE}}) на земельном участке площадью {{AREA}} кв.м, расположенном по адресу (местоположение): {{LOCATION}}.</w:t>
      </w:r>
    </w:p>
    <w:p/>
    <w:p>
      <w:r>
        <w:t>2. Срок действия настоящего решения: {{TERM_MONTHS}} месяцев (до {{END_DATE}}).</w:t>
      </w:r>
    </w:p>
    <w:p/>
    <w:p>
      <w:r>
        <w:t>3. Настоящее решение является основанием для размещения объекта без предоставления земельного участка и установления сервитута.</w:t>
      </w:r>
    </w:p>
    <w:p/>
    <w:p>
      <w:r>
        <w:rPr>
          <w:b/>
        </w:rPr>
        <w:t>Результаты пространственного анализа:</w:t>
      </w:r>
    </w:p>
    <w:p>
      <w:r>
        <w:t>Кадастровые кварталы: {{QUARTERS}}</w:t>
      </w:r>
    </w:p>
    <w:p>
      <w:r>
        <w:t>Объекты капитального строительства:</w:t>
      </w:r>
    </w:p>
    <w:p>
      <w:r>
        <w:t>{% for obj in CAPITAL_OBJECTS_LIST %}</w:t>
      </w:r>
    </w:p>
    <w:p>
      <w:r>
        <w:t>- КН: {{obj.cadnum}}, тип: {{obj.type}}, адрес: {{obj.address}}</w:t>
      </w:r>
    </w:p>
    <w:p>
      <w:r>
        <w:t>{% endfor %}</w:t>
      </w:r>
    </w:p>
    <w:p>
      <w:r>
        <w:t>ЗОУИТ:</w:t>
      </w:r>
    </w:p>
    <w:p>
      <w:r>
        <w:t>{% for z in ZOUIT_LIST %}</w:t>
      </w:r>
    </w:p>
    <w:p>
      <w:r>
        <w:t>- {{z.registry_number}}: {{z.name}}</w:t>
      </w:r>
    </w:p>
    <w:p>
      <w:r>
        <w:t>{% endfor %}</w:t>
      </w:r>
    </w:p>
    <w:p>
      <w:r>
        <w:t>Красные линии:</w:t>
      </w:r>
    </w:p>
    <w:p>
      <w:r>
        <w:t>Площадь внутри красных линий: {{RED_LINES_INSIDE}} кв.м</w:t>
      </w:r>
    </w:p>
    <w:p>
      <w:r>
        <w:t>Площадь за пределами красных линий: {{RED_LINES_OUTSIDE}} кв.м</w:t>
      </w:r>
    </w:p>
    <w:p/>
    <w:p/>
    <w:p>
      <w:r>
        <w:t>{{POSITION}}</w:t>
      </w:r>
    </w:p>
    <w:p>
      <w:r>
        <w:t>{{SIGNATURE}}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