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740B" w:rsidRPr="00686E0F"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В соответствии со статьей 56 Правил землепользования и застройки Новокузнецкого городского округа, утвержденных решением Новокузнецкого городского Совета народных депутатов от 18.03.2025 №4/19 «Об утверждении Правил землепользования и застройки Новокузнецк</w:t>
      </w:r>
      <w:r w:rsidR="00686E0F">
        <w:rPr>
          <w:rFonts w:eastAsiaTheme="minorHAnsi"/>
          <w:szCs w:val="20"/>
          <w:lang w:eastAsia="en-US"/>
        </w:rPr>
        <w:t>ого городского округа»:</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1. В целях обеспечения безопасности населения вокруг объектов и производств, являющихся источниками воздействия на среду обитания и здоровье человека, устанавливается специальная территория с особым режимом использования - санитарно-защитная зона.</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2. Организация санитарно-защитных зон для предприятий и объектов, в том числе установление ограничений использования земельных участков и объектов капитального строительства, осуществляется в соответствии с требованиями СанПиН 2.2.1/2.1.1.1200-03 «Санитарно-защитные зоны и санитарная классификация предприятий, сооружений и иных объектов».</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 xml:space="preserve">3. Для промышленных объектов и производств, сооружений, являющихся источниками воздействия на среду обитания и здоровье человека, в зависимости от мощности, условий эксплуатации, характера и </w:t>
      </w:r>
      <w:proofErr w:type="gramStart"/>
      <w:r w:rsidRPr="00B43BDE">
        <w:rPr>
          <w:rFonts w:eastAsiaTheme="minorHAnsi"/>
          <w:szCs w:val="20"/>
          <w:lang w:eastAsia="en-US"/>
        </w:rPr>
        <w:t>количества</w:t>
      </w:r>
      <w:proofErr w:type="gramEnd"/>
      <w:r w:rsidRPr="00B43BDE">
        <w:rPr>
          <w:rFonts w:eastAsiaTheme="minorHAnsi"/>
          <w:szCs w:val="20"/>
          <w:lang w:eastAsia="en-US"/>
        </w:rPr>
        <w:t xml:space="preserve"> выделяемых в окружающую среду загрязняющих веществ, создаваемого шума, вибрации и других вредных физических факторов, а также с учетом предусматриваемых мер по уменьшению неблагоприятного влияния их на среду обитания и здоровье человека в соответствии с санитарной классификацией промышленных объектов и производств устанавливаются следующие ориентировочные размеры санитарно-защитных зон:</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первого класса - 1000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второго класса - 500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третьего класса - 300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четвертого класса - 100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промышленные объекты и производства пятого класса - 50 м.</w:t>
      </w:r>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 xml:space="preserve">4. </w:t>
      </w:r>
      <w:proofErr w:type="gramStart"/>
      <w:r w:rsidRPr="00B43BDE">
        <w:rPr>
          <w:rFonts w:eastAsiaTheme="minorHAnsi"/>
          <w:szCs w:val="20"/>
          <w:lang w:eastAsia="en-US"/>
        </w:rPr>
        <w:t>В санитарно-защитной зоне не допускается размещать жилую застройку, включая отдельные жилые дома, ландшафтно-рекреационные зоны, зоны отдыха, территории курортов, санаториев и домов отдыха, территории садоводческих товариществ и коттеджной застройки, коллективных или индивидуальных садово-огородных участков, а также другие территории с нормируемыми показателями качества среды обитания; спортивные сооружения, детские площадки, образовательные и детские учреждения, лечебно-профилактические и оздоровительные учреждения общего пользования.</w:t>
      </w:r>
      <w:proofErr w:type="gramEnd"/>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 xml:space="preserve">5. </w:t>
      </w:r>
      <w:proofErr w:type="gramStart"/>
      <w:r w:rsidRPr="00B43BDE">
        <w:rPr>
          <w:rFonts w:eastAsiaTheme="minorHAnsi"/>
          <w:szCs w:val="20"/>
          <w:lang w:eastAsia="en-US"/>
        </w:rPr>
        <w:t>В санитарно-защитной зоне и на территории объектов других отраслей промышленности не допускается размещать объекты по производству лекарственных веществ, лекарственных средств и (или) лекарственных форм, склады сырья и полупродуктов для фармацевтических предприятий; объекты пищевых отраслей промышленности, оптовые склады продовольственного сырья и пищевых продуктов, комплексы водопроводных сооружений для подготовки и хранения питьевой воды, которые могут повлиять на качество продукции.</w:t>
      </w:r>
      <w:proofErr w:type="gramEnd"/>
    </w:p>
    <w:p w:rsidR="003D740B" w:rsidRPr="00B43BDE" w:rsidRDefault="003D740B" w:rsidP="003D740B">
      <w:pPr>
        <w:autoSpaceDE w:val="0"/>
        <w:autoSpaceDN w:val="0"/>
        <w:adjustRightInd w:val="0"/>
        <w:ind w:firstLine="567"/>
        <w:jc w:val="both"/>
        <w:rPr>
          <w:rFonts w:eastAsiaTheme="minorHAnsi"/>
          <w:szCs w:val="20"/>
          <w:lang w:eastAsia="en-US"/>
        </w:rPr>
      </w:pPr>
      <w:r w:rsidRPr="00B43BDE">
        <w:rPr>
          <w:rFonts w:eastAsiaTheme="minorHAnsi"/>
          <w:szCs w:val="20"/>
          <w:lang w:eastAsia="en-US"/>
        </w:rPr>
        <w:t xml:space="preserve">6. </w:t>
      </w:r>
      <w:proofErr w:type="gramStart"/>
      <w:r w:rsidRPr="00B43BDE">
        <w:rPr>
          <w:rFonts w:eastAsiaTheme="minorHAnsi"/>
          <w:szCs w:val="20"/>
          <w:lang w:eastAsia="en-US"/>
        </w:rPr>
        <w:t>Допускается размещать в границах санитарно-защитной зоны промышленного объекта или производства нежилые помещения для дежурного аварийного персонала, помещения для пребывания работающих по вахтовому методу (не более двух недель), здания управления, конструкторские бюро, здания административного назначения, научно-исследовательские лаборатории, поликлиники, спортивно-оздоровительные сооружения закрытого типа, бани, прачечные, объекты торговли и общественного питания, мотели, гостиницы, гаражи, площадки и сооружения для хранения общественного и индивидуального транспорта</w:t>
      </w:r>
      <w:proofErr w:type="gramEnd"/>
      <w:r w:rsidRPr="00B43BDE">
        <w:rPr>
          <w:rFonts w:eastAsiaTheme="minorHAnsi"/>
          <w:szCs w:val="20"/>
          <w:lang w:eastAsia="en-US"/>
        </w:rPr>
        <w:t xml:space="preserve">, пожарные депо, местные и транзитные коммуникации, ЛЭП, электроподстанции, </w:t>
      </w:r>
      <w:proofErr w:type="spellStart"/>
      <w:r w:rsidRPr="00B43BDE">
        <w:rPr>
          <w:rFonts w:eastAsiaTheme="minorHAnsi"/>
          <w:szCs w:val="20"/>
          <w:lang w:eastAsia="en-US"/>
        </w:rPr>
        <w:t>нефте</w:t>
      </w:r>
      <w:proofErr w:type="spellEnd"/>
      <w:r w:rsidRPr="00B43BDE">
        <w:rPr>
          <w:rFonts w:eastAsiaTheme="minorHAnsi"/>
          <w:szCs w:val="20"/>
          <w:lang w:eastAsia="en-US"/>
        </w:rPr>
        <w:t xml:space="preserve">- и газопроводы, артезианские скважины для технического водоснабжения, </w:t>
      </w:r>
      <w:proofErr w:type="spellStart"/>
      <w:r w:rsidRPr="00B43BDE">
        <w:rPr>
          <w:rFonts w:eastAsiaTheme="minorHAnsi"/>
          <w:szCs w:val="20"/>
          <w:lang w:eastAsia="en-US"/>
        </w:rPr>
        <w:t>водоохлаждающие</w:t>
      </w:r>
      <w:proofErr w:type="spellEnd"/>
      <w:r w:rsidRPr="00B43BDE">
        <w:rPr>
          <w:rFonts w:eastAsiaTheme="minorHAnsi"/>
          <w:szCs w:val="20"/>
          <w:lang w:eastAsia="en-US"/>
        </w:rPr>
        <w:t xml:space="preserve"> сооружения для подготовки технической воды, канализационные насосные станции, сооружения оборотного </w:t>
      </w:r>
      <w:r w:rsidRPr="00B43BDE">
        <w:rPr>
          <w:rFonts w:eastAsiaTheme="minorHAnsi"/>
          <w:szCs w:val="20"/>
          <w:lang w:eastAsia="en-US"/>
        </w:rPr>
        <w:lastRenderedPageBreak/>
        <w:t>водоснабжения, автозаправочные станции, станции технического обслуживания автомобилей.</w:t>
      </w:r>
    </w:p>
    <w:p w:rsidR="00E24357" w:rsidRPr="00686E0F" w:rsidRDefault="003D740B" w:rsidP="00686E0F">
      <w:pPr>
        <w:autoSpaceDE w:val="0"/>
        <w:autoSpaceDN w:val="0"/>
        <w:adjustRightInd w:val="0"/>
        <w:ind w:firstLine="567"/>
        <w:jc w:val="both"/>
        <w:rPr>
          <w:rFonts w:eastAsiaTheme="minorHAnsi"/>
          <w:szCs w:val="20"/>
          <w:lang w:eastAsia="en-US"/>
        </w:rPr>
      </w:pPr>
      <w:r w:rsidRPr="00B43BDE">
        <w:rPr>
          <w:rFonts w:eastAsiaTheme="minorHAnsi"/>
          <w:szCs w:val="20"/>
          <w:lang w:eastAsia="en-US"/>
        </w:rPr>
        <w:t>7. В санитарно-защитной зоне объектов пищевых отраслей промышленности, оптовых складов продовольственного сырья и пищевой продукции, производства лекарственных веществ, лекарственных средств и (или) лекарственных форм, складов сырья и полупродуктов для фармацевтических предприятий допускается размещение новых профильных, однотипных объектов при исключении взаимного негативного воздействия на продукцию, среду обитания и здоровье человека.</w:t>
      </w:r>
      <w:bookmarkStart w:id="0" w:name="_GoBack"/>
      <w:bookmarkEnd w:id="0"/>
    </w:p>
    <w:sectPr w:rsidR="00E24357" w:rsidRPr="00686E0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40B"/>
    <w:rsid w:val="003D740B"/>
    <w:rsid w:val="00686E0F"/>
    <w:rsid w:val="00E243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740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740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623</Words>
  <Characters>3555</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Vera Levchenko</dc:creator>
  <cp:lastModifiedBy>Vera Levchenko</cp:lastModifiedBy>
  <cp:revision>2</cp:revision>
  <dcterms:created xsi:type="dcterms:W3CDTF">2025-11-23T07:45:00Z</dcterms:created>
  <dcterms:modified xsi:type="dcterms:W3CDTF">2025-12-06T15:35:00Z</dcterms:modified>
</cp:coreProperties>
</file>