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5B2" w:rsidRPr="00BA6488" w:rsidRDefault="007305B2" w:rsidP="007305B2">
      <w:pPr>
        <w:pStyle w:val="BodyA"/>
        <w:widowControl w:val="0"/>
        <w:spacing w:after="0" w:line="240" w:lineRule="auto"/>
        <w:contextualSpacing/>
        <w:jc w:val="both"/>
        <w:rPr>
          <w:rFonts w:ascii="Times New Roman" w:hAnsi="Times New Roman" w:cs="Times New Roman"/>
        </w:rPr>
      </w:pPr>
    </w:p>
    <w:p w:rsidR="007305B2" w:rsidRPr="00622928" w:rsidRDefault="007305B2" w:rsidP="007305B2">
      <w:pPr>
        <w:pStyle w:val="BodyA"/>
        <w:widowControl w:val="0"/>
        <w:spacing w:line="240" w:lineRule="auto"/>
        <w:contextualSpacing/>
        <w:jc w:val="both"/>
        <w:rPr>
          <w:rFonts w:ascii="Times New Roman" w:hAnsi="Times New Roman" w:cs="Times New Roman"/>
          <w:b/>
          <w:color w:val="auto"/>
        </w:rPr>
      </w:pPr>
      <w:r w:rsidRPr="00622928">
        <w:rPr>
          <w:rFonts w:ascii="Times New Roman" w:hAnsi="Times New Roman" w:cs="Times New Roman"/>
          <w:b/>
          <w:color w:val="auto"/>
        </w:rPr>
        <w:t xml:space="preserve">Preliminary Analysis: </w:t>
      </w:r>
      <w:r w:rsidRPr="00622928">
        <w:rPr>
          <w:rFonts w:ascii="Times New Roman" w:hAnsi="Times New Roman" w:cs="Times New Roman"/>
          <w:color w:val="auto"/>
        </w:rPr>
        <w:t>We</w:t>
      </w:r>
      <w:r w:rsidRPr="00622928">
        <w:rPr>
          <w:rFonts w:ascii="Times New Roman" w:eastAsia="Arial" w:hAnsi="Times New Roman" w:cs="Times New Roman"/>
          <w:bCs/>
          <w:iCs/>
        </w:rPr>
        <w:t xml:space="preserve"> have done a case study to run the pipeline for Aim1 with the RNA-seq data from cell lines MDA-MB-231 and MCF10A and ChIP-seq data and mutational profiles from MDA-MB-231.</w:t>
      </w:r>
      <w:r w:rsidRPr="00622928">
        <w:rPr>
          <w:rFonts w:ascii="Times New Roman" w:eastAsia="Arial" w:hAnsi="Times New Roman" w:cs="Times New Roman"/>
          <w:bCs/>
          <w:i/>
          <w:iCs/>
        </w:rPr>
        <w:t xml:space="preserve"> </w:t>
      </w:r>
      <w:r w:rsidRPr="003057AA">
        <w:rPr>
          <w:rFonts w:ascii="Times New Roman" w:eastAsia="Arial" w:hAnsi="Times New Roman" w:cs="Times New Roman"/>
          <w:bCs/>
          <w:iCs/>
          <w:u w:val="single"/>
        </w:rPr>
        <w:t>We did not include</w:t>
      </w:r>
      <w:r w:rsidRPr="00622928">
        <w:rPr>
          <w:rFonts w:ascii="Times New Roman" w:eastAsia="Arial" w:hAnsi="Times New Roman" w:cs="Times New Roman"/>
          <w:bCs/>
          <w:iCs/>
        </w:rPr>
        <w:t xml:space="preserve"> CNV and methylation profiles nor the proteomic data. As such, the biological results are not final but it allows us to see that the pipeline returns biologically meaningful results. </w:t>
      </w:r>
      <w:r w:rsidRPr="00622928">
        <w:rPr>
          <w:rFonts w:ascii="Times New Roman" w:hAnsi="Times New Roman" w:cs="Times New Roman"/>
          <w:color w:val="auto"/>
        </w:rPr>
        <w:t>All the source code for this preliminary analysis has already been deposited in Vera-Licona’s Github public repository https://github.com/VeraLiconaResearchGroup/CancerReversion.</w:t>
      </w:r>
    </w:p>
    <w:p w:rsidR="007305B2" w:rsidRPr="00AD1D50" w:rsidRDefault="007305B2" w:rsidP="007305B2">
      <w:pPr>
        <w:pStyle w:val="BodyA"/>
        <w:spacing w:line="240" w:lineRule="auto"/>
        <w:contextualSpacing/>
        <w:rPr>
          <w:rFonts w:ascii="Times New Roman" w:hAnsi="Times New Roman" w:cs="Times New Roman"/>
        </w:rPr>
      </w:pPr>
      <w:bookmarkStart w:id="0" w:name="_GoBack"/>
      <w:bookmarkEnd w:id="0"/>
      <w:r w:rsidRPr="00622928">
        <w:rPr>
          <w:rFonts w:ascii="Times New Roman" w:hAnsi="Times New Roman" w:cs="Times New Roman"/>
          <w:b/>
          <w:color w:val="auto"/>
        </w:rPr>
        <w:t>Preliminary</w:t>
      </w:r>
      <w:r w:rsidRPr="00622928">
        <w:rPr>
          <w:rFonts w:ascii="Times New Roman" w:hAnsi="Times New Roman" w:cs="Times New Roman"/>
          <w:b/>
          <w:i/>
          <w:color w:val="auto"/>
        </w:rPr>
        <w:t xml:space="preserve"> </w:t>
      </w:r>
      <w:r w:rsidRPr="00622928">
        <w:rPr>
          <w:rFonts w:ascii="Times New Roman" w:hAnsi="Times New Roman" w:cs="Times New Roman"/>
          <w:b/>
          <w:color w:val="auto"/>
        </w:rPr>
        <w:t>static network of CL TNBC tumorigenesis for cell line MDA-MB-231</w:t>
      </w:r>
      <w:r w:rsidRPr="00622928">
        <w:rPr>
          <w:rFonts w:ascii="Times New Roman" w:hAnsi="Times New Roman" w:cs="Times New Roman"/>
          <w:color w:val="auto"/>
        </w:rPr>
        <w:t>:</w:t>
      </w:r>
      <w:r w:rsidRPr="00622928">
        <w:rPr>
          <w:rFonts w:ascii="Times New Roman" w:hAnsi="Times New Roman" w:cs="Times New Roman"/>
          <w:b/>
          <w:color w:val="auto"/>
        </w:rPr>
        <w:t xml:space="preserve"> </w:t>
      </w:r>
      <w:r w:rsidRPr="00622928">
        <w:rPr>
          <w:rFonts w:ascii="Times New Roman" w:hAnsi="Times New Roman" w:cs="Times New Roman"/>
        </w:rPr>
        <w:t>The preliminary network we have built consists of 200 nodes, and 425 edges (fig1). The first layer of functionally enriched DEGs contains 194 genes. MA</w:t>
      </w:r>
      <w:r w:rsidRPr="00AD1D50">
        <w:rPr>
          <w:rFonts w:ascii="Times New Roman" w:hAnsi="Times New Roman" w:cs="Times New Roman"/>
        </w:rPr>
        <w:t>TCH and IPA algorithms identified 4 TFs, which were confirmed to be in open chromatin regions by CHIP-Seq data [</w:t>
      </w:r>
      <w:r w:rsidRPr="00AD1D50">
        <w:rPr>
          <w:rFonts w:ascii="Times New Roman" w:hAnsi="Times New Roman" w:cs="Times New Roman"/>
        </w:rPr>
        <w:fldChar w:fldCharType="begin" w:fldLock="1"/>
      </w:r>
      <w:r w:rsidRPr="00AD1D50">
        <w:rPr>
          <w:rFonts w:ascii="Times New Roman" w:hAnsi="Times New Roman" w:cs="Times New Roman"/>
        </w:rPr>
        <w:instrText>ADDIN CSL_CITATION {"citationItems":[{"id":"ITEM-1","itemData":{"DOI":"10.18632/oncotarget.6922","ISSN":"1949-2553","PMID":"26783963","abstract":"The onset and progression of breast cancer are linked to genetic and epigenetic changes that alter the normal programming of cells. Epigenetic modifications of DNA and histones contribute to chromatin structure that result in the activation or repression of gene expression. Several epigenetic pathways have been shown to be highly deregulated in cancer cells. Targeting specific histone modifications represents a viable strategy to prevent oncogenic transformation, tumor growth or metastasis. Methylation of histone H3 lysine 4 has been extensively studied and shown to mark genes for expression; however this residue can also be acetylated and the specific function of this alteration is less well known. To define the relative roles of histone H3 methylation (H3K4me3) and acetylation (H3K4ac) in breast cancer, we determined genomic regions enriched for both marks in normal-like (MCF10A), transformed (MCF7) and metastatic (MDA-MB-231) cells using a genome-wide ChIP-Seq approach. Our data revealed a genome-wide gain of H3K4ac associated with both early and late breast cancer cell phenotypes, while gain of H3K4me3 was predominantly associated with late stage cancer cells. Enrichment of H3K4ac was over-represented at promoters of genes associated with cancer-related phenotypic traits, such as estrogen response and epithelial-to-mesenchymal transition pathways. Our findings highlight an important role for H3K4ac in predicting epigenetic changes associated with early stages of transformation. In addition, our data provide a valuable resource for understanding epigenetic signatures that correlate with known breast cancer-associated oncogenic pathways.","author":[{"dropping-particle":"","family":"Messier","given":"Terri L.","non-dropping-particle":"","parse-names":false,"suffix":""},{"dropping-particle":"","family":"Gordon","given":"Jonathan A. R.","non-dropping-particle":"","parse-names":false,"suffix":""},{"dropping-particle":"","family":"Boyd","given":"Joseph R.","non-dropping-particle":"","parse-names":false,"suffix":""},{"dropping-particle":"","family":"Tye","given":"Coralee E.","non-dropping-particle":"","parse-names":false,"suffix":""},{"dropping-particle":"","family":"Browne","given":"Gillian","non-dropping-particle":"","parse-names":false,"suffix":""},{"dropping-particle":"","family":"Stein","given":"Janet L.","non-dropping-particle":"","parse-names":false,"suffix":""},{"dropping-particle":"","family":"Lian","given":"Jane B.","non-dropping-particle":"","parse-names":false,"suffix":""},{"dropping-particle":"","family":"Stein","given":"Gary S.","non-dropping-particle":"","parse-names":false,"suffix":""}],"container-title":"Oncotarget","id":"ITEM-1","issue":"5","issued":{"date-parts":[["2016","2","2"]]},"page":"5094-109","title":"Histone H3 lysine 4 acetylation and methylation dynamics define breast cancer subtypes","type":"article-journal","volume":"7"},"uris":["http://www.mendeley.com/documents/?uuid=a53fcd9b-6f23-36e7-ad07-3901b9b6b959"]}],"mendeley":{"formattedCitation":"&lt;sup&gt;59&lt;/sup&gt;","plainTextFormattedCitation":"59","previouslyFormattedCitation":"&lt;sup&gt;59&lt;/sup&gt;"},"properties":{"noteIndex":0},"schema":"https://github.com/citation-style-language/schema/raw/master/csl-citation.json"}</w:instrText>
      </w:r>
      <w:r w:rsidRPr="00AD1D50">
        <w:rPr>
          <w:rFonts w:ascii="Times New Roman" w:hAnsi="Times New Roman" w:cs="Times New Roman"/>
        </w:rPr>
        <w:fldChar w:fldCharType="separate"/>
      </w:r>
      <w:r w:rsidRPr="00AD1D50">
        <w:rPr>
          <w:rFonts w:ascii="Times New Roman" w:hAnsi="Times New Roman" w:cs="Times New Roman"/>
          <w:noProof/>
        </w:rPr>
        <w:t>59</w:t>
      </w:r>
      <w:r w:rsidRPr="00AD1D50">
        <w:rPr>
          <w:rFonts w:ascii="Times New Roman" w:hAnsi="Times New Roman" w:cs="Times New Roman"/>
        </w:rPr>
        <w:fldChar w:fldCharType="end"/>
      </w:r>
      <w:r w:rsidRPr="00AD1D50">
        <w:rPr>
          <w:rFonts w:ascii="Times New Roman" w:hAnsi="Times New Roman" w:cs="Times New Roman"/>
        </w:rPr>
        <w:t>]. For the final network layer, 3 upstream MRs were identified. The network has 6 genes known to be associated with TNBC tumorigenesis: TP53, STAT3, SP1, EGR1, SMAD3, and SMAD4 [</w:t>
      </w:r>
      <w:r w:rsidRPr="00AD1D50">
        <w:rPr>
          <w:rFonts w:ascii="Times New Roman" w:hAnsi="Times New Roman" w:cs="Times New Roman"/>
        </w:rPr>
        <w:fldChar w:fldCharType="begin" w:fldLock="1"/>
      </w:r>
      <w:r w:rsidRPr="00AD1D50">
        <w:rPr>
          <w:rFonts w:ascii="Times New Roman" w:hAnsi="Times New Roman" w:cs="Times New Roman"/>
        </w:rPr>
        <w:instrText>ADDIN CSL_CITATION {"citationItems":[{"id":"ITEM-1","itemData":{"DOI":"10.18632/oncotarget.11891","ISSN":"1949-2553","PMID":"27611952","abstract":"BACKGROUND TP53 mutations are frequent in breast cancer, however their clinical relevance in terms of response to chemotherapy is controversial. METHODS 450 pre-therapeutic, formalin-fixed, paraffin-embedded core biopsies from the phase II neoadjuvant GeparSixto trial that included HER2-positive and triple negative breast cancer (TNBC) were subjected to Sanger sequencing of exons 5-8 of the TP53 gene. TP53 status was correlated to response to neoadjuvant anthracycline/taxane-based chemotherapy with or without carboplatin and trastuzumab/lapatinib in HER2-positive and bevacizumab in TNBC. p53 protein expression was evaluated by immunohistochemistry in the TNBC subgroup. RESULTS Of 450 breast cancer samples 297 (66.0%) were TP53 mutant. Mutations were significantly more frequent in TNBC (74.8%) compared to HER2-positive cancers (55.4%, P &lt; 0.0001). Neither mutations nor different mutation types and effects were associated with pCR neither in the whole study group nor in molecular subtypes (P &gt; 0.05 each). Missense mutations tended to be associated with a better survival compared to all other types of mutations in TNBC (P = 0.093) and in HER2-positive cancers (P = 0.071). In TNBC, missense mutations were also linked to higher numbers of tumor-infiltrating lymphocytes (TILs, P = 0.028). p53 protein overexpression was also linked with imporved survival (P = 0.019). CONCLUSIONS Our study confirms high TP53 mutation rates in TNBC and HER2-positive breast cancer. Mutations did not predict the response to an intense neoadjuvant chemotherapy in these two molecular breast cancer subtypes.","author":[{"dropping-particle":"","family":"Darb-Esfahani","given":"Silvia","non-dropping-particle":"","parse-names":false,"suffix":""},{"dropping-particle":"","family":"Denkert","given":"Carsten","non-dropping-particle":"","parse-names":false,"suffix":""},{"dropping-particle":"","family":"Stenzinger","given":"Albrecht","non-dropping-particle":"","parse-names":false,"suffix":""},{"dropping-particle":"","family":"Salat","given":"Christoph","non-dropping-particle":"","parse-names":false,"suffix":""},{"dropping-particle":"","family":"Sinn","given":"Bruno","non-dropping-particle":"","parse-names":false,"suffix":""},{"dropping-particle":"","family":"Schem","given":"Christian","non-dropping-particle":"","parse-names":false,"suffix":""},{"dropping-particle":"","family":"Endris","given":"Volker","non-dropping-particle":"","parse-names":false,"suffix":""},{"dropping-particle":"","family":"Klare","given":"Peter","non-dropping-particle":"","parse-names":false,"suffix":""},{"dropping-particle":"","family":"Schmitt","given":"Wolfgang","non-dropping-particle":"","parse-names":false,"suffix":""},{"dropping-particle":"","family":"Blohmer","given":"Jens-Uwe","non-dropping-particle":"","parse-names":false,"suffix":""},{"dropping-particle":"","family":"Weichert","given":"Wilko","non-dropping-particle":"","parse-names":false,"suffix":""},{"dropping-particle":"","family":"Möbs","given":"Markus","non-dropping-particle":"","parse-names":false,"suffix":""},{"dropping-particle":"","family":"Tesch","given":"Hans","non-dropping-particle":"","parse-names":false,"suffix":""},{"dropping-particle":"","family":"Kümmel","given":"Sherko","non-dropping-particle":"","parse-names":false,"suffix":""},{"dropping-particle":"","family":"Sinn","given":"Peter","non-dropping-particle":"","parse-names":false,"suffix":""},{"dropping-particle":"","family":"Jackisch","given":"Christian","non-dropping-particle":"","parse-names":false,"suffix":""},{"dropping-particle":"","family":"Dietel","given":"Manfred","non-dropping-particle":"","parse-names":false,"suffix":""},{"dropping-particle":"","family":"Reimer","given":"Toralf","non-dropping-particle":"","parse-names":false,"suffix":""},{"dropping-particle":"","family":"Loi","given":"Sherene","non-dropping-particle":"","parse-names":false,"suffix":""},{"dropping-particle":"","family":"Untch","given":"Michael","non-dropping-particle":"","parse-names":false,"suffix":""},{"dropping-particle":"","family":"Minckwitz","given":"Gunter","non-dropping-particle":"von","parse-names":false,"suffix":""},{"dropping-particle":"","family":"Nekljudova","given":"Valentina","non-dropping-particle":"","parse-names":false,"suffix":""},{"dropping-particle":"","family":"Loibl","given":"Sibylle","non-dropping-particle":"","parse-names":false,"suffix":""}],"container-title":"Oncotarget","id":"ITEM-1","issue":"42","issued":{"date-parts":[["2016","10","18"]]},"page":"67686-67698","title":"Role of TP53 mutations in triple negative and HER2-positive breast cancer treated with neoadjuvant anthracycline/taxane-based chemotherapy.","type":"article-journal","volume":"7"},"uris":["http://www.mendeley.com/documents/?uuid=91c73845-2dae-3bcc-be95-58c097c4a7a0"]},{"id":"ITEM-2","itemData":{"DOI":"10.1038/bjc.2011.584","ISSN":"1532-1827","PMID":"22343619","abstract":"BACKGROUND The rapid collection of diverse genome-scale data raises the urgent need to integrate and utilise these resources for biological discovery or biomedical applications. For example, diverse transcriptomic and gene copy number variation data are currently collected for various cancers, but relatively few current methods are capable to utilise the emerging information. METHODS We developed and tested a data-integration method to identify gene networks that drive the biology of breast cancer clinical subtypes. The method simultaneously overlays gene expression and gene copy number data on protein-protein interaction, transcriptional-regulatory and signalling networks by identifying coincident genomic and transcriptional disturbances in local network neighborhoods. RESULTS We identified distinct driver-networks for each of the three common clinical breast cancer subtypes: oestrogen receptor (ER)+, human epidermal growth factor receptor 2 (HER2)+, and triple receptor-negative breast cancers (TNBC) from patient and cell line data sets. Driver-networks inferred from independent datasets were significantly reproducible. We also confirmed the functional relevance of a subset of randomly selected driver-network members for TNBC in gene knockdown experiments in vitro. We found that TNBC driver-network members genes have increased functional specificity to TNBC cell lines and higher functional sensitivity compared with genes selected by differential expression alone. CONCLUSION Clinical subtype-specific driver-networks identified through data integration are reproducible and functionally important.","author":[{"dropping-particle":"","family":"Dutta","given":"B","non-dropping-particle":"","parse-names":false,"suffix":""},{"dropping-particle":"","family":"Pusztai","given":"L","non-dropping-particle":"","parse-names":false,"suffix":""},{"dropping-particle":"","family":"Qi","given":"Y","non-dropping-particle":"","parse-names":false,"suffix":""},{"dropping-particle":"","family":"André","given":"F","non-dropping-particle":"","parse-names":false,"suffix":""},{"dropping-particle":"","family":"Lazar","given":"V","non-dropping-particle":"","parse-names":false,"suffix":""},{"dropping-particle":"","family":"Bianchini","given":"G","non-dropping-particle":"","parse-names":false,"suffix":""},{"dropping-particle":"","family":"Ueno","given":"N","non-dropping-particle":"","parse-names":false,"suffix":""},{"dropping-particle":"","family":"Agarwal","given":"R","non-dropping-particle":"","parse-names":false,"suffix":""},{"dropping-particle":"","family":"Wang","given":"B","non-dropping-particle":"","parse-names":false,"suffix":""},{"dropping-particle":"","family":"Shiang","given":"C Y","non-dropping-particle":"","parse-names":false,"suffix":""},{"dropping-particle":"","family":"Hortobagyi","given":"G N","non-dropping-particle":"","parse-names":false,"suffix":""},{"dropping-particle":"","family":"Mills","given":"G B","non-dropping-particle":"","parse-names":false,"suffix":""},{"dropping-particle":"","family":"Symmans","given":"W F","non-dropping-particle":"","parse-names":false,"suffix":""},{"dropping-particle":"","family":"Balázsi","given":"G","non-dropping-particle":"","parse-names":false,"suffix":""}],"container-title":"British journal of cancer","id":"ITEM-2","issue":"6","issued":{"date-parts":[["2012","3","13"]]},"page":"1107-16","title":"A network-based, integrative study to identify core biological pathways that drive breast cancer clinical subtypes.","type":"article-journal","volume":"106"},"uris":["http://www.mendeley.com/documents/?uuid=7403c948-5d4d-3320-a402-389ea3cb3e9c"]},{"id":"ITEM-3","itemData":{"DOI":"10.1038/srep33435","ISSN":"2045-2322","PMID":"27671774","abstract":"Triple negative breast cancer (TNBC) is the most aggressive breast cancer subtype with no targeted treatment available. Our previous study identified 38 TNBC-specific genes with altered expression comparing tumour to normal samples. This study aimed to establish whether DNA methylation contributed to these expression changes in the same cohort as well as disease progression from primary breast tumour to lymph node metastasis associated with changes in the epigenome. We obtained DNA from 23 primary TNBC samples, 12 matched lymph node metastases, and 11 matched normal adjacent tissues and assayed for differential methylation profiles using Illumina HumanMethylation450 BeadChips. The results were validated in an independent cohort of 70 primary TNBC samples. The expression of 16/38 TNBC-specific genes was associated with alteration in DNA methylation. Novel methylation changes between primary tumours and lymph node metastases, as well as those associated with survival were identified. Altered methylation of 18 genes associated with lymph node metastasis were identified and validated. This study reveals the important role DNA methylation plays in altered gene expression of TNBC-specific genes and lymph node metastases. The novel insights into progression of TNBC to secondary disease may provide potential prognostic indicators for this hard-to-treat breast cancer subtype.","author":[{"dropping-particle":"","family":"Mathe","given":"Andrea","non-dropping-particle":"","parse-names":false,"suffix":""},{"dropping-particle":"","family":"Wong-Brown","given":"Michelle","non-dropping-particle":"","parse-names":false,"suffix":""},{"dropping-particle":"","family":"Locke","given":"Warwick J","non-dropping-particle":"","parse-names":false,"suffix":""},{"dropping-particle":"","family":"Stirzaker","given":"Clare","non-dropping-particle":"","parse-names":false,"suffix":""},{"dropping-particle":"","family":"Braye","given":"Stephen G","non-dropping-particle":"","parse-names":false,"suffix":""},{"dropping-particle":"","family":"Forbes","given":"John F","non-dropping-particle":"","parse-names":false,"suffix":""},{"dropping-particle":"","family":"Clark","given":"Susan J","non-dropping-particle":"","parse-names":false,"suffix":""},{"dropping-particle":"","family":"Avery-Kiejda","given":"Kelly A","non-dropping-particle":"","parse-names":false,"suffix":""},{"dropping-particle":"","family":"Scott","given":"Rodney J","non-dropping-particle":"","parse-names":false,"suffix":""}],"container-title":"Scientific reports","id":"ITEM-3","issued":{"date-parts":[["2016","9","27"]]},"page":"33435","publisher":"Nature Publishing Group","title":"DNA methylation profile of triple negative breast cancer-specific genes comparing lymph node positive patients to lymph node negative patients.","type":"article-journal","volume":"6"},"uris":["http://www.mendeley.com/documents/?uuid=2d4fbae7-f8f6-3beb-8eb4-aeffabc90731"]},{"id":"ITEM-4","itemData":{"DOI":"10.1158/1078-0432.CCR-17-3125","ISSN":"1078-0432","PMID":"30012564","abstract":"Purpose: On the basis of the identified stress-independent cellular functions of activating transcription factor 4 (ATF4), we reported enhanced ATF4 levels in MCF10A cells treated with TGFβ1. ATF4 is overexpressed in patients with triple-negative breast cancer (TNBC), but its impact on patient survival and the underlying mechanisms remain unknown. We aimed to determine ATF4 effects on patients with breast cancer survival and TNBC aggressiveness, and the relationships between TGFβ and ATF4. Defining the signaling pathways may help us identify a cell signaling-tailored gene signature.Experimental Design: Patient survival data were determined by Kaplan-Meier analysis. Relationship between TGFβ and ATF4, their effects on aggressiveness (tumor proliferation, metastasis, and stemness), and the underlying pathways were analyzed in three TNBC cell lines and in vivo using patient-derived xenografts (PDX).Results:ATF4 overexpression correlated with TNBC patient survival decrease and a SMAD-dependent crosstalk between ATF4 and TGFβ was identified. ATF4 expression inhibition reduced migration, invasiveness, mammosphere-forming efficiency, proliferation, epithelial-mesenchymal transition, and antiapoptotic and stemness marker levels. In PDX models, ATF4 silencing decreased metastases, tumor growth, and relapse after chemotherapy. ATF4 was shown to be active downstream of SMAD2/3/4 and mTORC2, regulating TGFβ/SMAD and mTOR/RAC1-RHOA pathways independently of stress. We defined an eight-gene signature with prognostic potential, altered in 45% of 2,509 patients with breast cancer.Conclusions: ATF4 may represent a valuable prognostic biomarker and therapeutic target in patients with TNBC, and we identified a cell signaling pathway-based gene signature that may contribute to the development of combinatorial targeted therapies for breast cancer. Clin Cancer Res; 24(22); 5697-709. ©2018 AACR.","author":[{"dropping-particle":"","family":"González-González","given":"Adrián","non-dropping-particle":"","parse-names":false,"suffix":""},{"dropping-particle":"","family":"Muñoz-Muela","given":"Esperanza","non-dropping-particle":"","parse-names":false,"suffix":""},{"dropping-particle":"","family":"Marchal","given":"Juan A.","non-dropping-particle":"","parse-names":false,"suffix":""},{"dropping-particle":"","family":"Cara","given":"Francisca E.","non-dropping-particle":"","parse-names":false,"suffix":""},{"dropping-particle":"","family":"Molina","given":"Maria P.","non-dropping-particle":"","parse-names":false,"suffix":""},{"dropping-particle":"","family":"Cruz-Lozano","given":"Marina","non-dropping-particle":"","parse-names":false,"suffix":""},{"dropping-particle":"","family":"Jiménez","given":"Gema","non-dropping-particle":"","parse-names":false,"suffix":""},{"dropping-particle":"","family":"Verma","given":"Akanksha","non-dropping-particle":"","parse-names":false,"suffix":""},{"dropping-particle":"","family":"Ramírez","given":"Alberto","non-dropping-particle":"","parse-names":false,"suffix":""},{"dropping-particle":"","family":"Qian","given":"Wei","non-dropping-particle":"","parse-names":false,"suffix":""},{"dropping-particle":"","family":"Chen","given":"Wen","non-dropping-particle":"","parse-names":false,"suffix":""},{"dropping-particle":"","family":"Kozielski","given":"Anthony J.","non-dropping-particle":"","parse-names":false,"suffix":""},{"dropping-particle":"","family":"Elemento","given":"Olivier","non-dropping-particle":"","parse-names":false,"suffix":""},{"dropping-particle":"","family":"Martín-Salvago","given":"María D.","non-dropping-particle":"","parse-names":false,"suffix":""},{"dropping-particle":"","family":"Luque","given":"Rafael J.","non-dropping-particle":"","parse-names":false,"suffix":""},{"dropping-particle":"","family":"Rosa-Garrido","given":"Carmen","non-dropping-particle":"","parse-names":false,"suffix":""},{"dropping-particle":"","family":"Landeira","given":"David","non-dropping-particle":"","parse-names":false,"suffix":""},{"dropping-particle":"","family":"Quintana-Romero","given":"María","non-dropping-particle":"","parse-names":false,"suffix":""},{"dropping-particle":"","family":"Rosato","given":"Roberto R.","non-dropping-particle":"","parse-names":false,"suffix":""},{"dropping-particle":"","family":"García","given":"Maria A.","non-dropping-particle":"","parse-names":false,"suffix":""},{"dropping-particle":"","family":"Ramirez-Tortosa","given":"Cesar L.","non-dropping-particle":"","parse-names":false,"suffix":""},{"dropping-particle":"","family":"Kim","given":"Hanna","non-dropping-particle":"","parse-names":false,"suffix":""},{"dropping-particle":"","family":"Rodriguez-Aguayo","given":"Cristian","non-dropping-particle":"","parse-names":false,"suffix":""},{"dropping-particle":"","family":"Lopez-Berestein","given":"Gabriel","non-dropping-particle":"","parse-names":false,"suffix":""},{"dropping-particle":"","family":"Sood","given":"Anil K.","non-dropping-particle":"","parse-names":false,"suffix":""},{"dropping-particle":"","family":"Lorente","given":"Jose A.","non-dropping-particle":"","parse-names":false,"suffix":""},{"dropping-particle":"","family":"Sánchez-Rovira","given":"Pedro","non-dropping-particle":"","parse-names":false,"suffix":""},{"dropping-particle":"","family":"Chang","given":"Jenny C.","non-dropping-particle":"","parse-names":false,"suffix":""},{"dropping-particle":"","family":"Granados-Principal","given":"Sergio","non-dropping-particle":"","parse-names":false,"suffix":""}],"container-title":"Clinical Cancer Research","id":"ITEM-4","issue":"22","issued":{"date-parts":[["2018","11","15"]]},"page":"5697-5709","publisher":"American Association for Cancer Research","title":"Activating Transcription Factor 4 Modulates TGFβ-Induced Aggressiveness in Triple-Negative Breast Cancer via SMAD2/3/4 and mTORC2 Signaling","type":"article-journal","volume":"24"},"uris":["http://www.mendeley.com/documents/?uuid=e3f4b94f-cfc0-3d2a-9600-dda25376c529"]}],"mendeley":{"formattedCitation":"&lt;sup&gt;60–63&lt;/sup&gt;","plainTextFormattedCitation":"60–63","previouslyFormattedCitation":"&lt;sup&gt;60–63&lt;/sup&gt;"},"properties":{"noteIndex":0},"schema":"https://github.com/citation-style-language/schema/raw/master/csl-citation.json"}</w:instrText>
      </w:r>
      <w:r w:rsidRPr="00AD1D50">
        <w:rPr>
          <w:rFonts w:ascii="Times New Roman" w:hAnsi="Times New Roman" w:cs="Times New Roman"/>
        </w:rPr>
        <w:fldChar w:fldCharType="separate"/>
      </w:r>
      <w:r w:rsidRPr="00AD1D50">
        <w:rPr>
          <w:rFonts w:ascii="Times New Roman" w:hAnsi="Times New Roman" w:cs="Times New Roman"/>
          <w:noProof/>
        </w:rPr>
        <w:t>60–63</w:t>
      </w:r>
      <w:r w:rsidRPr="00AD1D50">
        <w:rPr>
          <w:rFonts w:ascii="Times New Roman" w:hAnsi="Times New Roman" w:cs="Times New Roman"/>
        </w:rPr>
        <w:fldChar w:fldCharType="end"/>
      </w:r>
      <w:r w:rsidRPr="00AD1D50">
        <w:rPr>
          <w:rFonts w:ascii="Times New Roman" w:hAnsi="Times New Roman" w:cs="Times New Roman"/>
        </w:rPr>
        <w:t>]. Additionally, the network captures genes that are known to be highly expressed in claudin low tumors, including EEF1A1, ACTB, HSP90AA1, and VIM [</w:t>
      </w:r>
      <w:r w:rsidRPr="00AD1D50">
        <w:rPr>
          <w:rFonts w:ascii="Times New Roman" w:hAnsi="Times New Roman" w:cs="Times New Roman"/>
        </w:rPr>
        <w:fldChar w:fldCharType="begin" w:fldLock="1"/>
      </w:r>
      <w:r w:rsidRPr="00AD1D50">
        <w:rPr>
          <w:rFonts w:ascii="Times New Roman" w:hAnsi="Times New Roman" w:cs="Times New Roman"/>
        </w:rPr>
        <w:instrText>ADDIN CSL_CITATION {"citationItems":[{"id":"ITEM-1","itemData":{"DOI":"10.1093/nar/gkv1030","ISSN":"0305-1048","PMID":"24304894","author":[{"dropping-particle":"","family":"Tym","given":"Joseph E.","non-dropping-particle":"","parse-names":false,"suffix":""},{"dropping-particle":"","family":"Mitsopoulos","given":"Costas","non-dropping-particle":"","parse-names":false,"suffix":""},{"dropping-particle":"","family":"Coker","given":"Elizabeth A.","non-dropping-particle":"","parse-names":false,"suffix":""},{"dropping-particle":"","family":"Razaz","given":"Parisa","non-dropping-particle":"","parse-names":false,"suffix":""},{"dropping-particle":"","family":"Schierz","given":"Amanda C.","non-dropping-particle":"","parse-names":false,"suffix":""},{"dropping-particle":"","family":"Antolin","given":"Albert A.","non-dropping-particle":"","parse-names":false,"suffix":""},{"dropping-particle":"","family":"Al-Lazikani","given":"Bissan","non-dropping-particle":"","parse-names":false,"suffix":""}],"container-title":"Nucleic Acids Research","id":"ITEM-1","issue":"D1","issued":{"date-parts":[["2016","1","4"]]},"page":"D938-D943","publisher":"Narnia","title":"canSAR: an updated cancer research and drug discovery knowledgebase","type":"article-journal","volume":"44"},"uris":["http://www.mendeley.com/documents/?uuid=faf83fcb-2ed9-3567-9c1f-59c60430af81"]}],"mendeley":{"formattedCitation":"&lt;sup&gt;64&lt;/sup&gt;","plainTextFormattedCitation":"64","previouslyFormattedCitation":"&lt;sup&gt;64&lt;/sup&gt;"},"properties":{"noteIndex":0},"schema":"https://github.com/citation-style-language/schema/raw/master/csl-citation.json"}</w:instrText>
      </w:r>
      <w:r w:rsidRPr="00AD1D50">
        <w:rPr>
          <w:rFonts w:ascii="Times New Roman" w:hAnsi="Times New Roman" w:cs="Times New Roman"/>
        </w:rPr>
        <w:fldChar w:fldCharType="separate"/>
      </w:r>
      <w:r w:rsidRPr="00AD1D50">
        <w:rPr>
          <w:rFonts w:ascii="Times New Roman" w:hAnsi="Times New Roman" w:cs="Times New Roman"/>
          <w:noProof/>
        </w:rPr>
        <w:t>64</w:t>
      </w:r>
      <w:r w:rsidRPr="00AD1D50">
        <w:rPr>
          <w:rFonts w:ascii="Times New Roman" w:hAnsi="Times New Roman" w:cs="Times New Roman"/>
        </w:rPr>
        <w:fldChar w:fldCharType="end"/>
      </w:r>
      <w:r w:rsidRPr="00AD1D50">
        <w:rPr>
          <w:rFonts w:ascii="Times New Roman" w:hAnsi="Times New Roman" w:cs="Times New Roman"/>
        </w:rPr>
        <w:t>]. CASP3, a gene associated with uncontrolled proliferation, and VIM, a gene associated with EMT, are included in the network [</w:t>
      </w:r>
      <w:r w:rsidRPr="00AD1D50">
        <w:rPr>
          <w:rFonts w:ascii="Times New Roman" w:hAnsi="Times New Roman" w:cs="Times New Roman"/>
        </w:rPr>
        <w:fldChar w:fldCharType="begin" w:fldLock="1"/>
      </w:r>
      <w:r w:rsidRPr="00AD1D50">
        <w:rPr>
          <w:rFonts w:ascii="Times New Roman" w:hAnsi="Times New Roman" w:cs="Times New Roman"/>
        </w:rPr>
        <w:instrText>ADDIN CSL_CITATION {"citationItems":[{"id":"ITEM-1","itemData":{"DOI":"10.1186/s12918-017-0424-2","ISSN":"1752-0509","PMID":"28381275","abstract":"BACKGROUND Cancer reversion, converting the phenotypes of a cancer cell into those of a normal cell, has been sporadically observed throughout history. However, no systematic analysis has been attempted so far. RESULTS To investigate this from a systems biological perspective, we have constructed a logical network model of colorectal tumorigenesis by integrating key regulatory molecules and their interactions from previous experimental data. We identified molecular targets that can reverse cancerous cellular states to a normal state by systematically perturbing each molecular activity in the network and evaluating the resulting changes of the attractor landscape with respect to uncontrolled proliferation, EMT, and stemness. Intriguingly, many of the identified targets were well in accord with previous studies. We further revealed that the identified targets constitute stable network motifs that contribute to enhancing the robustness of attractors in cancerous cellular states against diverse regulatory signals. CONCLUSIONS The proposed framework for systems analysis is applicable to the study of tumorigenesis and reversion of other types of cancer.","author":[{"dropping-particle":"","family":"Kim","given":"Yunseong","non-dropping-particle":"","parse-names":false,"suffix":""},{"dropping-particle":"","family":"Choi","given":"Sea","non-dropping-particle":"","parse-names":false,"suffix":""},{"dropping-particle":"","family":"Shin","given":"Dongkwan","non-dropping-particle":"","parse-names":false,"suffix":""},{"dropping-particle":"","family":"Cho","given":"Kwang-Hyun","non-dropping-particle":"","parse-names":false,"suffix":""}],"container-title":"BMC Systems Biology","id":"ITEM-1","issue":"1","issued":{"date-parts":[["2017","12","5"]]},"page":"45","publisher":"BioMed Central","title":"Quantitative evaluation and reversion analysis of the attractor landscapes of an intracellular regulatory network for colorectal cancer","type":"article-journal","volume":"11"},"uris":["http://www.mendeley.com/documents/?uuid=e2ac4aa1-cb23-3edc-8fa2-0b67e797bf9c"]},{"id":"ITEM-2","itemData":{"DOI":"10.1186/s12967-018-1757-3","ISSN":"1479-5876","PMID":"30602372","abstract":"BACKGROUND The triple negative breast cancer (TNBC) paradox marks a major challenge in the treatment-decision making process. TNBC patients generally respond better to neoadjuvant chemotherapy compared to other breast cancer patients; however, they have a substantial higher risk of disease recurrence. We evaluated the expression of the tumor-associated antigen PReferentially Antigen expressed in MElanoma (PRAME) as a prognostic biomarker in breast cancer and explored its role in cell migration and invasion, key hallmarks of progressive and metastatic disease. METHODS TCGA and GTeX datasets were interrogated to assess the expression of PRAME in relation to overall and disease-free survival. The role of PRAME in cell migration and invasion was investigated using gain- and loss-of-function TNBC cell line models. RESULTS We show that PRAME promotes migration and invasion of TNBC cells through changes in expression of E-cadherin, N-cadherin, vimentin and ZEB1, core markers of an epithelial-to-mesenchymal transition. Mechanistic analysis of PRAME-overexpressing cells showed an upregulation of 11 genes (SNAI1, TCF4, TWIST1, FOXC2, IL1RN, MMP2, SOX10, WNT11, MMP3, PDGFRB, and JAG1) and downregulation of 2 genes (BMP7 and TSPAN13). Gene ontology analyses revealed enrichment of genes that are dysregulated in ovarian and esophageal cancer and are involved in transcription and apoptosis. In line with this, interrogation of TCGA and GTEx data demonstrated an increased PRAME expression in ovarian and esophageal tumor tissues in addition to breast tumors where it is associated with worse survival. CONCLUSIONS Our findings indicate that PRAME plays a tumor-promoting role in triple negative breast cancer by increasing cancer cell motility through EMT-gene reprogramming. Therefore, PRAME could serve as a prognostic biomarker and/or therapeutic target in TNBC.","author":[{"dropping-particle":"","family":"Al-Khadairi","given":"Ghaneya","non-dropping-particle":"","parse-names":false,"suffix":""},{"dropping-particle":"","family":"Naik","given":"Adviti","non-dropping-particle":"","parse-names":false,"suffix":""},{"dropping-particle":"","family":"Thomas","given":"Remy","non-dropping-particle":"","parse-names":false,"suffix":""},{"dropping-particle":"","family":"Al-Sulaiti","given":"Boshra","non-dropping-particle":"","parse-names":false,"suffix":""},{"dropping-particle":"","family":"Rizly","given":"Shaheen","non-dropping-particle":"","parse-names":false,"suffix":""},{"dropping-particle":"","family":"Decock","given":"Julie","non-dropping-particle":"","parse-names":false,"suffix":""}],"container-title":"Journal of translational medicine","id":"ITEM-2","issue":"1","issued":{"date-parts":[["2019","1","3"]]},"page":"9","title":"PRAME promotes epithelial-to-mesenchymal transition in triple negative breast cancer.","type":"article-journal","volume":"17"},"uris":["http://www.mendeley.com/documents/?uuid=91fd945f-6c33-3d9d-8cac-6fe3150aefdb"]}],"mendeley":{"formattedCitation":"&lt;sup&gt;58,65&lt;/sup&gt;","plainTextFormattedCitation":"58,65","previouslyFormattedCitation":"&lt;sup&gt;58,65&lt;/sup&gt;"},"properties":{"noteIndex":0},"schema":"https://github.com/citation-style-language/schema/raw/master/csl-citation.json"}</w:instrText>
      </w:r>
      <w:r w:rsidRPr="00AD1D50">
        <w:rPr>
          <w:rFonts w:ascii="Times New Roman" w:hAnsi="Times New Roman" w:cs="Times New Roman"/>
        </w:rPr>
        <w:fldChar w:fldCharType="separate"/>
      </w:r>
      <w:r w:rsidRPr="00AD1D50">
        <w:rPr>
          <w:rFonts w:ascii="Times New Roman" w:hAnsi="Times New Roman" w:cs="Times New Roman"/>
          <w:noProof/>
        </w:rPr>
        <w:t>58,65</w:t>
      </w:r>
      <w:r w:rsidRPr="00AD1D50">
        <w:rPr>
          <w:rFonts w:ascii="Times New Roman" w:hAnsi="Times New Roman" w:cs="Times New Roman"/>
        </w:rPr>
        <w:fldChar w:fldCharType="end"/>
      </w:r>
      <w:r w:rsidRPr="00AD1D50">
        <w:rPr>
          <w:rFonts w:ascii="Times New Roman" w:hAnsi="Times New Roman" w:cs="Times New Roman"/>
        </w:rPr>
        <w:t>].  We identified 28 readout nodes. Heatmaps with hierarchical clustering show that</w:t>
      </w:r>
      <w:r w:rsidRPr="00AD1D50">
        <w:rPr>
          <w:rFonts w:ascii="Times New Roman" w:eastAsia="Times New Roman" w:hAnsi="Times New Roman" w:cs="Times New Roman"/>
          <w:noProof/>
          <w:color w:val="auto"/>
          <w:bdr w:val="none" w:sz="0" w:space="0" w:color="auto"/>
        </w:rPr>
        <w:t xml:space="preserve"> </w:t>
      </w:r>
      <w:r w:rsidRPr="00AD1D50">
        <w:rPr>
          <w:rFonts w:ascii="Times New Roman" w:hAnsi="Times New Roman" w:cs="Times New Roman"/>
        </w:rPr>
        <w:t>network nodes separate between MCF10A and MDA-MB231 using normalized expression values from RNA-seq data (</w:t>
      </w:r>
      <w:r w:rsidRPr="00AD1D50">
        <w:rPr>
          <w:rFonts w:ascii="Times New Roman" w:hAnsi="Times New Roman" w:cs="Times New Roman"/>
          <w:highlight w:val="magenta"/>
        </w:rPr>
        <w:t>Fig3</w:t>
      </w:r>
      <w:r w:rsidRPr="00AD1D50">
        <w:rPr>
          <w:rFonts w:ascii="Times New Roman" w:hAnsi="Times New Roman" w:cs="Times New Roman"/>
        </w:rPr>
        <w:t>).</w:t>
      </w:r>
    </w:p>
    <w:p w:rsidR="007305B2" w:rsidRPr="00AD1D50" w:rsidRDefault="007305B2" w:rsidP="007305B2">
      <w:pPr>
        <w:pStyle w:val="BodyA"/>
        <w:spacing w:line="240" w:lineRule="auto"/>
        <w:contextualSpacing/>
        <w:jc w:val="both"/>
        <w:rPr>
          <w:rFonts w:ascii="Times New Roman" w:hAnsi="Times New Roman" w:cs="Times New Roman"/>
        </w:rPr>
      </w:pPr>
      <w:r w:rsidRPr="00AD1D50">
        <w:rPr>
          <w:rFonts w:ascii="Times New Roman" w:hAnsi="Times New Roman" w:cs="Times New Roman"/>
          <w:b/>
        </w:rPr>
        <w:t xml:space="preserve">Attractor Analysis with SFA. </w:t>
      </w:r>
      <w:r w:rsidRPr="00AD1D50">
        <w:rPr>
          <w:rFonts w:ascii="Times New Roman" w:hAnsi="Times New Roman" w:cs="Times New Roman"/>
        </w:rPr>
        <w:t>Using SFA we estimated the attractors from the MCF10A and MDA-MB-231 initial states. The direction of activity change (DAC) of the readout nodes was calculated between the MDA-MB231 and MCF10A attractors. For each readout node, the DAC was compared to the corresponding readout’s log2 FC values from our RNA-seq data. The readout nodes’ DAC matched the RNA-seq data, giving evidence that SFA is yielding reliable results (</w:t>
      </w:r>
      <w:r w:rsidRPr="00AD1D50">
        <w:rPr>
          <w:rFonts w:ascii="Times New Roman" w:hAnsi="Times New Roman" w:cs="Times New Roman"/>
          <w:highlight w:val="magenta"/>
        </w:rPr>
        <w:t>Fig4</w:t>
      </w:r>
      <w:r w:rsidRPr="00AD1D50">
        <w:rPr>
          <w:rFonts w:ascii="Times New Roman" w:hAnsi="Times New Roman" w:cs="Times New Roman"/>
        </w:rPr>
        <w:t>).</w:t>
      </w:r>
    </w:p>
    <w:p w:rsidR="007305B2" w:rsidRPr="00AD1D50" w:rsidRDefault="007305B2" w:rsidP="007305B2">
      <w:pPr>
        <w:pStyle w:val="BodyA"/>
        <w:widowControl w:val="0"/>
        <w:spacing w:line="240" w:lineRule="auto"/>
        <w:contextualSpacing/>
        <w:jc w:val="both"/>
        <w:rPr>
          <w:rFonts w:ascii="Times New Roman" w:hAnsi="Times New Roman" w:cs="Times New Roman"/>
        </w:rPr>
      </w:pPr>
      <w:r w:rsidRPr="00AD1D50">
        <w:rPr>
          <w:rFonts w:ascii="Times New Roman" w:hAnsi="Times New Roman" w:cs="Times New Roman"/>
          <w:b/>
        </w:rPr>
        <w:t>FC Control Analysis.</w:t>
      </w:r>
      <w:r w:rsidRPr="00AD1D50">
        <w:rPr>
          <w:rFonts w:ascii="Times New Roman" w:hAnsi="Times New Roman" w:cs="Times New Roman"/>
        </w:rPr>
        <w:t xml:space="preserve"> There were 12 FVS, each containing 8 nodes. Because the network has 4 source nodes, each of the 12 FC control sets contains 1 FVS of 8 nodes and 4 source nodes, for a total of 12 nodes. FC sets were prioritized to select one with the least mutated genes known in MDA-MB-231 cell lines [</w:t>
      </w:r>
      <w:r w:rsidRPr="00AD1D50">
        <w:rPr>
          <w:rFonts w:ascii="Times New Roman" w:hAnsi="Times New Roman" w:cs="Times New Roman"/>
        </w:rPr>
        <w:fldChar w:fldCharType="begin" w:fldLock="1"/>
      </w:r>
      <w:r w:rsidRPr="00AD1D50">
        <w:rPr>
          <w:rFonts w:ascii="Times New Roman" w:hAnsi="Times New Roman" w:cs="Times New Roman"/>
        </w:rPr>
        <w:instrText>ADDIN CSL_CITATION {"citationItems":[{"id":"ITEM-1","itemData":{"DOI":"10.1093/nar/gkv1030","ISSN":"0305-1048","PMID":"24304894","author":[{"dropping-particle":"","family":"Tym","given":"Joseph E.","non-dropping-particle":"","parse-names":false,"suffix":""},{"dropping-particle":"","family":"Mitsopoulos","given":"Costas","non-dropping-particle":"","parse-names":false,"suffix":""},{"dropping-particle":"","family":"Coker","given":"Elizabeth A.","non-dropping-particle":"","parse-names":false,"suffix":""},{"dropping-particle":"","family":"Razaz","given":"Parisa","non-dropping-particle":"","parse-names":false,"suffix":""},{"dropping-particle":"","family":"Schierz","given":"Amanda C.","non-dropping-particle":"","parse-names":false,"suffix":""},{"dropping-particle":"","family":"Antolin","given":"Albert A.","non-dropping-particle":"","parse-names":false,"suffix":""},{"dropping-particle":"","family":"Al-Lazikani","given":"Bissan","non-dropping-particle":"","parse-names":false,"suffix":""}],"container-title":"Nucleic Acids Research","id":"ITEM-1","issue":"D1","issued":{"date-parts":[["2016","1","4"]]},"page":"D938-D943","publisher":"Narnia","title":"canSAR: an updated cancer research and drug discovery knowledgebase","type":"article-journal","volume":"44"},"uris":["http://www.mendeley.com/documents/?uuid=faf83fcb-2ed9-3567-9c1f-59c60430af81"]}],"mendeley":{"formattedCitation":"&lt;sup&gt;64&lt;/sup&gt;","plainTextFormattedCitation":"64","previouslyFormattedCitation":"&lt;sup&gt;64&lt;/sup&gt;"},"properties":{"noteIndex":0},"schema":"https://github.com/citation-style-language/schema/raw/master/csl-citation.json"}</w:instrText>
      </w:r>
      <w:r w:rsidRPr="00AD1D50">
        <w:rPr>
          <w:rFonts w:ascii="Times New Roman" w:hAnsi="Times New Roman" w:cs="Times New Roman"/>
        </w:rPr>
        <w:fldChar w:fldCharType="separate"/>
      </w:r>
      <w:r w:rsidRPr="00AD1D50">
        <w:rPr>
          <w:rFonts w:ascii="Times New Roman" w:hAnsi="Times New Roman" w:cs="Times New Roman"/>
          <w:noProof/>
        </w:rPr>
        <w:t>64</w:t>
      </w:r>
      <w:r w:rsidRPr="00AD1D50">
        <w:rPr>
          <w:rFonts w:ascii="Times New Roman" w:hAnsi="Times New Roman" w:cs="Times New Roman"/>
        </w:rPr>
        <w:fldChar w:fldCharType="end"/>
      </w:r>
      <w:r w:rsidRPr="00AD1D50">
        <w:rPr>
          <w:rFonts w:ascii="Times New Roman" w:hAnsi="Times New Roman" w:cs="Times New Roman"/>
        </w:rPr>
        <w:t>]</w:t>
      </w:r>
      <w:r w:rsidRPr="00AD1D50">
        <w:rPr>
          <w:rFonts w:ascii="Times New Roman" w:hAnsi="Times New Roman" w:cs="Times New Roman"/>
          <w:highlight w:val="yellow"/>
        </w:rPr>
        <w:t>24304894</w:t>
      </w:r>
      <w:r w:rsidRPr="00AD1D50">
        <w:rPr>
          <w:rFonts w:ascii="Times New Roman" w:hAnsi="Times New Roman" w:cs="Times New Roman"/>
        </w:rPr>
        <w:t xml:space="preserve">]. One FC control set, </w:t>
      </w:r>
      <w:r w:rsidRPr="00AD1D50">
        <w:rPr>
          <w:rFonts w:ascii="Times New Roman" w:hAnsi="Times New Roman" w:cs="Times New Roman"/>
          <w:i/>
        </w:rPr>
        <w:t>FC1</w:t>
      </w:r>
      <w:r w:rsidRPr="00AD1D50">
        <w:rPr>
          <w:rFonts w:ascii="Times New Roman" w:hAnsi="Times New Roman" w:cs="Times New Roman"/>
        </w:rPr>
        <w:t>, was chosen for further analysis. FC1 contains known TNBC genes including SMAD3 and STAT3 [</w:t>
      </w:r>
      <w:r w:rsidRPr="00AD1D50">
        <w:rPr>
          <w:rFonts w:ascii="Times New Roman" w:hAnsi="Times New Roman" w:cs="Times New Roman"/>
        </w:rPr>
        <w:fldChar w:fldCharType="begin" w:fldLock="1"/>
      </w:r>
      <w:r w:rsidRPr="00AD1D50">
        <w:rPr>
          <w:rFonts w:ascii="Times New Roman" w:hAnsi="Times New Roman" w:cs="Times New Roman"/>
        </w:rPr>
        <w:instrText>ADDIN CSL_CITATION {"citationItems":[{"id":"ITEM-1","itemData":{"DOI":"10.1158/1078-0432.CCR-17-3125","ISSN":"1078-0432","PMID":"30012564","abstract":"Purpose: On the basis of the identified stress-independent cellular functions of activating transcription factor 4 (ATF4), we reported enhanced ATF4 levels in MCF10A cells treated with TGFβ1. ATF4 is overexpressed in patients with triple-negative breast cancer (TNBC), but its impact on patient survival and the underlying mechanisms remain unknown. We aimed to determine ATF4 effects on patients with breast cancer survival and TNBC aggressiveness, and the relationships between TGFβ and ATF4. Defining the signaling pathways may help us identify a cell signaling-tailored gene signature.Experimental Design: Patient survival data were determined by Kaplan-Meier analysis. Relationship between TGFβ and ATF4, their effects on aggressiveness (tumor proliferation, metastasis, and stemness), and the underlying pathways were analyzed in three TNBC cell lines and in vivo using patient-derived xenografts (PDX).Results:ATF4 overexpression correlated with TNBC patient survival decrease and a SMAD-dependent crosstalk between ATF4 and TGFβ was identified. ATF4 expression inhibition reduced migration, invasiveness, mammosphere-forming efficiency, proliferation, epithelial-mesenchymal transition, and antiapoptotic and stemness marker levels. In PDX models, ATF4 silencing decreased metastases, tumor growth, and relapse after chemotherapy. ATF4 was shown to be active downstream of SMAD2/3/4 and mTORC2, regulating TGFβ/SMAD and mTOR/RAC1-RHOA pathways independently of stress. We defined an eight-gene signature with prognostic potential, altered in 45% of 2,509 patients with breast cancer.Conclusions: ATF4 may represent a valuable prognostic biomarker and therapeutic target in patients with TNBC, and we identified a cell signaling pathway-based gene signature that may contribute to the development of combinatorial targeted therapies for breast cancer. Clin Cancer Res; 24(22); 5697-709. ©2018 AACR.","author":[{"dropping-particle":"","family":"González-González","given":"Adrián","non-dropping-particle":"","parse-names":false,"suffix":""},{"dropping-particle":"","family":"Muñoz-Muela","given":"Esperanza","non-dropping-particle":"","parse-names":false,"suffix":""},{"dropping-particle":"","family":"Marchal","given":"Juan A.","non-dropping-particle":"","parse-names":false,"suffix":""},{"dropping-particle":"","family":"Cara","given":"Francisca E.","non-dropping-particle":"","parse-names":false,"suffix":""},{"dropping-particle":"","family":"Molina","given":"Maria P.","non-dropping-particle":"","parse-names":false,"suffix":""},{"dropping-particle":"","family":"Cruz-Lozano","given":"Marina","non-dropping-particle":"","parse-names":false,"suffix":""},{"dropping-particle":"","family":"Jiménez","given":"Gema","non-dropping-particle":"","parse-names":false,"suffix":""},{"dropping-particle":"","family":"Verma","given":"Akanksha","non-dropping-particle":"","parse-names":false,"suffix":""},{"dropping-particle":"","family":"Ramírez","given":"Alberto","non-dropping-particle":"","parse-names":false,"suffix":""},{"dropping-particle":"","family":"Qian","given":"Wei","non-dropping-particle":"","parse-names":false,"suffix":""},{"dropping-particle":"","family":"Chen","given":"Wen","non-dropping-particle":"","parse-names":false,"suffix":""},{"dropping-particle":"","family":"Kozielski","given":"Anthony J.","non-dropping-particle":"","parse-names":false,"suffix":""},{"dropping-particle":"","family":"Elemento","given":"Olivier","non-dropping-particle":"","parse-names":false,"suffix":""},{"dropping-particle":"","family":"Martín-Salvago","given":"María D.","non-dropping-particle":"","parse-names":false,"suffix":""},{"dropping-particle":"","family":"Luque","given":"Rafael J.","non-dropping-particle":"","parse-names":false,"suffix":""},{"dropping-particle":"","family":"Rosa-Garrido","given":"Carmen","non-dropping-particle":"","parse-names":false,"suffix":""},{"dropping-particle":"","family":"Landeira","given":"David","non-dropping-particle":"","parse-names":false,"suffix":""},{"dropping-particle":"","family":"Quintana-Romero","given":"María","non-dropping-particle":"","parse-names":false,"suffix":""},{"dropping-particle":"","family":"Rosato","given":"Roberto R.","non-dropping-particle":"","parse-names":false,"suffix":""},{"dropping-particle":"","family":"García","given":"Maria A.","non-dropping-particle":"","parse-names":false,"suffix":""},{"dropping-particle":"","family":"Ramirez-Tortosa","given":"Cesar L.","non-dropping-particle":"","parse-names":false,"suffix":""},{"dropping-particle":"","family":"Kim","given":"Hanna","non-dropping-particle":"","parse-names":false,"suffix":""},{"dropping-particle":"","family":"Rodriguez-Aguayo","given":"Cristian","non-dropping-particle":"","parse-names":false,"suffix":""},{"dropping-particle":"","family":"Lopez-Berestein","given":"Gabriel","non-dropping-particle":"","parse-names":false,"suffix":""},{"dropping-particle":"","family":"Sood","given":"Anil K.","non-dropping-particle":"","parse-names":false,"suffix":""},{"dropping-particle":"","family":"Lorente","given":"Jose A.","non-dropping-particle":"","parse-names":false,"suffix":""},{"dropping-particle":"","family":"Sánchez-Rovira","given":"Pedro","non-dropping-particle":"","parse-names":false,"suffix":""},{"dropping-particle":"","family":"Chang","given":"Jenny C.","non-dropping-particle":"","parse-names":false,"suffix":""},{"dropping-particle":"","family":"Granados-Principal","given":"Sergio","non-dropping-particle":"","parse-names":false,"suffix":""}],"container-title":"Clinical Cancer Research","id":"ITEM-1","issue":"22","issued":{"date-parts":[["2018","11","15"]]},"page":"5697-5709","publisher":"American Association for Cancer Research","title":"Activating Transcription Factor 4 Modulates TGFβ-Induced Aggressiveness in Triple-Negative Breast Cancer via SMAD2/3/4 and mTORC2 Signaling","type":"article-journal","volume":"24"},"uris":["http://www.mendeley.com/documents/?uuid=e3f4b94f-cfc0-3d2a-9600-dda25376c529"]},{"id":"ITEM-2","itemData":{"DOI":"10.1038/bjc.2011.584","ISSN":"1532-1827","PMID":"22343619","abstract":"BACKGROUND The rapid collection of diverse genome-scale data raises the urgent need to integrate and utilise these resources for biological discovery or biomedical applications. For example, diverse transcriptomic and gene copy number variation data are currently collected for various cancers, but relatively few current methods are capable to utilise the emerging information. METHODS We developed and tested a data-integration method to identify gene networks that drive the biology of breast cancer clinical subtypes. The method simultaneously overlays gene expression and gene copy number data on protein-protein interaction, transcriptional-regulatory and signalling networks by identifying coincident genomic and transcriptional disturbances in local network neighborhoods. RESULTS We identified distinct driver-networks for each of the three common clinical breast cancer subtypes: oestrogen receptor (ER)+, human epidermal growth factor receptor 2 (HER2)+, and triple receptor-negative breast cancers (TNBC) from patient and cell line data sets. Driver-networks inferred from independent datasets were significantly reproducible. We also confirmed the functional relevance of a subset of randomly selected driver-network members for TNBC in gene knockdown experiments in vitro. We found that TNBC driver-network members genes have increased functional specificity to TNBC cell lines and higher functional sensitivity compared with genes selected by differential expression alone. CONCLUSION Clinical subtype-specific driver-networks identified through data integration are reproducible and functionally important.","author":[{"dropping-particle":"","family":"Dutta","given":"B","non-dropping-particle":"","parse-names":false,"suffix":""},{"dropping-particle":"","family":"Pusztai","given":"L","non-dropping-particle":"","parse-names":false,"suffix":""},{"dropping-particle":"","family":"Qi","given":"Y","non-dropping-particle":"","parse-names":false,"suffix":""},{"dropping-particle":"","family":"André","given":"F","non-dropping-particle":"","parse-names":false,"suffix":""},{"dropping-particle":"","family":"Lazar","given":"V","non-dropping-particle":"","parse-names":false,"suffix":""},{"dropping-particle":"","family":"Bianchini","given":"G","non-dropping-particle":"","parse-names":false,"suffix":""},{"dropping-particle":"","family":"Ueno","given":"N","non-dropping-particle":"","parse-names":false,"suffix":""},{"dropping-particle":"","family":"Agarwal","given":"R","non-dropping-particle":"","parse-names":false,"suffix":""},{"dropping-particle":"","family":"Wang","given":"B","non-dropping-particle":"","parse-names":false,"suffix":""},{"dropping-particle":"","family":"Shiang","given":"C Y","non-dropping-particle":"","parse-names":false,"suffix":""},{"dropping-particle":"","family":"Hortobagyi","given":"G N","non-dropping-particle":"","parse-names":false,"suffix":""},{"dropping-particle":"","family":"Mills","given":"G B","non-dropping-particle":"","parse-names":false,"suffix":""},{"dropping-particle":"","family":"Symmans","given":"W F","non-dropping-particle":"","parse-names":false,"suffix":""},{"dropping-particle":"","family":"Balázsi","given":"G","non-dropping-particle":"","parse-names":false,"suffix":""}],"container-title":"British journal of cancer","id":"ITEM-2","issue":"6","issued":{"date-parts":[["2012","3","13"]]},"page":"1107-16","title":"A network-based, integrative study to identify core biological pathways that drive breast cancer clinical subtypes.","type":"article-journal","volume":"106"},"uris":["http://www.mendeley.com/documents/?uuid=7403c948-5d4d-3320-a402-389ea3cb3e9c"]},{"id":"ITEM-3","itemData":{"DOI":"10.18632/oncotarget.11891","ISSN":"1949-2553","PMID":"27611952","abstract":"BACKGROUND TP53 mutations are frequent in breast cancer, however their clinical relevance in terms of response to chemotherapy is controversial. METHODS 450 pre-therapeutic, formalin-fixed, paraffin-embedded core biopsies from the phase II neoadjuvant GeparSixto trial that included HER2-positive and triple negative breast cancer (TNBC) were subjected to Sanger sequencing of exons 5-8 of the TP53 gene. TP53 status was correlated to response to neoadjuvant anthracycline/taxane-based chemotherapy with or without carboplatin and trastuzumab/lapatinib in HER2-positive and bevacizumab in TNBC. p53 protein expression was evaluated by immunohistochemistry in the TNBC subgroup. RESULTS Of 450 breast cancer samples 297 (66.0%) were TP53 mutant. Mutations were significantly more frequent in TNBC (74.8%) compared to HER2-positive cancers (55.4%, P &lt; 0.0001). Neither mutations nor different mutation types and effects were associated with pCR neither in the whole study group nor in molecular subtypes (P &gt; 0.05 each). Missense mutations tended to be associated with a better survival compared to all other types of mutations in TNBC (P = 0.093) and in HER2-positive cancers (P = 0.071). In TNBC, missense mutations were also linked to higher numbers of tumor-infiltrating lymphocytes (TILs, P = 0.028). p53 protein overexpression was also linked with imporved survival (P = 0.019). CONCLUSIONS Our study confirms high TP53 mutation rates in TNBC and HER2-positive breast cancer. Mutations did not predict the response to an intense neoadjuvant chemotherapy in these two molecular breast cancer subtypes.","author":[{"dropping-particle":"","family":"Darb-Esfahani","given":"Silvia","non-dropping-particle":"","parse-names":false,"suffix":""},{"dropping-particle":"","family":"Denkert","given":"Carsten","non-dropping-particle":"","parse-names":false,"suffix":""},{"dropping-particle":"","family":"Stenzinger","given":"Albrecht","non-dropping-particle":"","parse-names":false,"suffix":""},{"dropping-particle":"","family":"Salat","given":"Christoph","non-dropping-particle":"","parse-names":false,"suffix":""},{"dropping-particle":"","family":"Sinn","given":"Bruno","non-dropping-particle":"","parse-names":false,"suffix":""},{"dropping-particle":"","family":"Schem","given":"Christian","non-dropping-particle":"","parse-names":false,"suffix":""},{"dropping-particle":"","family":"Endris","given":"Volker","non-dropping-particle":"","parse-names":false,"suffix":""},{"dropping-particle":"","family":"Klare","given":"Peter","non-dropping-particle":"","parse-names":false,"suffix":""},{"dropping-particle":"","family":"Schmitt","given":"Wolfgang","non-dropping-particle":"","parse-names":false,"suffix":""},{"dropping-particle":"","family":"Blohmer","given":"Jens-Uwe","non-dropping-particle":"","parse-names":false,"suffix":""},{"dropping-particle":"","family":"Weichert","given":"Wilko","non-dropping-particle":"","parse-names":false,"suffix":""},{"dropping-particle":"","family":"Möbs","given":"Markus","non-dropping-particle":"","parse-names":false,"suffix":""},{"dropping-particle":"","family":"Tesch","given":"Hans","non-dropping-particle":"","parse-names":false,"suffix":""},{"dropping-particle":"","family":"Kümmel","given":"Sherko","non-dropping-particle":"","parse-names":false,"suffix":""},{"dropping-particle":"","family":"Sinn","given":"Peter","non-dropping-particle":"","parse-names":false,"suffix":""},{"dropping-particle":"","family":"Jackisch","given":"Christian","non-dropping-particle":"","parse-names":false,"suffix":""},{"dropping-particle":"","family":"Dietel","given":"Manfred","non-dropping-particle":"","parse-names":false,"suffix":""},{"dropping-particle":"","family":"Reimer","given":"Toralf","non-dropping-particle":"","parse-names":false,"suffix":""},{"dropping-particle":"","family":"Loi","given":"Sherene","non-dropping-particle":"","parse-names":false,"suffix":""},{"dropping-particle":"","family":"Untch","given":"Michael","non-dropping-particle":"","parse-names":false,"suffix":""},{"dropping-particle":"","family":"Minckwitz","given":"Gunter","non-dropping-particle":"von","parse-names":false,"suffix":""},{"dropping-particle":"","family":"Nekljudova","given":"Valentina","non-dropping-particle":"","parse-names":false,"suffix":""},{"dropping-particle":"","family":"Loibl","given":"Sibylle","non-dropping-particle":"","parse-names":false,"suffix":""}],"container-title":"Oncotarget","id":"ITEM-3","issue":"42","issued":{"date-parts":[["2016","10","18"]]},"page":"67686-67698","title":"Role of TP53 mutations in triple negative and HER2-positive breast cancer treated with neoadjuvant anthracycline/taxane-based chemotherapy.","type":"article-journal","volume":"7"},"uris":["http://www.mendeley.com/documents/?uuid=91c73845-2dae-3bcc-be95-58c097c4a7a0"]}],"mendeley":{"formattedCitation":"&lt;sup&gt;60,61,63&lt;/sup&gt;","plainTextFormattedCitation":"60,61,63","previouslyFormattedCitation":"&lt;sup&gt;60,61,63&lt;/sup&gt;"},"properties":{"noteIndex":0},"schema":"https://github.com/citation-style-language/schema/raw/master/csl-citation.json"}</w:instrText>
      </w:r>
      <w:r w:rsidRPr="00AD1D50">
        <w:rPr>
          <w:rFonts w:ascii="Times New Roman" w:hAnsi="Times New Roman" w:cs="Times New Roman"/>
        </w:rPr>
        <w:fldChar w:fldCharType="separate"/>
      </w:r>
      <w:r w:rsidRPr="00AD1D50">
        <w:rPr>
          <w:rFonts w:ascii="Times New Roman" w:hAnsi="Times New Roman" w:cs="Times New Roman"/>
          <w:noProof/>
        </w:rPr>
        <w:t>60,61,63</w:t>
      </w:r>
      <w:r w:rsidRPr="00AD1D50">
        <w:rPr>
          <w:rFonts w:ascii="Times New Roman" w:hAnsi="Times New Roman" w:cs="Times New Roman"/>
        </w:rPr>
        <w:fldChar w:fldCharType="end"/>
      </w:r>
      <w:r w:rsidRPr="00AD1D50">
        <w:rPr>
          <w:rFonts w:ascii="Times New Roman" w:hAnsi="Times New Roman" w:cs="Times New Roman"/>
        </w:rPr>
        <w:t>] and uncontrolled proliferation marker CASP3 [</w:t>
      </w:r>
      <w:r w:rsidRPr="00AD1D50">
        <w:rPr>
          <w:rFonts w:ascii="Times New Roman" w:hAnsi="Times New Roman" w:cs="Times New Roman"/>
        </w:rPr>
        <w:fldChar w:fldCharType="begin" w:fldLock="1"/>
      </w:r>
      <w:r w:rsidRPr="00AD1D50">
        <w:rPr>
          <w:rFonts w:ascii="Times New Roman" w:hAnsi="Times New Roman" w:cs="Times New Roman"/>
        </w:rPr>
        <w:instrText>ADDIN CSL_CITATION {"citationItems":[{"id":"ITEM-1","itemData":{"DOI":"10.1186/s12918-017-0424-2","ISSN":"1752-0509","PMID":"28381275","abstract":"BACKGROUND Cancer reversion, converting the phenotypes of a cancer cell into those of a normal cell, has been sporadically observed throughout history. However, no systematic analysis has been attempted so far. RESULTS To investigate this from a systems biological perspective, we have constructed a logical network model of colorectal tumorigenesis by integrating key regulatory molecules and their interactions from previous experimental data. We identified molecular targets that can reverse cancerous cellular states to a normal state by systematically perturbing each molecular activity in the network and evaluating the resulting changes of the attractor landscape with respect to uncontrolled proliferation, EMT, and stemness. Intriguingly, many of the identified targets were well in accord with previous studies. We further revealed that the identified targets constitute stable network motifs that contribute to enhancing the robustness of attractors in cancerous cellular states against diverse regulatory signals. CONCLUSIONS The proposed framework for systems analysis is applicable to the study of tumorigenesis and reversion of other types of cancer.","author":[{"dropping-particle":"","family":"Kim","given":"Yunseong","non-dropping-particle":"","parse-names":false,"suffix":""},{"dropping-particle":"","family":"Choi","given":"Sea","non-dropping-particle":"","parse-names":false,"suffix":""},{"dropping-particle":"","family":"Shin","given":"Dongkwan","non-dropping-particle":"","parse-names":false,"suffix":""},{"dropping-particle":"","family":"Cho","given":"Kwang-Hyun","non-dropping-particle":"","parse-names":false,"suffix":""}],"container-title":"BMC Systems Biology","id":"ITEM-1","issue":"1","issued":{"date-parts":[["2017","12","5"]]},"page":"45","publisher":"BioMed Central","title":"Quantitative evaluation and reversion analysis of the attractor landscapes of an intracellular regulatory network for colorectal cancer","type":"article-journal","volume":"11"},"uris":["http://www.mendeley.com/documents/?uuid=e2ac4aa1-cb23-3edc-8fa2-0b67e797bf9c"]}],"mendeley":{"formattedCitation":"&lt;sup&gt;58&lt;/sup&gt;","plainTextFormattedCitation":"58","previouslyFormattedCitation":"&lt;sup&gt;58&lt;/sup&gt;"},"properties":{"noteIndex":0},"schema":"https://github.com/citation-style-language/schema/raw/master/csl-citation.json"}</w:instrText>
      </w:r>
      <w:r w:rsidRPr="00AD1D50">
        <w:rPr>
          <w:rFonts w:ascii="Times New Roman" w:hAnsi="Times New Roman" w:cs="Times New Roman"/>
        </w:rPr>
        <w:fldChar w:fldCharType="separate"/>
      </w:r>
      <w:r w:rsidRPr="00AD1D50">
        <w:rPr>
          <w:rFonts w:ascii="Times New Roman" w:hAnsi="Times New Roman" w:cs="Times New Roman"/>
          <w:noProof/>
        </w:rPr>
        <w:t>58</w:t>
      </w:r>
      <w:r w:rsidRPr="00AD1D50">
        <w:rPr>
          <w:rFonts w:ascii="Times New Roman" w:hAnsi="Times New Roman" w:cs="Times New Roman"/>
        </w:rPr>
        <w:fldChar w:fldCharType="end"/>
      </w:r>
      <w:r w:rsidRPr="00AD1D50">
        <w:rPr>
          <w:rFonts w:ascii="Times New Roman" w:hAnsi="Times New Roman" w:cs="Times New Roman"/>
        </w:rPr>
        <w:t>].</w:t>
      </w:r>
    </w:p>
    <w:p w:rsidR="007305B2" w:rsidRPr="00622928" w:rsidRDefault="007305B2" w:rsidP="007305B2">
      <w:pPr>
        <w:pStyle w:val="BodyA"/>
        <w:widowControl w:val="0"/>
        <w:spacing w:line="240" w:lineRule="auto"/>
        <w:contextualSpacing/>
        <w:jc w:val="both"/>
        <w:rPr>
          <w:rFonts w:ascii="Times New Roman" w:hAnsi="Times New Roman" w:cs="Times New Roman"/>
        </w:rPr>
      </w:pPr>
      <w:r w:rsidRPr="00AD1D50">
        <w:rPr>
          <w:rFonts w:ascii="Times New Roman" w:hAnsi="Times New Roman" w:cs="Times New Roman"/>
          <w:b/>
          <w:i/>
        </w:rPr>
        <w:t>In Silico</w:t>
      </w:r>
      <w:r w:rsidRPr="00AD1D50">
        <w:rPr>
          <w:rFonts w:ascii="Times New Roman" w:hAnsi="Times New Roman" w:cs="Times New Roman"/>
          <w:b/>
        </w:rPr>
        <w:t xml:space="preserve"> Screening on FC1 Set.</w:t>
      </w:r>
      <w:r w:rsidRPr="00AD1D50">
        <w:rPr>
          <w:rFonts w:ascii="Times New Roman" w:hAnsi="Times New Roman" w:cs="Times New Roman"/>
        </w:rPr>
        <w:t xml:space="preserve"> SFA was performed taking as input our MD-MBA-231 network nodes, the RNA-seq normalized expression values of the MDA-MB-231 and a set of perturbations (activations or inhibitions) on FC1. SFA ran until reaching an attractor. A perturbation pattern is deemed successful if, we observe a change in the direction of expression of as many readout nodes from those expression values in the MDA-MB-231 attractor. After 100 simulations, one perturbation pattern was found to successfully change 14 of the readout nodes’ attractor activity. The 14 controlled readout nodes cover various hallmarks of cancer. CD44 is a common cancer stem cell marker, associated with malignancy in MDA-MB-231 cells. CRK, CRKL, and FGFR1 are associated with metastasis of MDA-MB-231 cells [</w:t>
      </w:r>
      <w:r w:rsidRPr="00AD1D50">
        <w:rPr>
          <w:rFonts w:ascii="Times New Roman" w:hAnsi="Times New Roman" w:cs="Times New Roman"/>
        </w:rPr>
        <w:fldChar w:fldCharType="begin" w:fldLock="1"/>
      </w:r>
      <w:r w:rsidRPr="00AD1D50">
        <w:rPr>
          <w:rFonts w:ascii="Times New Roman" w:hAnsi="Times New Roman" w:cs="Times New Roman"/>
        </w:rPr>
        <w:instrText>ADDIN CSL_CITATION {"citationItems":[{"id":"ITEM-1","itemData":{"DOI":"10.1038/s41598-017-14364-2","ISSN":"2045-2322","PMID":"29062075","abstract":"CD44/CD24 and ALDH1 are widely used cancer stem cell (CSC) markers in breast cancer. However, their expression is not always consistent even in the same subtype of breast cancer. Systematic comparison of their functions is still lacking. We investigated the expression of CD44, CD24 and ALDH1 in different subtypes of breast cancer cells, and explored their relationship with cancer progression. We defined a parameter CD44/CD24 ratio to present the expression level of CD44 and CD24 and found that high CD44/CD24 ratio and ALDH1+ are both indicators for cancer malignancy, but play different functions during tumor progression. High CD44/CD24 ratio is more related to cell proliferation and tumorigenesis, which is confirmed by mammosphere formation and tumorigenesis in xenotransplanted mice. ALDH1+ is a stronger indicator for cell migration and tumor metastasis. Suppression of CD44 and ALDH1 by siRNA led to decreased tumorigenicity and cell migration capacity. The combination of high CD44/CD24 ratio and ALDH1+ would be a more reliable way to characterize CSCs. Moreover, both high CD44/CD24 ratio and ALDH1+ were conserved during metastasis, from the primary tumors to the circulating tumor cells (CTCs) and the distant metastases, suggesting the significant value of these CSC markers in assisting cancer detection, prognostic evaluation, and even cancer therapeutics.","author":[{"dropping-particle":"","family":"Li","given":"Wenzhe","non-dropping-particle":"","parse-names":false,"suffix":""},{"dropping-particle":"","family":"Ma","given":"Huailei","non-dropping-particle":"","parse-names":false,"suffix":""},{"dropping-particle":"","family":"Zhang","given":"Jin","non-dropping-particle":"","parse-names":false,"suffix":""},{"dropping-particle":"","family":"Zhu","given":"Ling","non-dropping-particle":"","parse-names":false,"suffix":""},{"dropping-particle":"","family":"Wang","given":"Chen","non-dropping-particle":"","parse-names":false,"suffix":""},{"dropping-particle":"","family":"Yang","given":"Yanlian","non-dropping-particle":"","parse-names":false,"suffix":""}],"container-title":"Scientific reports","id":"ITEM-1","issue":"1","issued":{"date-parts":[["2017","10","23"]]},"page":"13856","title":"Unraveling the roles of CD44/CD24 and ALDH1 as cancer stem cell markers in tumorigenesis and metastasis.","type":"article-journal","volume":"7"},"uris":["http://www.mendeley.com/documents/?uuid=5ff0feec-f64b-3116-931e-815e3e9abe89"]},{"id":"ITEM-2","itemData":{"DOI":"10.1158/1078-0432.CCR-07-1844","ISSN":"1078-0432","PMID":"18676748","abstract":"PURPOSE Our recent study revealed that CD55-high population in breast cancer cell line was resistant to apoptosis and formed colonies in vitro more efficiently than CD55-low population. The present study was conducted to examine whether CD55-high population in breast cancer cell line possesses higher tumorigenic potential in vivo and presence of CD55-high cells in breast cancer affects clinicopathologic behavior of patients. EXPERIMENTAL DESIGN CD55-high and CD55-low population was sorted from breast cancer cell line, injected into immunodeficient mice, and the resultant tumor volume was measured. CD55 expression was immunohistochemically examined in clinical samples from 74 cases with breast cancers, and cases with &gt;1% of tumor cells showing high level of CD55 expression were categorized as CD55 high. RESULTS The xenotransplanted tumor volume derived from CD55-high population was significantly larger than that from CD55-low population. Fifty (67.6%) of 74 cases of breast cancer were CD55-high. A significant correlation was observed between CD55-high character and relapse rate (P &lt; 0.001). Univariate analysis showed that tumor size (P = 0.005) and CD55 expression (P = 0.005) were unfavorable prognostic factors. Multivariate analysis revealed that the tumor size (P = 0.013) and CD55 expression (P = 0.011) were independent prognostic factors. CONCLUSIONS CD55 play an important role in tumorigenesis of breast cancer, and presence of small population of cells with strong CD55 expression would be sufficient to predict poor prognosis of patients.","author":[{"dropping-particle":"","family":"Ikeda","given":"Jun-Ichiro","non-dropping-particle":"","parse-names":false,"suffix":""},{"dropping-particle":"","family":"Morii","given":"Eiichi","non-dropping-particle":"","parse-names":false,"suffix":""},{"dropping-particle":"","family":"Liu","given":"Yalan","non-dropping-particle":"","parse-names":false,"suffix":""},{"dropping-particle":"","family":"Qiu","given":"Ying","non-dropping-particle":"","parse-names":false,"suffix":""},{"dropping-particle":"","family":"Nakamichi","given":"Naoto","non-dropping-particle":"","parse-names":false,"suffix":""},{"dropping-particle":"","family":"Jokoji","given":"Ryu","non-dropping-particle":"","parse-names":false,"suffix":""},{"dropping-particle":"","family":"Miyoshi","given":"Yasuo","non-dropping-particle":"","parse-names":false,"suffix":""},{"dropping-particle":"","family":"Noguchi","given":"Shinzaburo","non-dropping-particle":"","parse-names":false,"suffix":""},{"dropping-particle":"","family":"Aozasa","given":"Katsuyuki","non-dropping-particle":"","parse-names":false,"suffix":""}],"container-title":"Clinical cancer research : an official journal of the American Association for Cancer Research","id":"ITEM-2","issue":"15","issued":{"date-parts":[["2008","8","1"]]},"page":"4780-6","title":"Prognostic significance of CD55 expression in breast cancer.","type":"article-journal","volume":"14"},"uris":["http://www.mendeley.com/documents/?uuid=a2d1dae6-f340-3df0-a18f-98432694761f"]},{"id":"ITEM-3","itemData":{"DOI":"10.1007/s12032-014-0411-z","ISSN":"1559-131X","PMID":"25476480","abstract":"The adapter protein CrkL is required for regulating the malignant potential of human cancers. However, the regulatory mechanisms of CrkL on the stromal cell-derived factor 1 (SDF-1)/CXCR4 signaling pathways in breast cancer are not well characterized. Here, CXCR4 and CrkL proteins were tested in breast cancer cell lines and 60 primary breast cancer tissues. In vitro, the roles of CrkL in SDF-1-induced MDA-MB-231 cell cycle, invasion and migration were investigated. In the present study, CXCR4 and CrkL were highly expressed in MCF-7, MDA-MB-231, MDA-MB-231HM MDA-MB-468 and tumor tissues (80 and 60 %, respectively) and closely correlated with lymph node metastasis. In vitro studies revealed that SDF-1 induced the activation of CrkL, Erk1/2, Akt and matrix metallopeptidase 9 (MMP9) in MDA-MB-231 cells. The si-CrkL treatment significantly down-regulated the phosphorylated Erk1/2 (p-Erk1/2) and MMP9, but up-regulated p-Akt, compared with control. Importantly, wound-healing and transwell invasion assays showed that si-CrkL significantly impaired the wound closure and inhibited the SDF-1-induced invasion; similarly, flow cytometry showed that si-CrkL affected cell cycle. In conclusion, these results suggest that CrkL plays a regulatory role in the SDF-1-induced Erk1/2 and PI3K/Akt pathways and further managed the invasion and migration of breast cancer cells. Thus, CrkL may be recommended as an interesting therapeutic target for breast cancer.","author":[{"dropping-particle":"","family":"Lian","given":"Xin","non-dropping-particle":"","parse-names":false,"suffix":""},{"dropping-particle":"","family":"Jiao","given":"Yu","non-dropping-particle":"","parse-names":false,"suffix":""},{"dropping-particle":"","family":"Yang","given":"Yu","non-dropping-particle":"","parse-names":false,"suffix":""},{"dropping-particle":"","family":"Wang","given":"Zhipeng","non-dropping-particle":"","parse-names":false,"suffix":""},{"dropping-particle":"","family":"Xuan","given":"Qijia","non-dropping-particle":"","parse-names":false,"suffix":""},{"dropping-particle":"","family":"Liu","given":"Hang","non-dropping-particle":"","parse-names":false,"suffix":""},{"dropping-particle":"","family":"Lu","given":"Shan","non-dropping-particle":"","parse-names":false,"suffix":""},{"dropping-particle":"","family":"Wang","given":"Zunxian","non-dropping-particle":"","parse-names":false,"suffix":""},{"dropping-particle":"","family":"Liu","given":"Yue","non-dropping-particle":"","parse-names":false,"suffix":""},{"dropping-particle":"","family":"Li","given":"Shuo","non-dropping-particle":"","parse-names":false,"suffix":""},{"dropping-particle":"","family":"Yang","given":"Yuguang","non-dropping-particle":"","parse-names":false,"suffix":""},{"dropping-particle":"","family":"Guo","given":"Li","non-dropping-particle":"","parse-names":false,"suffix":""},{"dropping-particle":"","family":"Zhao","given":"Ling","non-dropping-particle":"","parse-names":false,"suffix":""},{"dropping-particle":"","family":"Zhang","given":"Qingyuan","non-dropping-particle":"","parse-names":false,"suffix":""}],"container-title":"Medical oncology (Northwood, London, England)","id":"ITEM-3","issue":"1","issued":{"date-parts":[["2015","1","5"]]},"page":"411","title":"CrkL regulates SDF-1-induced breast cancer biology through balancing Erk1/2 and PI3K/Akt pathways.","type":"article-journal","volume":"32"},"uris":["http://www.mendeley.com/documents/?uuid=a756bd68-0925-36e7-86dd-feacbe041cd7"]},{"id":"ITEM-4","itemData":{"DOI":"10.1007/s10549-015-3371-x","ISSN":"1573-7217","PMID":"25868865","abstract":"Triple-negative breast cancers (TNBCs) are clinically aggressive tumors with limited treatment options. We examined the clinicopathological associations and prognostic implications of FGFR1 and FGFR2 expression in TNBCs. Tissue microarrays constructed from TNBCs were immunostained with FGFR1 and FGFR2, and scored by intensity and percentage of tumor cells stained per intensity for each subcellular compartment, which were correlated with clinicopathological parameters and survival. Cell migration following siRNA-mediated silencing of the FGFR1 gene in TNBC cell lines was also performed. 714 cases were informative for FGFR1 and FGFR2 immunostaining. Thresholds were defined as at least 1 % of cells stained and H-score of 100 or more. Proportions positive by each threshold were, respectively, 89.9 %, 7.1 % for FGFR1 (cytoplasm); 36.8 %, 7.8 % for FGFR2 (cytoplasm); and 33.5 %, 5.2 % for FGFR2 (membrane). Significant associations included FGFR1 and FGFR2 immunostaining for lobular subtype, FGFR2 immunostaining with lower grade, and more basal-like cancers with H-scores of 100 or more FGFR1 immunostaining. Multivariate Cox regression analysis showed FGFR1 expression in TNBCs to be independently prognostic for overall survival (OS) at both thresholds. Cases completely negative (less than 1 % staining) for FGFR1 immunostaining showed improved OS, while those with H-score of 100 or more immunostaining had the worst OS. Cell line studies revealed up-regulation of the FGFR1 gene in the MDA-MB-231 and Hs578T TNBC cells, and specific knockdown of FGFR1 expression significantly reduced cell migration in MDA-MB-231 cell line. In conclusion, FGFR1 expression in TNBCs is independently prognostic of OS, and H-score of 100 or more FGFR1 immunostaining may define tumors that have treatment potential via FGFR signaling inhibition.","author":[{"dropping-particle":"","family":"Cheng","given":"Chee Leong","non-dropping-particle":"","parse-names":false,"suffix":""},{"dropping-particle":"","family":"Thike","given":"Aye Aye","non-dropping-particle":"","parse-names":false,"suffix":""},{"dropping-particle":"","family":"Tan","given":"Sie Yong Jane","non-dropping-particle":"","parse-names":false,"suffix":""},{"dropping-particle":"","family":"Chua","given":"Pei Jou","non-dropping-particle":"","parse-names":false,"suffix":""},{"dropping-particle":"","family":"Bay","given":"Boon Huat","non-dropping-particle":"","parse-names":false,"suffix":""},{"dropping-particle":"","family":"Tan","given":"Puay Hoon","non-dropping-particle":"","parse-names":false,"suffix":""}],"container-title":"Breast cancer research and treatment","id":"ITEM-4","issue":"1","issued":{"date-parts":[["2015","5","14"]]},"page":"99-111","title":"Expression of FGFR1 is an independent prognostic factor in triple-negative breast cancer.","type":"article-journal","volume":"151"},"uris":["http://www.mendeley.com/documents/?uuid=bf1be2e6-ae35-35a0-bf5f-0113b1e82c5e"]}],"mendeley":{"formattedCitation":"&lt;sup&gt;66–69&lt;/sup&gt;","plainTextFormattedCitation":"66–69","previouslyFormattedCitation":"&lt;sup&gt;66–69&lt;/sup&gt;"},"properties":{"noteIndex":0},"schema":"https://github.com/citation-style-language/schema/raw/master/csl-citation.json"}</w:instrText>
      </w:r>
      <w:r w:rsidRPr="00AD1D50">
        <w:rPr>
          <w:rFonts w:ascii="Times New Roman" w:hAnsi="Times New Roman" w:cs="Times New Roman"/>
        </w:rPr>
        <w:fldChar w:fldCharType="separate"/>
      </w:r>
      <w:r w:rsidRPr="00AD1D50">
        <w:rPr>
          <w:rFonts w:ascii="Times New Roman" w:hAnsi="Times New Roman" w:cs="Times New Roman"/>
          <w:noProof/>
        </w:rPr>
        <w:t>66–69</w:t>
      </w:r>
      <w:r w:rsidRPr="00AD1D50">
        <w:rPr>
          <w:rFonts w:ascii="Times New Roman" w:hAnsi="Times New Roman" w:cs="Times New Roman"/>
        </w:rPr>
        <w:fldChar w:fldCharType="end"/>
      </w:r>
      <w:r w:rsidRPr="00AD1D50">
        <w:rPr>
          <w:rFonts w:ascii="Times New Roman" w:hAnsi="Times New Roman" w:cs="Times New Roman"/>
        </w:rPr>
        <w:t>]. Other switched readout nodes, such as HMGA2 and KPNB1 are associated with EMT and malignant proliferation in MDA-MB-231 breast cancer cells, respectively [</w:t>
      </w:r>
      <w:r w:rsidRPr="00AD1D50">
        <w:rPr>
          <w:rFonts w:ascii="Times New Roman" w:hAnsi="Times New Roman" w:cs="Times New Roman"/>
        </w:rPr>
        <w:fldChar w:fldCharType="begin" w:fldLock="1"/>
      </w:r>
      <w:r w:rsidRPr="00AD1D50">
        <w:rPr>
          <w:rFonts w:ascii="Times New Roman" w:hAnsi="Times New Roman" w:cs="Times New Roman"/>
        </w:rPr>
        <w:instrText>ADDIN CSL_CITATION {"citationItems":[{"id":"ITEM-1","itemData":{"DOI":"10.1158/0008-5472.CAN-12-3848","ISSN":"1538-7445","PMID":"23722545","abstract":"The non-histone chromatin-binding protein HMGA2 is expressed predominantly in the mesenchyme before its differentiation, but it is also expressed in tumors of epithelial origin. Ectopic expression of HMGA2 in epithelial cells induces epithelial-mesenchymal transition (EMT), which has been implicated in the acquisition of metastatic characters in tumor cells. However, little is known about in vivo modulation of HMGA2 and its effector functions in tumor metastasis. Here, we report that HMGA2 loss of function in a mouse model of cancer reduces tumor multiplicity. HMGA2-positive cells were identified at the invasive front of human and mouse tumors. In addition, in a mouse allograft model, HMGA2 overexpression converted nonmetastatic 4TO7 breast cancer cells to metastatic cells that homed specifically to liver. Interestingly, expression of HMGA2 enhanced TGFβ signaling by activating expression of the TGFβ type II receptor, which also localized to the invasive front of tumors. Together our results argued that HMGA2 plays a critical role in EMT by activating the TGFβ signaling pathway, thereby inducing invasion and metastasis of human epithelial cancers.","author":[{"dropping-particle":"","family":"Morishita","given":"Asahiro","non-dropping-particle":"","parse-names":false,"suffix":""},{"dropping-particle":"","family":"Zaidi","given":"M Raza","non-dropping-particle":"","parse-names":false,"suffix":""},{"dropping-particle":"","family":"Mitoro","given":"Akira","non-dropping-particle":"","parse-names":false,"suffix":""},{"dropping-particle":"","family":"Sankarasharma","given":"Devipriya","non-dropping-particle":"","parse-names":false,"suffix":""},{"dropping-particle":"","family":"Szabolcs","given":"Matthias","non-dropping-particle":"","parse-names":false,"suffix":""},{"dropping-particle":"","family":"Okada","given":"Yasunori","non-dropping-particle":"","parse-names":false,"suffix":""},{"dropping-particle":"","family":"D'Armiento","given":"Jeanine","non-dropping-particle":"","parse-names":false,"suffix":""},{"dropping-particle":"","family":"Chada","given":"Kiran","non-dropping-particle":"","parse-names":false,"suffix":""}],"container-title":"Cancer research","id":"ITEM-1","issue":"14","issued":{"date-parts":[["2013","7","15"]]},"page":"4289-99","title":"HMGA2 is a driver of tumor metastasis.","type":"article-journal","volume":"73"},"uris":["http://www.mendeley.com/documents/?uuid=66adc767-ed63-3e97-8322-5076accedfcf"]},{"id":"ITEM-2","itemData":{"DOI":"10.1073/pnas.1705441114","ISSN":"1091-6490","PMID":"28811376","abstract":"Epithelial ovarian cancer (EOC) is a deadly cancer, and its prognosis has not been changed significantly during several decades. To seek new therapeutic targets for EOC, we performed an in vivo dropout screen in human tumor xenografts using a pooled shRNA library targeting thousands of druggable genes. Then, in follow-up studies, we performed a second screen using a genome-wide CRISPR/Cas9 library. These screens identified 10 high-confidence drug targets that included well-known oncogenes such as ERBB2 and RAF1, and novel oncogenes, notably KPNB1, which we investigated further. Genetic and pharmacological inhibition showed that KPNB1 exerts its antitumor effects through multiphase cell cycle arrest and apoptosis induction. Mechanistically, proteomic studies revealed that KPNB1 acts as a master regulator of cell cycle-related proteins, including p21, p27, and APC/C. Clinically, EOC patients with higher expression levels of KPNB1 showed earlier recurrence and worse prognosis than those with lower expression levels of KPNB1. Interestingly, ivermectin, a Food and Drug Administration-approved antiparasitic drug, showed KPNB1-dependent antitumor effects on EOC, serving as an alternative therapeutic toward EOC patients through drug repositioning. Last, we found that the combination of ivermectin and paclitaxel produces a stronger antitumor effect on EOC both in vitro and in vivo than either drug alone. Our studies have thus identified a combinatorial therapy for EOC, in addition to a plethora of potential drug targets.","author":[{"dropping-particle":"","family":"Kodama","given":"Michiko","non-dropping-particle":"","parse-names":false,"suffix":""},{"dropping-particle":"","family":"Kodama","given":"Takahiro","non-dropping-particle":"","parse-names":false,"suffix":""},{"dropping-particle":"","family":"Newberg","given":"Justin Y","non-dropping-particle":"","parse-names":false,"suffix":""},{"dropping-particle":"","family":"Katayama","given":"Hiroyuki","non-dropping-particle":"","parse-names":false,"suffix":""},{"dropping-particle":"","family":"Kobayashi","given":"Makoto","non-dropping-particle":"","parse-names":false,"suffix":""},{"dropping-particle":"","family":"Hanash","given":"Samir M","non-dropping-particle":"","parse-names":false,"suffix":""},{"dropping-particle":"","family":"Yoshihara","given":"Kosuke","non-dropping-particle":"","parse-names":false,"suffix":""},{"dropping-particle":"","family":"Wei","given":"Zhubo","non-dropping-particle":"","parse-names":false,"suffix":""},{"dropping-particle":"","family":"Tien","given":"Jean C","non-dropping-particle":"","parse-names":false,"suffix":""},{"dropping-particle":"","family":"Rangel","given":"Roberto","non-dropping-particle":"","parse-names":false,"suffix":""},{"dropping-particle":"","family":"Hashimoto","given":"Kae","non-dropping-particle":"","parse-names":false,"suffix":""},{"dropping-particle":"","family":"Mabuchi","given":"Seiji","non-dropping-particle":"","parse-names":false,"suffix":""},{"dropping-particle":"","family":"Sawada","given":"Kenjiro","non-dropping-particle":"","parse-names":false,"suffix":""},{"dropping-particle":"","family":"Kimura","given":"Tadashi","non-dropping-particle":"","parse-names":false,"suffix":""},{"dropping-particle":"","family":"Copeland","given":"Neal G","non-dropping-particle":"","parse-names":false,"suffix":""},{"dropping-particle":"","family":"Jenkins","given":"Nancy A","non-dropping-particle":"","parse-names":false,"suffix":""}],"container-title":"Proceedings of the National Academy of Sciences of the United States of America","id":"ITEM-2","issue":"35","issued":{"date-parts":[["2017","8","29"]]},"page":"E7301-E7310","title":"In vivo loss-of-function screens identify KPNB1 as a new druggable oncogene in epithelial ovarian cancer.","type":"article-journal","volume":"114"},"uris":["http://www.mendeley.com/documents/?uuid=6fad3ec2-4606-38e2-84f7-0d38a30ae6d7"]}],"mendeley":{"formattedCitation":"&lt;sup&gt;70,71&lt;/sup&gt;","plainTextFormattedCitation":"70,71"},"properties":{"noteIndex":0},"schema":"https://github.com/citation-style-language/schema/raw/master/csl-citation.json"}</w:instrText>
      </w:r>
      <w:r w:rsidRPr="00AD1D50">
        <w:rPr>
          <w:rFonts w:ascii="Times New Roman" w:hAnsi="Times New Roman" w:cs="Times New Roman"/>
        </w:rPr>
        <w:fldChar w:fldCharType="separate"/>
      </w:r>
      <w:r w:rsidRPr="00AD1D50">
        <w:rPr>
          <w:rFonts w:ascii="Times New Roman" w:hAnsi="Times New Roman" w:cs="Times New Roman"/>
          <w:noProof/>
        </w:rPr>
        <w:t>70,71</w:t>
      </w:r>
      <w:r w:rsidRPr="00AD1D50">
        <w:rPr>
          <w:rFonts w:ascii="Times New Roman" w:hAnsi="Times New Roman" w:cs="Times New Roman"/>
        </w:rPr>
        <w:fldChar w:fldCharType="end"/>
      </w:r>
      <w:r w:rsidRPr="00AD1D50">
        <w:rPr>
          <w:rFonts w:ascii="Times New Roman" w:hAnsi="Times New Roman" w:cs="Times New Roman"/>
        </w:rPr>
        <w:t>]. Once we identify a satisfactory set of interventions on the 8 nodes of FC1, the last step will be to reduce the size of FC1 applying our software, OCSANA and repeat the same process for the other 12 sets</w:t>
      </w:r>
      <w:r w:rsidRPr="00622928">
        <w:rPr>
          <w:rFonts w:ascii="Times New Roman" w:hAnsi="Times New Roman" w:cs="Times New Roman"/>
        </w:rPr>
        <w:t>.</w:t>
      </w:r>
    </w:p>
    <w:p w:rsidR="00F16BFE" w:rsidRDefault="00F16BFE"/>
    <w:sectPr w:rsidR="00F16BFE" w:rsidSect="007305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5B2"/>
    <w:rsid w:val="007305B2"/>
    <w:rsid w:val="00F16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FCAD9-858D-4426-B79A-4260B0D0C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7305B2"/>
    <w:pPr>
      <w:pBdr>
        <w:top w:val="nil"/>
        <w:left w:val="nil"/>
        <w:bottom w:val="nil"/>
        <w:right w:val="nil"/>
        <w:between w:val="nil"/>
        <w:bar w:val="nil"/>
      </w:pBdr>
      <w:spacing w:after="200" w:line="276" w:lineRule="auto"/>
    </w:pPr>
    <w:rPr>
      <w:rFonts w:ascii="Calibri" w:eastAsia="Arial Unicode MS" w:hAnsi="Calibri" w:cs="Arial Unicode MS"/>
      <w:color w:val="000000"/>
      <w:u w:color="000000"/>
      <w:bdr w:val="nil"/>
    </w:rPr>
  </w:style>
  <w:style w:type="paragraph" w:styleId="Caption">
    <w:name w:val="caption"/>
    <w:basedOn w:val="Normal"/>
    <w:next w:val="Normal"/>
    <w:uiPriority w:val="35"/>
    <w:unhideWhenUsed/>
    <w:qFormat/>
    <w:rsid w:val="007305B2"/>
    <w:pPr>
      <w:spacing w:after="200" w:line="240" w:lineRule="auto"/>
    </w:pPr>
    <w:rPr>
      <w:rFonts w:ascii="Times New Roman" w:eastAsia="Times New Roman" w:hAnsi="Times New Roman" w:cs="Times New Roman"/>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69581-2868-42B5-B9CF-04F7A2CBB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10576</Words>
  <Characters>60284</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UConn Health</Company>
  <LinksUpToDate>false</LinksUpToDate>
  <CharactersWithSpaces>70719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Marazzi,Lauren</dc:creator>
  <cp:keywords/>
  <dc:description/>
  <cp:lastModifiedBy>Marazzi,Lauren</cp:lastModifiedBy>
  <cp:revision>1</cp:revision>
  <dcterms:created xsi:type="dcterms:W3CDTF">2019-06-10T13:18:00Z</dcterms:created>
  <dcterms:modified xsi:type="dcterms:W3CDTF">2019-06-10T13:19:00Z</dcterms:modified>
</cp:coreProperties>
</file>