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79" w:rsidRPr="005E2EC8" w:rsidRDefault="00536479" w:rsidP="00536479">
      <w:pPr>
        <w:rPr>
          <w:rFonts w:ascii="Times New Roman" w:eastAsia="Times New Roman" w:hAnsi="Times New Roman" w:cs="Times New Roman"/>
        </w:rPr>
      </w:pPr>
      <w:r w:rsidRPr="005E2EC8">
        <w:rPr>
          <w:rFonts w:ascii="Times New Roman" w:eastAsia="Times New Roman" w:hAnsi="Times New Roman" w:cs="Times New Roman"/>
          <w:color w:val="000000"/>
          <w:shd w:val="clear" w:color="auto" w:fill="FFFFFF"/>
        </w:rPr>
        <w:t>MCF10A are non-tumorigenic cells derived from benign proliferative breast tissue that were spontaneously immortalized and are suggested as a benign breast epithelial cell model</w:t>
      </w:r>
    </w:p>
    <w:p w:rsidR="00536479" w:rsidRPr="005E2EC8" w:rsidRDefault="00536479" w:rsidP="00536479">
      <w:pPr>
        <w:rPr>
          <w:rFonts w:ascii="Times New Roman" w:eastAsia="Times New Roman" w:hAnsi="Times New Roman" w:cs="Times New Roman"/>
        </w:rPr>
      </w:pPr>
      <w:hyperlink r:id="rId4" w:history="1">
        <w:r w:rsidRPr="005E2EC8">
          <w:rPr>
            <w:rFonts w:ascii="Times New Roman" w:eastAsia="Times New Roman" w:hAnsi="Times New Roman" w:cs="Times New Roman"/>
            <w:color w:val="0000FF"/>
            <w:u w:val="single"/>
          </w:rPr>
          <w:t>https://www.ncbi.nlm.nih.gov/pmc/articles/PMC5786372/</w:t>
        </w:r>
      </w:hyperlink>
    </w:p>
    <w:p w:rsidR="00126DA6" w:rsidRDefault="00126DA6">
      <w:bookmarkStart w:id="0" w:name="_GoBack"/>
      <w:bookmarkEnd w:id="0"/>
    </w:p>
    <w:sectPr w:rsidR="00126DA6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79"/>
    <w:rsid w:val="00126DA6"/>
    <w:rsid w:val="00536479"/>
    <w:rsid w:val="00A5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12430C-DB9E-6B41-8337-B52603B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5786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2020-04-12T20:37:00Z</dcterms:created>
  <dcterms:modified xsi:type="dcterms:W3CDTF">2020-04-12T20:37:00Z</dcterms:modified>
</cp:coreProperties>
</file>