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395" w:rsidRPr="005B2EE0" w:rsidRDefault="00182395" w:rsidP="00182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EE0">
        <w:rPr>
          <w:rFonts w:ascii="Arial" w:eastAsia="Times New Roman" w:hAnsi="Arial" w:cs="Arial"/>
          <w:b/>
          <w:bCs/>
          <w:color w:val="000000"/>
        </w:rPr>
        <w:t>TF identification</w:t>
      </w:r>
    </w:p>
    <w:p w:rsidR="00B259E9" w:rsidRDefault="00182395" w:rsidP="00182395">
      <w:pPr>
        <w:spacing w:after="240" w:line="240" w:lineRule="auto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t</w:t>
      </w:r>
      <w:r w:rsidRPr="005B2EE0">
        <w:rPr>
          <w:rFonts w:ascii="Arial" w:eastAsia="Times New Roman" w:hAnsi="Arial" w:cs="Arial"/>
          <w:color w:val="000000"/>
        </w:rPr>
        <w:t>o</w:t>
      </w:r>
      <w:proofErr w:type="gramEnd"/>
      <w:r w:rsidRPr="005B2EE0">
        <w:rPr>
          <w:rFonts w:ascii="Arial" w:eastAsia="Times New Roman" w:hAnsi="Arial" w:cs="Arial"/>
          <w:color w:val="000000"/>
        </w:rPr>
        <w:t xml:space="preserve"> look for gain-of-binding site events, we will perform a SNVs analysis in regulatory elements proceeding as in [35]. In summary: we will query the COSMIC Cancer Gene Census for TFs (termed CGC-TFs). For these factors, we will search the JASPAR and TRANSFA</w:t>
      </w:r>
      <w:r>
        <w:rPr>
          <w:rFonts w:ascii="Arial" w:eastAsia="Times New Roman" w:hAnsi="Arial" w:cs="Arial"/>
          <w:color w:val="000000"/>
        </w:rPr>
        <w:t xml:space="preserve">C motif databases for motifs, </w:t>
      </w:r>
      <w:r w:rsidRPr="005B2EE0">
        <w:rPr>
          <w:rFonts w:ascii="Arial" w:eastAsia="Times New Roman" w:hAnsi="Arial" w:cs="Arial"/>
          <w:color w:val="000000"/>
        </w:rPr>
        <w:t>construct a position-specific scoring matrix (PSSM)</w:t>
      </w:r>
      <w:r>
        <w:rPr>
          <w:rFonts w:ascii="Arial" w:eastAsia="Times New Roman" w:hAnsi="Arial" w:cs="Arial"/>
          <w:color w:val="000000"/>
        </w:rPr>
        <w:t>,</w:t>
      </w:r>
      <w:r w:rsidRPr="005B2EE0">
        <w:rPr>
          <w:rFonts w:ascii="Arial" w:eastAsia="Times New Roman" w:hAnsi="Arial" w:cs="Arial"/>
          <w:color w:val="000000"/>
        </w:rPr>
        <w:t xml:space="preserve"> and determine the threshold PSSM </w:t>
      </w:r>
      <w:r>
        <w:rPr>
          <w:rFonts w:ascii="Arial" w:eastAsia="Times New Roman" w:hAnsi="Arial" w:cs="Arial"/>
          <w:color w:val="000000"/>
        </w:rPr>
        <w:t xml:space="preserve">value false-positive rate. Using the COSMIC SNV data for our cell line, we will filter for SNVs in regulatory regions using the </w:t>
      </w:r>
      <w:proofErr w:type="spellStart"/>
      <w:r>
        <w:rPr>
          <w:rFonts w:ascii="Arial" w:eastAsia="Times New Roman" w:hAnsi="Arial" w:cs="Arial"/>
          <w:color w:val="000000"/>
        </w:rPr>
        <w:t>Ensembl</w:t>
      </w:r>
      <w:proofErr w:type="spellEnd"/>
      <w:r>
        <w:rPr>
          <w:rFonts w:ascii="Arial" w:eastAsia="Times New Roman" w:hAnsi="Arial" w:cs="Arial"/>
          <w:color w:val="000000"/>
        </w:rPr>
        <w:t xml:space="preserve"> Variant Effect Predictor (VEP) [</w:t>
      </w:r>
      <w:r w:rsidRPr="005B2EE0">
        <w:rPr>
          <w:rFonts w:ascii="Arial" w:eastAsia="Times New Roman" w:hAnsi="Arial" w:cs="Arial"/>
          <w:color w:val="000000"/>
        </w:rPr>
        <w:t>27268795</w:t>
      </w:r>
      <w:r>
        <w:rPr>
          <w:rFonts w:ascii="Arial" w:eastAsia="Times New Roman" w:hAnsi="Arial" w:cs="Arial"/>
          <w:color w:val="000000"/>
        </w:rPr>
        <w:t>].</w:t>
      </w:r>
      <w:r w:rsidR="00504A16">
        <w:rPr>
          <w:rFonts w:ascii="Arial" w:eastAsia="Times New Roman" w:hAnsi="Arial" w:cs="Arial"/>
          <w:color w:val="000000"/>
        </w:rPr>
        <w:t xml:space="preserve"> We will then determine if these mutant regulatory regions are found in the promoter regions of our selected functionally re</w:t>
      </w:r>
      <w:r w:rsidR="003264FF">
        <w:rPr>
          <w:rFonts w:ascii="Arial" w:eastAsia="Times New Roman" w:hAnsi="Arial" w:cs="Arial"/>
          <w:color w:val="000000"/>
        </w:rPr>
        <w:t xml:space="preserve">lated genes. </w:t>
      </w:r>
      <w:r w:rsidR="00504A16">
        <w:rPr>
          <w:rFonts w:ascii="Arial" w:eastAsia="Times New Roman" w:hAnsi="Arial" w:cs="Arial"/>
          <w:color w:val="000000"/>
        </w:rPr>
        <w:t>For the selected regulatory</w:t>
      </w:r>
      <w:r w:rsidRPr="005B2EE0">
        <w:rPr>
          <w:rFonts w:ascii="Arial" w:eastAsia="Times New Roman" w:hAnsi="Arial" w:cs="Arial"/>
          <w:color w:val="000000"/>
        </w:rPr>
        <w:t xml:space="preserve"> SNV</w:t>
      </w:r>
      <w:r w:rsidR="00504A16">
        <w:rPr>
          <w:rFonts w:ascii="Arial" w:eastAsia="Times New Roman" w:hAnsi="Arial" w:cs="Arial"/>
          <w:color w:val="000000"/>
        </w:rPr>
        <w:t>s</w:t>
      </w:r>
      <w:r w:rsidRPr="005B2EE0">
        <w:rPr>
          <w:rFonts w:ascii="Arial" w:eastAsia="Times New Roman" w:hAnsi="Arial" w:cs="Arial"/>
          <w:color w:val="000000"/>
        </w:rPr>
        <w:t xml:space="preserve">, we will generate in </w:t>
      </w:r>
      <w:proofErr w:type="spellStart"/>
      <w:r w:rsidRPr="005B2EE0">
        <w:rPr>
          <w:rFonts w:ascii="Arial" w:eastAsia="Times New Roman" w:hAnsi="Arial" w:cs="Arial"/>
          <w:color w:val="000000"/>
        </w:rPr>
        <w:t>silico</w:t>
      </w:r>
      <w:proofErr w:type="spellEnd"/>
      <w:r w:rsidRPr="005B2EE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B2EE0">
        <w:rPr>
          <w:rFonts w:ascii="Arial" w:eastAsia="Times New Roman" w:hAnsi="Arial" w:cs="Arial"/>
          <w:color w:val="000000"/>
        </w:rPr>
        <w:t>wildtype</w:t>
      </w:r>
      <w:proofErr w:type="spellEnd"/>
      <w:r w:rsidRPr="005B2EE0">
        <w:rPr>
          <w:rFonts w:ascii="Arial" w:eastAsia="Times New Roman" w:hAnsi="Arial" w:cs="Arial"/>
          <w:color w:val="000000"/>
        </w:rPr>
        <w:t xml:space="preserve"> and mutant alleles, using the latest version of the human reference genome hg38, as the reference (</w:t>
      </w:r>
      <w:proofErr w:type="spellStart"/>
      <w:r w:rsidRPr="005B2EE0">
        <w:rPr>
          <w:rFonts w:ascii="Arial" w:eastAsia="Times New Roman" w:hAnsi="Arial" w:cs="Arial"/>
          <w:color w:val="000000"/>
        </w:rPr>
        <w:t>wildtype</w:t>
      </w:r>
      <w:proofErr w:type="spellEnd"/>
      <w:r w:rsidRPr="005B2EE0">
        <w:rPr>
          <w:rFonts w:ascii="Arial" w:eastAsia="Times New Roman" w:hAnsi="Arial" w:cs="Arial"/>
          <w:color w:val="000000"/>
        </w:rPr>
        <w:t>) allele. Each pair of alleles will be scored against each CGC-TF PSSM to obtain a log-odds ratio score compared to a background of genomic nucleotide frequencies</w:t>
      </w:r>
      <w:r>
        <w:rPr>
          <w:rFonts w:ascii="Arial" w:eastAsia="Times New Roman" w:hAnsi="Arial" w:cs="Arial"/>
          <w:color w:val="000000"/>
        </w:rPr>
        <w:t>. O</w:t>
      </w:r>
      <w:r w:rsidRPr="005B2EE0">
        <w:rPr>
          <w:rFonts w:ascii="Arial" w:eastAsia="Times New Roman" w:hAnsi="Arial" w:cs="Arial"/>
          <w:color w:val="000000"/>
        </w:rPr>
        <w:t xml:space="preserve">nly scores passing the CGC-TF-specific threshold </w:t>
      </w:r>
      <w:r>
        <w:rPr>
          <w:rFonts w:ascii="Arial" w:eastAsia="Times New Roman" w:hAnsi="Arial" w:cs="Arial"/>
          <w:color w:val="000000"/>
        </w:rPr>
        <w:t xml:space="preserve">and where the </w:t>
      </w:r>
      <w:proofErr w:type="spellStart"/>
      <w:r>
        <w:rPr>
          <w:rFonts w:ascii="Arial" w:eastAsia="Times New Roman" w:hAnsi="Arial" w:cs="Arial"/>
          <w:color w:val="000000"/>
        </w:rPr>
        <w:t>wildtype</w:t>
      </w:r>
      <w:proofErr w:type="spellEnd"/>
      <w:r>
        <w:rPr>
          <w:rFonts w:ascii="Arial" w:eastAsia="Times New Roman" w:hAnsi="Arial" w:cs="Arial"/>
          <w:color w:val="000000"/>
        </w:rPr>
        <w:t xml:space="preserve"> or mutant </w:t>
      </w:r>
      <w:r w:rsidRPr="005B2EE0">
        <w:rPr>
          <w:rFonts w:ascii="Arial" w:eastAsia="Times New Roman" w:hAnsi="Arial" w:cs="Arial"/>
          <w:color w:val="000000"/>
        </w:rPr>
        <w:t>log odds score over background</w:t>
      </w:r>
      <w:r>
        <w:rPr>
          <w:rFonts w:ascii="Arial" w:eastAsia="Times New Roman" w:hAnsi="Arial" w:cs="Arial"/>
          <w:color w:val="000000"/>
        </w:rPr>
        <w:t xml:space="preserve"> is ≥ 2</w:t>
      </w:r>
      <w:r w:rsidRPr="005B2EE0">
        <w:rPr>
          <w:rFonts w:ascii="Arial" w:eastAsia="Times New Roman" w:hAnsi="Arial" w:cs="Arial"/>
          <w:color w:val="000000"/>
        </w:rPr>
        <w:t xml:space="preserve"> will be retained. The resulting distribution will reveal pairs of </w:t>
      </w:r>
      <w:proofErr w:type="spellStart"/>
      <w:r w:rsidRPr="005B2EE0">
        <w:rPr>
          <w:rFonts w:ascii="Arial" w:eastAsia="Times New Roman" w:hAnsi="Arial" w:cs="Arial"/>
          <w:color w:val="000000"/>
        </w:rPr>
        <w:t>wildtype</w:t>
      </w:r>
      <w:proofErr w:type="spellEnd"/>
      <w:r w:rsidRPr="005B2EE0">
        <w:rPr>
          <w:rFonts w:ascii="Arial" w:eastAsia="Times New Roman" w:hAnsi="Arial" w:cs="Arial"/>
          <w:color w:val="000000"/>
        </w:rPr>
        <w:t xml:space="preserve">-mutant alleles from whole genome-sequenced samples with potential gain-of-binding site events, in which the mutant allele score is higher than the </w:t>
      </w:r>
      <w:proofErr w:type="spellStart"/>
      <w:r w:rsidRPr="005B2EE0">
        <w:rPr>
          <w:rFonts w:ascii="Arial" w:eastAsia="Times New Roman" w:hAnsi="Arial" w:cs="Arial"/>
          <w:color w:val="000000"/>
        </w:rPr>
        <w:t>wildtype</w:t>
      </w:r>
      <w:proofErr w:type="spellEnd"/>
      <w:r w:rsidRPr="005B2EE0">
        <w:rPr>
          <w:rFonts w:ascii="Arial" w:eastAsia="Times New Roman" w:hAnsi="Arial" w:cs="Arial"/>
          <w:color w:val="000000"/>
        </w:rPr>
        <w:t xml:space="preserve"> allele score for a particular CGC-TF. Potenti</w:t>
      </w:r>
      <w:r>
        <w:rPr>
          <w:rFonts w:ascii="Arial" w:eastAsia="Times New Roman" w:hAnsi="Arial" w:cs="Arial"/>
          <w:color w:val="000000"/>
        </w:rPr>
        <w:t xml:space="preserve">al loss-of-binding events will </w:t>
      </w:r>
      <w:r w:rsidRPr="005B2EE0">
        <w:rPr>
          <w:rFonts w:ascii="Arial" w:eastAsia="Times New Roman" w:hAnsi="Arial" w:cs="Arial"/>
          <w:color w:val="000000"/>
        </w:rPr>
        <w:t>be obtain</w:t>
      </w:r>
      <w:r>
        <w:rPr>
          <w:rFonts w:ascii="Arial" w:eastAsia="Times New Roman" w:hAnsi="Arial" w:cs="Arial"/>
          <w:color w:val="000000"/>
        </w:rPr>
        <w:t>ed</w:t>
      </w:r>
      <w:r w:rsidRPr="005B2EE0">
        <w:rPr>
          <w:rFonts w:ascii="Arial" w:eastAsia="Times New Roman" w:hAnsi="Arial" w:cs="Arial"/>
          <w:color w:val="000000"/>
        </w:rPr>
        <w:t xml:space="preserve"> through </w:t>
      </w:r>
      <w:proofErr w:type="spellStart"/>
      <w:r w:rsidRPr="005B2EE0">
        <w:rPr>
          <w:rFonts w:ascii="Arial" w:eastAsia="Times New Roman" w:hAnsi="Arial" w:cs="Arial"/>
          <w:color w:val="000000"/>
        </w:rPr>
        <w:t>wildtype</w:t>
      </w:r>
      <w:proofErr w:type="spellEnd"/>
      <w:r w:rsidRPr="005B2EE0">
        <w:rPr>
          <w:rFonts w:ascii="Arial" w:eastAsia="Times New Roman" w:hAnsi="Arial" w:cs="Arial"/>
          <w:color w:val="000000"/>
        </w:rPr>
        <w:t xml:space="preserve"> allele score greater than the mutant allele score.</w:t>
      </w:r>
    </w:p>
    <w:p w:rsidR="00504A16" w:rsidRDefault="00504A16" w:rsidP="00182395">
      <w:pPr>
        <w:spacing w:after="240" w:line="240" w:lineRule="auto"/>
        <w:rPr>
          <w:rFonts w:ascii="Arial" w:eastAsia="Times New Roman" w:hAnsi="Arial" w:cs="Arial"/>
          <w:color w:val="000000"/>
        </w:rPr>
      </w:pPr>
      <w:bookmarkStart w:id="0" w:name="_GoBack"/>
      <w:bookmarkEnd w:id="0"/>
    </w:p>
    <w:p w:rsidR="00504A16" w:rsidRPr="00182395" w:rsidRDefault="00504A16" w:rsidP="001823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Additionally, we will use the MATCH</w:t>
      </w:r>
      <w:r w:rsidR="003264FF">
        <w:rPr>
          <w:rFonts w:ascii="Arial" w:eastAsia="Times New Roman" w:hAnsi="Arial" w:cs="Arial"/>
          <w:color w:val="000000"/>
        </w:rPr>
        <w:t xml:space="preserve"> [</w:t>
      </w:r>
      <w:proofErr w:type="spellStart"/>
      <w:r w:rsidR="003264FF">
        <w:rPr>
          <w:rFonts w:ascii="Arial" w:eastAsia="Times New Roman" w:hAnsi="Arial" w:cs="Arial"/>
          <w:color w:val="000000"/>
        </w:rPr>
        <w:t>cit</w:t>
      </w:r>
      <w:proofErr w:type="spellEnd"/>
      <w:r w:rsidR="003264FF">
        <w:rPr>
          <w:rFonts w:ascii="Arial" w:eastAsia="Times New Roman" w:hAnsi="Arial" w:cs="Arial"/>
          <w:color w:val="000000"/>
        </w:rPr>
        <w:t>]</w:t>
      </w:r>
      <w:r>
        <w:rPr>
          <w:rFonts w:ascii="Arial" w:eastAsia="Times New Roman" w:hAnsi="Arial" w:cs="Arial"/>
          <w:color w:val="000000"/>
        </w:rPr>
        <w:t xml:space="preserve"> algorithm and TRANSFAC</w:t>
      </w:r>
      <w:r w:rsidR="003264FF">
        <w:rPr>
          <w:rFonts w:ascii="Arial" w:eastAsia="Times New Roman" w:hAnsi="Arial" w:cs="Arial"/>
          <w:color w:val="000000"/>
        </w:rPr>
        <w:t xml:space="preserve"> [</w:t>
      </w:r>
      <w:proofErr w:type="spellStart"/>
      <w:r w:rsidR="003264FF">
        <w:rPr>
          <w:rFonts w:ascii="Arial" w:eastAsia="Times New Roman" w:hAnsi="Arial" w:cs="Arial"/>
          <w:color w:val="000000"/>
        </w:rPr>
        <w:t>cit</w:t>
      </w:r>
      <w:proofErr w:type="spellEnd"/>
      <w:r w:rsidR="003264FF">
        <w:rPr>
          <w:rFonts w:ascii="Arial" w:eastAsia="Times New Roman" w:hAnsi="Arial" w:cs="Arial"/>
          <w:color w:val="000000"/>
        </w:rPr>
        <w:t>]</w:t>
      </w:r>
      <w:r>
        <w:rPr>
          <w:rFonts w:ascii="Arial" w:eastAsia="Times New Roman" w:hAnsi="Arial" w:cs="Arial"/>
          <w:color w:val="000000"/>
        </w:rPr>
        <w:t xml:space="preserve"> to compare the mutant allele and </w:t>
      </w:r>
      <w:proofErr w:type="spellStart"/>
      <w:r>
        <w:rPr>
          <w:rFonts w:ascii="Arial" w:eastAsia="Times New Roman" w:hAnsi="Arial" w:cs="Arial"/>
          <w:color w:val="000000"/>
        </w:rPr>
        <w:t>wildtype</w:t>
      </w:r>
      <w:proofErr w:type="spellEnd"/>
      <w:r>
        <w:rPr>
          <w:rFonts w:ascii="Arial" w:eastAsia="Times New Roman" w:hAnsi="Arial" w:cs="Arial"/>
          <w:color w:val="000000"/>
        </w:rPr>
        <w:t xml:space="preserve"> allele to identify all potential TF-mutant gene interactions. For this analysis, the Yes-set (the query sequences) will be the mutant alleles, while the no-set will be the </w:t>
      </w:r>
      <w:proofErr w:type="spellStart"/>
      <w:r>
        <w:rPr>
          <w:rFonts w:ascii="Arial" w:eastAsia="Times New Roman" w:hAnsi="Arial" w:cs="Arial"/>
          <w:color w:val="000000"/>
        </w:rPr>
        <w:t>wildtype</w:t>
      </w:r>
      <w:proofErr w:type="spellEnd"/>
      <w:r>
        <w:rPr>
          <w:rFonts w:ascii="Arial" w:eastAsia="Times New Roman" w:hAnsi="Arial" w:cs="Arial"/>
          <w:color w:val="000000"/>
        </w:rPr>
        <w:t xml:space="preserve"> alleles. The results will provide the TFs that more frequently bind to the mutant alleles rather than the </w:t>
      </w:r>
      <w:proofErr w:type="spellStart"/>
      <w:r>
        <w:rPr>
          <w:rFonts w:ascii="Arial" w:eastAsia="Times New Roman" w:hAnsi="Arial" w:cs="Arial"/>
          <w:color w:val="000000"/>
        </w:rPr>
        <w:t>wildtype</w:t>
      </w:r>
      <w:proofErr w:type="spellEnd"/>
      <w:r>
        <w:rPr>
          <w:rFonts w:ascii="Arial" w:eastAsia="Times New Roman" w:hAnsi="Arial" w:cs="Arial"/>
          <w:color w:val="000000"/>
        </w:rPr>
        <w:t xml:space="preserve"> alleles. This search will not be limited to </w:t>
      </w:r>
      <w:r w:rsidR="003264FF">
        <w:rPr>
          <w:rFonts w:ascii="Arial" w:eastAsia="Times New Roman" w:hAnsi="Arial" w:cs="Arial"/>
          <w:color w:val="000000"/>
        </w:rPr>
        <w:t xml:space="preserve">CGC-TFs. </w:t>
      </w:r>
    </w:p>
    <w:sectPr w:rsidR="00504A16" w:rsidRPr="00182395" w:rsidSect="001421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395"/>
    <w:rsid w:val="0014219B"/>
    <w:rsid w:val="00182395"/>
    <w:rsid w:val="003264FF"/>
    <w:rsid w:val="00504A16"/>
    <w:rsid w:val="0093785C"/>
    <w:rsid w:val="00B259E9"/>
    <w:rsid w:val="00FF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332DA"/>
  <w15:chartTrackingRefBased/>
  <w15:docId w15:val="{7B8BD7F4-A4CD-4FB6-8351-15714AD52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Narrow" w:eastAsiaTheme="minorHAnsi" w:hAnsi="Arial Narrow" w:cstheme="minorBidi"/>
        <w:szCs w:val="22"/>
        <w:lang w:val="en-US" w:eastAsia="en-US" w:bidi="ar-SA"/>
      </w:rPr>
    </w:rPrDefault>
    <w:pPrDefault>
      <w:pPr>
        <w:ind w:firstLine="288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395"/>
    <w:pPr>
      <w:spacing w:after="160" w:line="259" w:lineRule="auto"/>
      <w:ind w:firstLine="0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UConn Health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Marazzi</dc:creator>
  <cp:keywords/>
  <dc:description/>
  <cp:lastModifiedBy>Lauren Marazzi</cp:lastModifiedBy>
  <cp:revision>2</cp:revision>
  <dcterms:created xsi:type="dcterms:W3CDTF">2019-06-05T13:22:00Z</dcterms:created>
  <dcterms:modified xsi:type="dcterms:W3CDTF">2019-06-05T14:12:00Z</dcterms:modified>
</cp:coreProperties>
</file>