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891" w:type="pct"/>
        <w:tblCellSpacing w:w="0" w:type="dxa"/>
        <w:tblInd w:w="-11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6379"/>
      </w:tblGrid>
      <w:tr w:rsidR="006E10E4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Pr="00593BC0" w:rsidRDefault="006E10E4" w:rsidP="00593BC0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  <w:t>Алгоритм Джонсона-</w:t>
            </w:r>
            <w:proofErr w:type="spellStart"/>
            <w:r w:rsidRPr="00593BC0"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  <w:t>Троттера</w:t>
            </w:r>
            <w:proofErr w:type="spellEnd"/>
            <w:r w:rsidRPr="00593BC0"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  <w:t xml:space="preserve"> применяется для получения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Pr="00593BC0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lang w:eastAsia="ru-RU"/>
              </w:rPr>
              <w:t xml:space="preserve">Множества всех перестановок </w:t>
            </w:r>
          </w:p>
        </w:tc>
      </w:tr>
      <w:tr w:rsidR="006E10E4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Pr="00593BC0" w:rsidRDefault="006E10E4" w:rsidP="00593BC0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  <w:t>Решение упрощенной задачи о рюкзаке основано на: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Pr="00593BC0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lang w:eastAsia="ru-RU"/>
              </w:rPr>
              <w:t xml:space="preserve">генераторе множества всех подмножеств; </w:t>
            </w:r>
          </w:p>
        </w:tc>
      </w:tr>
      <w:tr w:rsidR="006E10E4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Default="006E10E4" w:rsidP="00593BC0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  <w:t xml:space="preserve">Условие </w:t>
            </w:r>
            <w:proofErr w:type="gramStart"/>
            <w:r w:rsidRPr="00593BC0"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  <w:t>задачи:</w:t>
            </w:r>
            <w:r w:rsidRPr="00593BC0"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  <w:br/>
              <w:t>На</w:t>
            </w:r>
            <w:proofErr w:type="gramEnd"/>
            <w:r w:rsidRPr="00593BC0"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  <w:t xml:space="preserve"> палубе судна имеется m мест для размещения стандартных контейнеров. </w:t>
            </w:r>
            <w:r w:rsidR="00593BC0">
              <w:rPr>
                <w:rFonts w:ascii="Arial" w:eastAsia="Times New Roman" w:hAnsi="Arial" w:cs="Arial"/>
                <w:szCs w:val="17"/>
                <w:lang w:eastAsia="ru-RU"/>
              </w:rPr>
              <w:t>…</w:t>
            </w:r>
          </w:p>
          <w:p w:rsidR="00593BC0" w:rsidRPr="00593BC0" w:rsidRDefault="00593BC0" w:rsidP="00593BC0">
            <w:pPr>
              <w:spacing w:after="0" w:line="240" w:lineRule="auto"/>
              <w:rPr>
                <w:rFonts w:ascii="Arial" w:eastAsia="Times New Roman" w:hAnsi="Arial" w:cs="Arial"/>
                <w:szCs w:val="17"/>
                <w:lang w:eastAsia="ru-RU"/>
              </w:rPr>
            </w:pP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Pr="00593BC0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lang w:eastAsia="ru-RU"/>
              </w:rPr>
              <w:t>о загрузке судна</w:t>
            </w:r>
          </w:p>
        </w:tc>
      </w:tr>
      <w:tr w:rsidR="005F511B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511B" w:rsidRPr="00593BC0" w:rsidRDefault="005F511B" w:rsidP="00593BC0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  <w:t>Условие задачи:</w:t>
            </w:r>
          </w:p>
          <w:p w:rsidR="005F511B" w:rsidRPr="00593BC0" w:rsidRDefault="005F511B" w:rsidP="00593BC0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highlight w:val="yellow"/>
                <w:lang w:eastAsia="ru-RU"/>
              </w:rPr>
              <w:t>Будет большое условие задачи о рюкзаке, с весом, с вместимостью и т.д.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511B" w:rsidRPr="00593BC0" w:rsidRDefault="005F511B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lang w:eastAsia="ru-RU"/>
              </w:rPr>
              <w:t>о рюкзаке</w:t>
            </w:r>
          </w:p>
        </w:tc>
      </w:tr>
      <w:tr w:rsidR="005F511B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511B" w:rsidRPr="00593BC0" w:rsidRDefault="005F511B" w:rsidP="00593BC0">
            <w:pPr>
              <w:pStyle w:val="a7"/>
              <w:spacing w:after="0" w:line="240" w:lineRule="auto"/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  <w:t>Условие задачи:</w:t>
            </w:r>
          </w:p>
          <w:p w:rsidR="005F511B" w:rsidRPr="00593BC0" w:rsidRDefault="005F511B" w:rsidP="00593BC0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highlight w:val="yellow"/>
                <w:lang w:eastAsia="ru-RU"/>
              </w:rPr>
              <w:t>Коммивояжер должен обойти города по минимальному пути и т.д.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511B" w:rsidRPr="00593BC0" w:rsidRDefault="005F511B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lang w:eastAsia="ru-RU"/>
              </w:rPr>
              <w:t>о коммивояжере</w:t>
            </w:r>
          </w:p>
        </w:tc>
      </w:tr>
      <w:tr w:rsidR="006E10E4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Pr="00593BC0" w:rsidRDefault="006E10E4" w:rsidP="00593BC0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  <w:t>Решение задачи о загрузке судна основано на: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Pr="00593BC0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lang w:eastAsia="ru-RU"/>
              </w:rPr>
              <w:t xml:space="preserve">генераторе множества всех сочетаний; </w:t>
            </w:r>
          </w:p>
        </w:tc>
      </w:tr>
      <w:tr w:rsidR="006E10E4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Pr="00593BC0" w:rsidRDefault="006E10E4" w:rsidP="00593BC0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  <w:t>Решение задачи о коммивояжере основано на: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Pr="00593BC0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lang w:eastAsia="ru-RU"/>
              </w:rPr>
              <w:t>генераторе множества всех перестановок;</w:t>
            </w:r>
          </w:p>
        </w:tc>
      </w:tr>
      <w:tr w:rsidR="006E10E4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Pr="00593BC0" w:rsidRDefault="006E10E4" w:rsidP="00593BC0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  <w:t>Метод ветвей и границ – это: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Pr="00593BC0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lang w:eastAsia="ru-RU"/>
              </w:rPr>
              <w:t>общий алгоритмический метод решения задач комбинаторной оптимизации, который по существу является вариацией полного перебора с отсевом подмножеств допустимых решений, заведомо не содержащих оптимальных решений.</w:t>
            </w:r>
          </w:p>
        </w:tc>
      </w:tr>
      <w:tr w:rsidR="006E10E4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Pr="00593BC0" w:rsidRDefault="006E10E4" w:rsidP="00593BC0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  <w:t>В основе метода ветвей и границ лежат две процедуры: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Pr="00593BC0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lang w:eastAsia="ru-RU"/>
              </w:rPr>
              <w:t xml:space="preserve">ветвления и вычисления нижней или верхней границы; </w:t>
            </w:r>
          </w:p>
        </w:tc>
      </w:tr>
      <w:tr w:rsidR="006E10E4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Pr="00593BC0" w:rsidRDefault="006E10E4" w:rsidP="00593BC0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  <w:t>Какую задачу нецелесообразно решать при помощи рекурсивных алгоритмов: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Pr="00593BC0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lang w:eastAsia="ru-RU"/>
              </w:rPr>
              <w:t xml:space="preserve">линейного программирования; </w:t>
            </w:r>
          </w:p>
        </w:tc>
      </w:tr>
      <w:tr w:rsidR="006E10E4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Pr="00593BC0" w:rsidRDefault="006E10E4" w:rsidP="00593BC0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  <w:t>Дистанция Левенштейна между словами «сор» и «спорт» равна: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Pr="00593BC0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lang w:val="en-US"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lang w:eastAsia="ru-RU"/>
              </w:rPr>
              <w:t>2</w:t>
            </w:r>
            <w:r w:rsidRPr="00593BC0">
              <w:rPr>
                <w:rFonts w:ascii="Arial" w:eastAsia="Times New Roman" w:hAnsi="Arial" w:cs="Arial"/>
                <w:szCs w:val="17"/>
                <w:lang w:val="en-US" w:eastAsia="ru-RU"/>
              </w:rPr>
              <w:t>;</w:t>
            </w:r>
          </w:p>
        </w:tc>
      </w:tr>
      <w:tr w:rsidR="006E10E4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Pr="00593BC0" w:rsidRDefault="006E10E4" w:rsidP="00593BC0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  <w:t>К оптимизационным алгоритмам на графах не относятся: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Pr="00593BC0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lang w:eastAsia="ru-RU"/>
              </w:rPr>
              <w:t xml:space="preserve">алгоритм поиска в высоту; </w:t>
            </w:r>
          </w:p>
        </w:tc>
      </w:tr>
      <w:tr w:rsidR="006E10E4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Pr="00593BC0" w:rsidRDefault="006E10E4" w:rsidP="00593BC0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  <w:t>Алгоритм поиска в ширину заключается в: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Pr="00593BC0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lang w:eastAsia="ru-RU"/>
              </w:rPr>
              <w:t xml:space="preserve">посещении вершин в порядке их удаленности от некоторой заранее выбранной или указанной стартовой вершины; </w:t>
            </w:r>
          </w:p>
        </w:tc>
      </w:tr>
      <w:tr w:rsidR="006E10E4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Pr="00593BC0" w:rsidRDefault="006E10E4" w:rsidP="00593BC0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  <w:t>На рисунке представлено изображение некого графа. Данный граф является:</w:t>
            </w:r>
            <w:r w:rsidRPr="00593BC0">
              <w:rPr>
                <w:noProof/>
                <w:color w:val="FF0000"/>
                <w:highlight w:val="yellow"/>
                <w:lang w:eastAsia="ru-RU"/>
              </w:rPr>
              <w:drawing>
                <wp:inline distT="0" distB="0" distL="0" distR="0" wp14:anchorId="4A4EE351" wp14:editId="4F7368F3">
                  <wp:extent cx="922020" cy="922020"/>
                  <wp:effectExtent l="0" t="0" r="0" b="0"/>
                  <wp:docPr id="5" name="Рисунок 5" descr="http://portal.by/uploads/9d403f9fe73208cdb1db418dd65aa03a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portal.by/uploads/9d403f9fe73208cdb1db418dd65aa03a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Pr="00593BC0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lang w:eastAsia="ru-RU"/>
              </w:rPr>
              <w:t xml:space="preserve">ориентированным; </w:t>
            </w:r>
          </w:p>
        </w:tc>
      </w:tr>
      <w:tr w:rsidR="006E10E4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Pr="00593BC0" w:rsidRDefault="006E10E4" w:rsidP="00593BC0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  <w:t>Теорема Форда-</w:t>
            </w:r>
            <w:proofErr w:type="spellStart"/>
            <w:r w:rsidRPr="00593BC0"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  <w:t>Фалкерсона</w:t>
            </w:r>
            <w:proofErr w:type="spellEnd"/>
            <w:r w:rsidRPr="00593BC0">
              <w:rPr>
                <w:rFonts w:ascii="Arial" w:eastAsia="Times New Roman" w:hAnsi="Arial" w:cs="Arial"/>
                <w:szCs w:val="17"/>
                <w:highlight w:val="yellow"/>
                <w:lang w:eastAsia="ru-RU"/>
              </w:rPr>
              <w:t>: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Pr="00593BC0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lang w:eastAsia="ru-RU"/>
              </w:rPr>
              <w:t xml:space="preserve">В любой сети максимальная величина потока из истока s в сток t равна </w:t>
            </w:r>
            <w:proofErr w:type="gramStart"/>
            <w:r w:rsidRPr="00593BC0">
              <w:rPr>
                <w:rFonts w:ascii="Arial" w:eastAsia="Times New Roman" w:hAnsi="Arial" w:cs="Arial"/>
                <w:szCs w:val="17"/>
                <w:lang w:eastAsia="ru-RU"/>
              </w:rPr>
              <w:t>минимальной пропускной способности разреза</w:t>
            </w:r>
            <w:proofErr w:type="gramEnd"/>
            <w:r w:rsidRPr="00593BC0">
              <w:rPr>
                <w:rFonts w:ascii="Arial" w:eastAsia="Times New Roman" w:hAnsi="Arial" w:cs="Arial"/>
                <w:szCs w:val="17"/>
                <w:lang w:eastAsia="ru-RU"/>
              </w:rPr>
              <w:t xml:space="preserve"> отделяющего s от t; </w:t>
            </w:r>
          </w:p>
        </w:tc>
      </w:tr>
      <w:tr w:rsidR="006E10E4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Pr="0030729F" w:rsidRDefault="006E10E4" w:rsidP="0030729F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u w:val="single"/>
                <w:lang w:eastAsia="ru-RU"/>
              </w:rPr>
            </w:pPr>
            <w:r w:rsidRPr="0030729F">
              <w:rPr>
                <w:rFonts w:ascii="Arial" w:eastAsia="Times New Roman" w:hAnsi="Arial" w:cs="Arial"/>
                <w:szCs w:val="17"/>
                <w:highlight w:val="yellow"/>
                <w:u w:val="single"/>
                <w:lang w:eastAsia="ru-RU"/>
              </w:rPr>
              <w:t>Одним из возможных определений понятия линейное программирование является: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10E4" w:rsidRPr="00593BC0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szCs w:val="17"/>
                <w:lang w:eastAsia="ru-RU"/>
              </w:rPr>
              <w:t>область математического программирования, посвященная теории и методам решения экстремальных задач, характеризующихся линейной зависимостью между переменными;</w:t>
            </w:r>
          </w:p>
        </w:tc>
      </w:tr>
      <w:tr w:rsidR="005F511B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511B" w:rsidRPr="00593BC0" w:rsidRDefault="005F511B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Путь - это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511B" w:rsidRPr="00593BC0" w:rsidRDefault="005F511B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Не от исходной вершины к конечной, т.е. некоторое промежуточное ребро</w:t>
            </w:r>
          </w:p>
        </w:tc>
      </w:tr>
      <w:tr w:rsidR="005F511B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511B" w:rsidRPr="00593BC0" w:rsidRDefault="005F511B" w:rsidP="00593BC0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highlight w:val="yellow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highlight w:val="yellow"/>
                <w:lang w:eastAsia="ru-RU"/>
              </w:rPr>
              <w:t>Полный путь - это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511B" w:rsidRDefault="005F511B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От исходной к конечной</w:t>
            </w:r>
          </w:p>
          <w:p w:rsidR="0010695F" w:rsidRDefault="0010695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</w:p>
          <w:p w:rsidR="0010695F" w:rsidRPr="00593BC0" w:rsidRDefault="0010695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  <w:shd w:val="clear" w:color="auto" w:fill="FFFFFF"/>
              </w:rPr>
              <w:lastRenderedPageBreak/>
              <w:t>Путь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 от исходного до завершающего события </w:t>
            </w: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  <w:shd w:val="clear" w:color="auto" w:fill="FFFFFF"/>
              </w:rPr>
              <w:t>сетевогографика</w:t>
            </w:r>
            <w:proofErr w:type="spellEnd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 называют </w:t>
            </w: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  <w:shd w:val="clear" w:color="auto" w:fill="FFFFFF"/>
              </w:rPr>
              <w:t>полным</w:t>
            </w:r>
          </w:p>
        </w:tc>
      </w:tr>
      <w:tr w:rsidR="005F511B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511B" w:rsidRPr="00593BC0" w:rsidRDefault="005F511B" w:rsidP="00593BC0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highlight w:val="yellow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highlight w:val="yellow"/>
                <w:lang w:eastAsia="ru-RU"/>
              </w:rPr>
              <w:lastRenderedPageBreak/>
              <w:t>Критический путь - это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511B" w:rsidRPr="00593BC0" w:rsidRDefault="005F511B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Максимально возможная суммарная пропускная способность</w:t>
            </w:r>
          </w:p>
        </w:tc>
      </w:tr>
      <w:tr w:rsidR="005F511B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511B" w:rsidRPr="00593BC0" w:rsidRDefault="005F511B" w:rsidP="00593BC0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highlight w:val="yellow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highlight w:val="yellow"/>
                <w:lang w:eastAsia="ru-RU"/>
              </w:rPr>
              <w:t>Будет нарисован граф. Попросят указать полный путь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511B" w:rsidRPr="00593BC0" w:rsidRDefault="005F511B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Если задания такие же, то это 1-3-6. А так – ищи исходную, конечную</w:t>
            </w:r>
            <w:r w:rsidR="00AD0EEF"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 xml:space="preserve"> и промежуточные вершины</w:t>
            </w:r>
          </w:p>
        </w:tc>
      </w:tr>
      <w:tr w:rsidR="00AD0EEF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EEF" w:rsidRPr="00593BC0" w:rsidRDefault="00AD0EEF" w:rsidP="00593BC0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highlight w:val="yellow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highlight w:val="yellow"/>
                <w:lang w:eastAsia="ru-RU"/>
              </w:rPr>
              <w:t>Будет нарисован граф. Попросят указать критический путь (суммарный вес)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EEF" w:rsidRPr="00593BC0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Если задания такие же, то это 40. Просто выбирай полный путь с самой максимальной суммой пропускных способностей</w:t>
            </w:r>
          </w:p>
        </w:tc>
      </w:tr>
      <w:tr w:rsidR="00AD0EEF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EEF" w:rsidRPr="00593BC0" w:rsidRDefault="00AD0EEF" w:rsidP="00593BC0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highlight w:val="yellow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highlight w:val="yellow"/>
                <w:lang w:eastAsia="ru-RU"/>
              </w:rPr>
              <w:t>В графическом методе что может быть ответом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EEF" w:rsidRPr="00593BC0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Точка, две точки, отрезок</w:t>
            </w:r>
          </w:p>
        </w:tc>
      </w:tr>
      <w:tr w:rsidR="00AD0EEF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EEF" w:rsidRPr="00593BC0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highlight w:val="yellow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Метод потенциалов в ТЗ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EEF" w:rsidRPr="00593BC0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Это дополняющий метод решения ТЗ (там будет либо 1 этап, либо дополняющий. Т.к. метод потенциалов является 2 этапом, то он дополняющий)</w:t>
            </w:r>
          </w:p>
        </w:tc>
      </w:tr>
      <w:tr w:rsidR="00AD0EEF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EEF" w:rsidRPr="00593BC0" w:rsidRDefault="00AD0EEF" w:rsidP="00593BC0">
            <w:pPr>
              <w:pStyle w:val="a7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highlight w:val="yellow"/>
                <w:lang w:eastAsia="ru-RU"/>
              </w:rPr>
            </w:pPr>
            <w:r w:rsidRPr="00DE087C">
              <w:rPr>
                <w:rFonts w:ascii="Arial" w:eastAsia="Times New Roman" w:hAnsi="Arial" w:cs="Arial"/>
                <w:color w:val="FF0000"/>
                <w:szCs w:val="17"/>
                <w:highlight w:val="yellow"/>
                <w:lang w:eastAsia="ru-RU"/>
              </w:rPr>
              <w:t>В методе потенциалов в ТЗ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EEF" w:rsidRPr="00593BC0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У «-» берется минимальное значение</w:t>
            </w:r>
          </w:p>
        </w:tc>
      </w:tr>
      <w:tr w:rsidR="00AD0EEF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EEF" w:rsidRPr="00593BC0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highlight w:val="yellow"/>
                <w:lang w:eastAsia="ru-RU"/>
              </w:rPr>
            </w:pPr>
            <w:r w:rsidRPr="0030729F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Задача о рюкзаке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EEF" w:rsidRPr="00593BC0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Линейное программирование</w:t>
            </w:r>
          </w:p>
        </w:tc>
      </w:tr>
      <w:tr w:rsidR="00AD0EEF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EEF" w:rsidRPr="00593BC0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…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EEF" w:rsidRPr="00593BC0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К стандартной форме</w:t>
            </w:r>
          </w:p>
        </w:tc>
      </w:tr>
      <w:tr w:rsidR="00AD0EEF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EEF" w:rsidRPr="00593BC0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…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EEF" w:rsidRPr="00593BC0" w:rsidRDefault="00AD0EE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Неотрицательное</w:t>
            </w:r>
          </w:p>
        </w:tc>
      </w:tr>
      <w:tr w:rsidR="00593BC0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Pr="00593BC0" w:rsidRDefault="00593BC0" w:rsidP="00593BC0">
            <w:pPr>
              <w:pStyle w:val="a8"/>
              <w:numPr>
                <w:ilvl w:val="0"/>
                <w:numId w:val="1"/>
              </w:numPr>
              <w:rPr>
                <w:color w:val="000000"/>
                <w:sz w:val="27"/>
                <w:szCs w:val="27"/>
                <w:highlight w:val="yellow"/>
              </w:rPr>
            </w:pPr>
            <w:r w:rsidRPr="00593BC0">
              <w:rPr>
                <w:b/>
                <w:color w:val="000000"/>
                <w:sz w:val="27"/>
                <w:szCs w:val="27"/>
                <w:highlight w:val="yellow"/>
              </w:rPr>
              <w:t>Сетевой график</w:t>
            </w:r>
            <w:r w:rsidRPr="00593BC0">
              <w:rPr>
                <w:color w:val="000000"/>
                <w:sz w:val="27"/>
                <w:szCs w:val="27"/>
                <w:highlight w:val="yellow"/>
              </w:rPr>
              <w:t xml:space="preserve"> представляет собой</w:t>
            </w:r>
          </w:p>
          <w:p w:rsidR="00593BC0" w:rsidRPr="00593BC0" w:rsidRDefault="00593BC0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highlight w:val="yellow"/>
                <w:lang w:eastAsia="ru-RU"/>
              </w:rPr>
            </w:pP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Pr="00593BC0" w:rsidRDefault="00593BC0" w:rsidP="00593BC0">
            <w:pPr>
              <w:pStyle w:val="a8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взвешенный ориентированный корневой граф без контуров (ациклический) и изолированных вершин, который построен по определенным правилам.</w:t>
            </w:r>
          </w:p>
        </w:tc>
      </w:tr>
      <w:tr w:rsidR="00593BC0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Pr="00593BC0" w:rsidRDefault="00593BC0" w:rsidP="00593BC0">
            <w:pPr>
              <w:pStyle w:val="a8"/>
              <w:numPr>
                <w:ilvl w:val="0"/>
                <w:numId w:val="1"/>
              </w:numPr>
              <w:rPr>
                <w:b/>
                <w:color w:val="000000"/>
                <w:sz w:val="27"/>
                <w:szCs w:val="27"/>
                <w:highlight w:val="yellow"/>
              </w:rPr>
            </w:pPr>
            <w:r w:rsidRPr="00DE087C">
              <w:rPr>
                <w:b/>
                <w:color w:val="FF0000"/>
                <w:sz w:val="27"/>
                <w:szCs w:val="27"/>
                <w:highlight w:val="yellow"/>
              </w:rPr>
              <w:t>Что такое метод потенциалов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Pr="00593BC0" w:rsidRDefault="00593BC0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bookmarkStart w:id="0" w:name="_GoBack"/>
            <w:bookmarkEnd w:id="0"/>
          </w:p>
        </w:tc>
      </w:tr>
      <w:tr w:rsidR="00593BC0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Pr="00593BC0" w:rsidRDefault="00593BC0" w:rsidP="00593BC0">
            <w:pPr>
              <w:pStyle w:val="a8"/>
              <w:numPr>
                <w:ilvl w:val="0"/>
                <w:numId w:val="1"/>
              </w:numPr>
              <w:rPr>
                <w:b/>
                <w:color w:val="000000"/>
                <w:sz w:val="27"/>
                <w:szCs w:val="27"/>
                <w:highlight w:val="yellow"/>
              </w:rPr>
            </w:pPr>
            <w:r w:rsidRPr="00593BC0">
              <w:rPr>
                <w:b/>
                <w:color w:val="000000"/>
                <w:sz w:val="27"/>
                <w:szCs w:val="27"/>
                <w:highlight w:val="yellow"/>
              </w:rPr>
              <w:t>К какому типу относится ТЗ</w:t>
            </w:r>
          </w:p>
          <w:p w:rsidR="00593BC0" w:rsidRPr="00593BC0" w:rsidRDefault="00593BC0" w:rsidP="00593BC0">
            <w:pPr>
              <w:pStyle w:val="a8"/>
              <w:rPr>
                <w:b/>
                <w:color w:val="000000"/>
                <w:sz w:val="27"/>
                <w:szCs w:val="27"/>
                <w:highlight w:val="yellow"/>
              </w:rPr>
            </w:pP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Pr="00593BC0" w:rsidRDefault="00593BC0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Линейного программирования</w:t>
            </w:r>
          </w:p>
        </w:tc>
      </w:tr>
      <w:tr w:rsidR="00593BC0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Pr="00593BC0" w:rsidRDefault="00593BC0" w:rsidP="00593BC0">
            <w:pPr>
              <w:pStyle w:val="a8"/>
              <w:numPr>
                <w:ilvl w:val="0"/>
                <w:numId w:val="1"/>
              </w:numPr>
              <w:rPr>
                <w:b/>
                <w:color w:val="000000"/>
                <w:sz w:val="27"/>
                <w:szCs w:val="27"/>
                <w:highlight w:val="yellow"/>
              </w:rPr>
            </w:pPr>
            <w:r w:rsidRPr="00593BC0">
              <w:rPr>
                <w:b/>
                <w:color w:val="000000"/>
                <w:sz w:val="27"/>
                <w:szCs w:val="27"/>
                <w:highlight w:val="yellow"/>
              </w:rPr>
              <w:t>Что такое модель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Pr="00593BC0" w:rsidRDefault="0010695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(клон, копия, объект)</w:t>
            </w:r>
          </w:p>
        </w:tc>
      </w:tr>
      <w:tr w:rsidR="00593BC0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Pr="00593BC0" w:rsidRDefault="00593BC0" w:rsidP="00593BC0">
            <w:pPr>
              <w:pStyle w:val="a8"/>
              <w:numPr>
                <w:ilvl w:val="0"/>
                <w:numId w:val="1"/>
              </w:numPr>
              <w:rPr>
                <w:b/>
                <w:color w:val="000000"/>
                <w:sz w:val="27"/>
                <w:szCs w:val="27"/>
                <w:highlight w:val="yellow"/>
              </w:rPr>
            </w:pPr>
            <w:r w:rsidRPr="00593BC0">
              <w:rPr>
                <w:b/>
                <w:color w:val="000000"/>
                <w:sz w:val="27"/>
                <w:szCs w:val="27"/>
                <w:highlight w:val="yellow"/>
              </w:rPr>
              <w:t>Несбалансированная ….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Pr="00593BC0" w:rsidRDefault="00593BC0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открытая</w:t>
            </w:r>
          </w:p>
        </w:tc>
      </w:tr>
      <w:tr w:rsidR="00593BC0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Pr="00593BC0" w:rsidRDefault="00593BC0" w:rsidP="00593BC0">
            <w:pPr>
              <w:pStyle w:val="a8"/>
              <w:numPr>
                <w:ilvl w:val="0"/>
                <w:numId w:val="1"/>
              </w:numPr>
              <w:rPr>
                <w:b/>
                <w:color w:val="000000"/>
                <w:sz w:val="27"/>
                <w:szCs w:val="27"/>
                <w:highlight w:val="yellow"/>
              </w:rPr>
            </w:pP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Default="00593BC0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 w:rsidRPr="00593BC0">
              <w:rPr>
                <w:noProof/>
                <w:highlight w:val="yellow"/>
                <w:lang w:eastAsia="ru-RU"/>
              </w:rPr>
              <w:drawing>
                <wp:inline distT="0" distB="0" distL="0" distR="0" wp14:anchorId="6AC84655" wp14:editId="203F1A73">
                  <wp:extent cx="3733800" cy="118929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6728" t="28506" r="10403" b="35893"/>
                          <a:stretch/>
                        </pic:blipFill>
                        <pic:spPr bwMode="auto">
                          <a:xfrm>
                            <a:off x="0" y="0"/>
                            <a:ext cx="3734648" cy="1189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0695F" w:rsidRDefault="0010695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Если значения базисных переменных не отрицательны, то это базисное решение называется допустимым решением.</w:t>
            </w:r>
          </w:p>
        </w:tc>
      </w:tr>
      <w:tr w:rsidR="00593BC0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Pr="00593BC0" w:rsidRDefault="00593BC0" w:rsidP="00593BC0">
            <w:pPr>
              <w:pStyle w:val="a8"/>
              <w:numPr>
                <w:ilvl w:val="0"/>
                <w:numId w:val="1"/>
              </w:numPr>
              <w:rPr>
                <w:b/>
                <w:color w:val="000000"/>
                <w:sz w:val="27"/>
                <w:szCs w:val="27"/>
                <w:highlight w:val="yellow"/>
              </w:rPr>
            </w:pPr>
            <w:r>
              <w:rPr>
                <w:b/>
                <w:color w:val="000000"/>
                <w:sz w:val="27"/>
                <w:szCs w:val="27"/>
                <w:highlight w:val="yellow"/>
              </w:rPr>
              <w:t xml:space="preserve"> В транспортной задаче переизбыток продавцов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Default="0030729F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  <w:r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  <w:t>+</w:t>
            </w:r>
          </w:p>
        </w:tc>
      </w:tr>
      <w:tr w:rsidR="00593BC0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Pr="00593BC0" w:rsidRDefault="00593BC0" w:rsidP="00593BC0">
            <w:pPr>
              <w:pStyle w:val="a8"/>
              <w:numPr>
                <w:ilvl w:val="0"/>
                <w:numId w:val="1"/>
              </w:numPr>
              <w:rPr>
                <w:b/>
                <w:color w:val="000000"/>
                <w:sz w:val="27"/>
                <w:szCs w:val="27"/>
                <w:highlight w:val="yellow"/>
              </w:rPr>
            </w:pPr>
            <w:r>
              <w:rPr>
                <w:b/>
                <w:color w:val="000000"/>
                <w:sz w:val="27"/>
                <w:szCs w:val="27"/>
                <w:highlight w:val="yellow"/>
              </w:rPr>
              <w:t xml:space="preserve"> </w:t>
            </w:r>
            <w:r w:rsidRPr="00DE087C">
              <w:rPr>
                <w:b/>
                <w:color w:val="FF0000"/>
                <w:sz w:val="27"/>
                <w:szCs w:val="27"/>
                <w:highlight w:val="yellow"/>
              </w:rPr>
              <w:t>В линейной задаче какие условия накладываются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729F" w:rsidRDefault="0030729F" w:rsidP="0030729F">
            <w:pPr>
              <w:pStyle w:val="a8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 переменные, которые следует определить;</w:t>
            </w:r>
          </w:p>
          <w:p w:rsidR="0030729F" w:rsidRDefault="0030729F" w:rsidP="0030729F">
            <w:pPr>
              <w:pStyle w:val="a8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 целевую функцию, подлежащую оптимизации;</w:t>
            </w:r>
          </w:p>
          <w:p w:rsidR="0030729F" w:rsidRPr="0030729F" w:rsidRDefault="0030729F" w:rsidP="0030729F">
            <w:pPr>
              <w:pStyle w:val="a8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 систему ограничений в форме линейных уравнений и неравенств.</w:t>
            </w:r>
          </w:p>
        </w:tc>
      </w:tr>
      <w:tr w:rsidR="00593BC0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Pr="00593BC0" w:rsidRDefault="00593BC0" w:rsidP="00593BC0">
            <w:pPr>
              <w:pStyle w:val="a8"/>
              <w:numPr>
                <w:ilvl w:val="0"/>
                <w:numId w:val="1"/>
              </w:numPr>
              <w:rPr>
                <w:b/>
                <w:color w:val="000000"/>
                <w:sz w:val="27"/>
                <w:szCs w:val="27"/>
                <w:highlight w:val="yellow"/>
              </w:rPr>
            </w:pPr>
            <w:r>
              <w:rPr>
                <w:b/>
                <w:color w:val="000000"/>
                <w:sz w:val="27"/>
                <w:szCs w:val="27"/>
                <w:highlight w:val="yellow"/>
              </w:rPr>
              <w:lastRenderedPageBreak/>
              <w:t xml:space="preserve"> </w:t>
            </w:r>
            <w:r w:rsidRPr="00DE087C">
              <w:rPr>
                <w:b/>
                <w:color w:val="FF0000"/>
                <w:sz w:val="27"/>
                <w:szCs w:val="27"/>
                <w:highlight w:val="yellow"/>
              </w:rPr>
              <w:t>Симплекс метод….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0695F" w:rsidRDefault="0010695F" w:rsidP="0010695F">
            <w:pPr>
              <w:pStyle w:val="a8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Симплекс-метод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— алгоритм решения </w:t>
            </w:r>
            <w:hyperlink r:id="rId9" w:tooltip="Оптимизация (математика)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оптимизационной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задачи </w:t>
            </w:r>
            <w:hyperlink r:id="rId10" w:tooltip="Линейное программирование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линейного программирования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путём перебора вершин выпуклого многогранника в многомерном пространстве.</w:t>
            </w:r>
          </w:p>
          <w:p w:rsidR="00593BC0" w:rsidRPr="0010695F" w:rsidRDefault="0010695F" w:rsidP="0010695F">
            <w:pPr>
              <w:pStyle w:val="a8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Сущность метода: построение базисных решений, на которых монотонно убывает линейный функционал, до ситуации, когда выполняются необходимые условия локальной оптимальности.</w:t>
            </w:r>
          </w:p>
        </w:tc>
      </w:tr>
      <w:tr w:rsidR="00593BC0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Pr="00593BC0" w:rsidRDefault="0030729F" w:rsidP="00593BC0">
            <w:pPr>
              <w:pStyle w:val="a8"/>
              <w:numPr>
                <w:ilvl w:val="0"/>
                <w:numId w:val="1"/>
              </w:numPr>
              <w:rPr>
                <w:b/>
                <w:color w:val="000000"/>
                <w:sz w:val="27"/>
                <w:szCs w:val="27"/>
                <w:highlight w:val="yellow"/>
              </w:rPr>
            </w:pPr>
            <w:r>
              <w:rPr>
                <w:b/>
                <w:color w:val="000000"/>
                <w:sz w:val="27"/>
                <w:szCs w:val="27"/>
                <w:highlight w:val="yellow"/>
              </w:rPr>
              <w:t xml:space="preserve"> Симплекс метод…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Default="00593BC0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</w:p>
        </w:tc>
      </w:tr>
      <w:tr w:rsidR="00593BC0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Pr="00593BC0" w:rsidRDefault="00593BC0" w:rsidP="00593BC0">
            <w:pPr>
              <w:pStyle w:val="a8"/>
              <w:numPr>
                <w:ilvl w:val="0"/>
                <w:numId w:val="1"/>
              </w:numPr>
              <w:rPr>
                <w:b/>
                <w:color w:val="000000"/>
                <w:sz w:val="27"/>
                <w:szCs w:val="27"/>
                <w:highlight w:val="yellow"/>
              </w:rPr>
            </w:pP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Default="00593BC0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</w:p>
        </w:tc>
      </w:tr>
      <w:tr w:rsidR="00593BC0" w:rsidRPr="00593BC0" w:rsidTr="00593BC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Pr="00593BC0" w:rsidRDefault="00593BC0" w:rsidP="00593BC0">
            <w:pPr>
              <w:pStyle w:val="a8"/>
              <w:numPr>
                <w:ilvl w:val="0"/>
                <w:numId w:val="1"/>
              </w:numPr>
              <w:rPr>
                <w:b/>
                <w:color w:val="000000"/>
                <w:sz w:val="27"/>
                <w:szCs w:val="27"/>
                <w:highlight w:val="yellow"/>
              </w:rPr>
            </w:pP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3BC0" w:rsidRDefault="00593BC0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 w:themeColor="background1" w:themeShade="80"/>
                <w:szCs w:val="17"/>
                <w:lang w:eastAsia="ru-RU"/>
              </w:rPr>
            </w:pPr>
          </w:p>
        </w:tc>
      </w:tr>
    </w:tbl>
    <w:p w:rsidR="00593BC0" w:rsidRDefault="00593BC0"/>
    <w:sectPr w:rsidR="00593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4177A"/>
    <w:multiLevelType w:val="hybridMultilevel"/>
    <w:tmpl w:val="B61A8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12D13"/>
    <w:multiLevelType w:val="hybridMultilevel"/>
    <w:tmpl w:val="B192E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0D1"/>
    <w:rsid w:val="00021C13"/>
    <w:rsid w:val="000D30D1"/>
    <w:rsid w:val="0010184D"/>
    <w:rsid w:val="0010695F"/>
    <w:rsid w:val="0012470F"/>
    <w:rsid w:val="00187BC5"/>
    <w:rsid w:val="00215D22"/>
    <w:rsid w:val="002526A3"/>
    <w:rsid w:val="002D6319"/>
    <w:rsid w:val="002E2F4F"/>
    <w:rsid w:val="0030729F"/>
    <w:rsid w:val="003877BA"/>
    <w:rsid w:val="003D1117"/>
    <w:rsid w:val="00506D95"/>
    <w:rsid w:val="00544047"/>
    <w:rsid w:val="00593BC0"/>
    <w:rsid w:val="005F511B"/>
    <w:rsid w:val="006E10E4"/>
    <w:rsid w:val="0076629C"/>
    <w:rsid w:val="007A676E"/>
    <w:rsid w:val="008601EC"/>
    <w:rsid w:val="008D62E0"/>
    <w:rsid w:val="008E6479"/>
    <w:rsid w:val="009315FD"/>
    <w:rsid w:val="00953883"/>
    <w:rsid w:val="00A3730F"/>
    <w:rsid w:val="00A82769"/>
    <w:rsid w:val="00AD0EEF"/>
    <w:rsid w:val="00C05F62"/>
    <w:rsid w:val="00C7796B"/>
    <w:rsid w:val="00CC3A53"/>
    <w:rsid w:val="00D541A4"/>
    <w:rsid w:val="00D54353"/>
    <w:rsid w:val="00DA6A56"/>
    <w:rsid w:val="00DE087C"/>
    <w:rsid w:val="00E00EBE"/>
    <w:rsid w:val="00E26581"/>
    <w:rsid w:val="00E44BEF"/>
    <w:rsid w:val="00E47F81"/>
    <w:rsid w:val="00E62896"/>
    <w:rsid w:val="00F94BCA"/>
    <w:rsid w:val="00FD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3B3E39-07C8-47ED-B5DB-B3204BEA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6581"/>
  </w:style>
  <w:style w:type="character" w:styleId="a3">
    <w:name w:val="Hyperlink"/>
    <w:basedOn w:val="a0"/>
    <w:uiPriority w:val="99"/>
    <w:semiHidden/>
    <w:unhideWhenUsed/>
    <w:rsid w:val="00E2658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26581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26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658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93BC0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593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5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ortal.by/uploads/9d403f9fe73208cdb1db418dd65aa03a.jp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B%D0%B8%D0%BD%D0%B5%D0%B9%D0%BD%D0%BE%D0%B5_%D0%BF%D1%80%D0%BE%D0%B3%D1%80%D0%B0%D0%BC%D0%BC%D0%B8%D1%80%D0%BE%D0%B2%D0%B0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F%D1%82%D0%B8%D0%BC%D0%B8%D0%B7%D0%B0%D1%86%D0%B8%D1%8F_(%D0%BC%D0%B0%D1%82%D0%B5%D0%BC%D0%B0%D1%82%D0%B8%D0%BA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B0AEB-450E-43DF-8C40-8B5A8250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карпач</dc:creator>
  <cp:keywords/>
  <dc:description/>
  <cp:lastModifiedBy>yana.ignatkova@mail.ru</cp:lastModifiedBy>
  <cp:revision>35</cp:revision>
  <dcterms:created xsi:type="dcterms:W3CDTF">2017-06-03T09:24:00Z</dcterms:created>
  <dcterms:modified xsi:type="dcterms:W3CDTF">2019-06-28T17:41:00Z</dcterms:modified>
</cp:coreProperties>
</file>