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425.1968503937007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Семантическое разнообразие предсказаний в cloze-тесте: как выбор модели векторизации влияет на оценку сходства LLM с людьми</w:t>
      </w:r>
    </w:p>
    <w:p w:rsidR="00000000" w:rsidDel="00000000" w:rsidP="00000000" w:rsidRDefault="00000000" w:rsidRPr="00000000" w14:paraId="00000002">
      <w:pPr>
        <w:ind w:firstLine="425.1968503937007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Проектное эссе</w:t>
      </w:r>
      <w:r w:rsidDel="00000000" w:rsidR="00000000" w:rsidRPr="00000000">
        <w:rPr>
          <w:b w:val="1"/>
          <w:bCs w:val="1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425.19685039370074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Вера Монина, БКЛ231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40" w:before="28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Введение</w:t>
      </w:r>
    </w:p>
    <w:p w:rsidR="00000000" w:rsidDel="00000000" w:rsidP="00000000" w:rsidRDefault="00000000" w:rsidRPr="00000000" w14:paraId="00000005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В курсовой работе </w:t>
      </w:r>
      <w:r w:rsidDel="00000000" w:rsidR="00000000" w:rsidRPr="00000000">
        <w:rPr>
          <w:rtl w:val="0"/>
        </w:rPr>
        <w:t xml:space="preserve">этого года я</w:t>
      </w:r>
      <w:r w:rsidDel="00000000" w:rsidR="00000000" w:rsidRPr="00000000">
        <w:rPr>
          <w:i w:val="0"/>
          <w:iCs w:val="0"/>
          <w:rtl w:val="0"/>
        </w:rPr>
        <w:t xml:space="preserve"> проводил</w:t>
      </w:r>
      <w:r w:rsidDel="00000000" w:rsidR="00000000" w:rsidRPr="00000000">
        <w:rPr>
          <w:rtl w:val="0"/>
        </w:rPr>
        <w:t xml:space="preserve">а</w:t>
      </w:r>
      <w:r w:rsidDel="00000000" w:rsidR="00000000" w:rsidRPr="00000000">
        <w:rPr>
          <w:i w:val="0"/>
          <w:iCs w:val="0"/>
          <w:rtl w:val="0"/>
        </w:rPr>
        <w:t xml:space="preserve"> сравнение вероятностных распределений предсказаний GPT-4o-mini и Llama 3.1 с данными cloze-теста</w:t>
      </w:r>
      <w:r w:rsidDel="00000000" w:rsidR="00000000" w:rsidRPr="00000000">
        <w:rPr>
          <w:i w:val="0"/>
          <w:iCs w:val="0"/>
          <w:vertAlign w:val="superscript"/>
        </w:rPr>
        <w:footnoteReference w:customMarkFollows="0" w:id="1"/>
      </w:r>
      <w:r w:rsidDel="00000000" w:rsidR="00000000" w:rsidRPr="00000000">
        <w:rPr>
          <w:i w:val="0"/>
          <w:iCs w:val="0"/>
          <w:rtl w:val="0"/>
        </w:rPr>
        <w:t xml:space="preserve"> на материале Русского корпуса предложений (Laurinavichyute et al., 2019; 144 контекста, 6 705 ответов). </w:t>
      </w:r>
      <w:r w:rsidDel="00000000" w:rsidR="00000000" w:rsidRPr="00000000">
        <w:rPr>
          <w:rtl w:val="0"/>
        </w:rPr>
        <w:t xml:space="preserve">Сравнение на семантическом уровне</w:t>
      </w:r>
      <w:r w:rsidDel="00000000" w:rsidR="00000000" w:rsidRPr="00000000">
        <w:rPr>
          <w:i w:val="0"/>
          <w:iCs w:val="0"/>
          <w:rtl w:val="0"/>
        </w:rPr>
        <w:t xml:space="preserve"> было реализовано через статические эмбеддинги ruwikiruscorpora (word2vec, skipgram, 300 мер.): предсказания кодировались в виде пар лемма_UPOS, после чего вычислялись centroid similarity и NN Coverage. На защите </w:t>
      </w:r>
      <w:r w:rsidDel="00000000" w:rsidR="00000000" w:rsidRPr="00000000">
        <w:rPr>
          <w:rtl w:val="0"/>
        </w:rPr>
        <w:t xml:space="preserve">мне задали</w:t>
      </w:r>
      <w:r w:rsidDel="00000000" w:rsidR="00000000" w:rsidRPr="00000000">
        <w:rPr>
          <w:i w:val="0"/>
          <w:iCs w:val="0"/>
          <w:rtl w:val="0"/>
        </w:rPr>
        <w:t xml:space="preserve"> вопрос: в какой мере выводы определяются выбором инструмента векторизации, и не изменится ли картина при использовании контекстуализированных эмбеддингов?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Настоящее эссе систематически отвечает на этот вопрос. Мы сравниваем </w:t>
      </w:r>
      <w:r w:rsidDel="00000000" w:rsidR="00000000" w:rsidRPr="00000000">
        <w:rPr>
          <w:rtl w:val="0"/>
        </w:rPr>
        <w:t xml:space="preserve">два</w:t>
      </w:r>
      <w:r w:rsidDel="00000000" w:rsidR="00000000" w:rsidRPr="00000000">
        <w:rPr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типа </w:t>
      </w:r>
      <w:r w:rsidDel="00000000" w:rsidR="00000000" w:rsidRPr="00000000">
        <w:rPr>
          <w:rtl w:val="0"/>
        </w:rPr>
        <w:t xml:space="preserve">эмбединнгов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i w:val="0"/>
          <w:iCs w:val="0"/>
          <w:rtl w:val="0"/>
        </w:rPr>
        <w:t xml:space="preserve"> (статические word2vec и контекстуализированные ruBERT) и три способа извлечения эмбеддинга из ruBERT.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40" w:before="28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Методология</w:t>
      </w:r>
    </w:p>
    <w:p w:rsidR="00000000" w:rsidDel="00000000" w:rsidP="00000000" w:rsidRDefault="00000000" w:rsidRPr="00000000" w14:paraId="00000008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Метрики</w:t>
      </w:r>
    </w:p>
    <w:p w:rsidR="00000000" w:rsidDel="00000000" w:rsidP="00000000" w:rsidRDefault="00000000" w:rsidRPr="00000000" w14:paraId="00000009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rFonts w:ascii="Gungsuh" w:cs="Gungsuh" w:eastAsia="Gungsuh" w:hAnsi="Gungsuh"/>
          <w:i w:val="0"/>
          <w:iCs w:val="0"/>
          <w:rtl w:val="0"/>
        </w:rPr>
        <w:t xml:space="preserve">Исходная метрика NN Coverage @ θ фиксировала, какая доля вероятностной массы человеческих ответов покрывается хотя бы одним модельным предсказанием с косинусным сходством ≥ θ. На каж</w:t>
      </w:r>
      <w:r w:rsidDel="00000000" w:rsidR="00000000" w:rsidRPr="00000000">
        <w:rPr>
          <w:rtl w:val="0"/>
        </w:rPr>
        <w:t xml:space="preserve">дом уровне θ дополнительно вычислялись precision, Recall и F1 для того, чтобы развести </w:t>
      </w:r>
      <w:r w:rsidDel="00000000" w:rsidR="00000000" w:rsidRPr="00000000">
        <w:rPr>
          <w:rtl w:val="0"/>
        </w:rPr>
        <w:t xml:space="preserve">полноту и точность модели. Также вычислялась метрика </w:t>
      </w:r>
      <w:r w:rsidDel="00000000" w:rsidR="00000000" w:rsidRPr="00000000">
        <w:rPr>
          <w:i w:val="0"/>
          <w:iCs w:val="0"/>
          <w:rtl w:val="0"/>
        </w:rPr>
        <w:t xml:space="preserve">Centroid Similarity (CS) — косинусное сходство взвешенных центроидов двух распределений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Gungsuh" w:cs="Gungsuh" w:eastAsia="Gungsuh" w:hAnsi="Gungsuh"/>
          <w:i w:val="0"/>
          <w:iCs w:val="0"/>
          <w:rtl w:val="0"/>
        </w:rPr>
        <w:t xml:space="preserve">Пороги θ ∈ {0.70, 0.80, 0.90</w:t>
      </w:r>
      <w:r w:rsidDel="00000000" w:rsidR="00000000" w:rsidRPr="00000000">
        <w:rPr>
          <w:i w:val="0"/>
          <w:iCs w:val="0"/>
          <w:vertAlign w:val="superscript"/>
        </w:rPr>
        <w:footnoteReference w:customMarkFollows="0" w:id="3"/>
      </w:r>
      <w:r w:rsidDel="00000000" w:rsidR="00000000" w:rsidRPr="00000000">
        <w:rPr>
          <w:i w:val="0"/>
          <w:iCs w:val="0"/>
          <w:rtl w:val="0"/>
        </w:rPr>
        <w:t xml:space="preserve">}; top-k</w:t>
      </w:r>
      <w:r w:rsidDel="00000000" w:rsidR="00000000" w:rsidRPr="00000000">
        <w:rPr>
          <w:i w:val="0"/>
          <w:iCs w:val="0"/>
          <w:vertAlign w:val="superscript"/>
        </w:rPr>
        <w:footnoteReference w:customMarkFollows="0" w:id="4"/>
      </w:r>
      <w:r w:rsidDel="00000000" w:rsidR="00000000" w:rsidRPr="00000000">
        <w:rPr>
          <w:rFonts w:ascii="Gungsuh" w:cs="Gungsuh" w:eastAsia="Gungsuh" w:hAnsi="Gungsuh"/>
          <w:i w:val="0"/>
          <w:iCs w:val="0"/>
          <w:rtl w:val="0"/>
        </w:rPr>
        <w:t xml:space="preserve"> ∈ {1, 5, 10, 20, 50, 100}.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Подходы к векторизации</w:t>
      </w:r>
    </w:p>
    <w:p w:rsidR="00000000" w:rsidDel="00000000" w:rsidP="00000000" w:rsidRDefault="00000000" w:rsidRPr="00000000" w14:paraId="0000000B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Word2vec (ruwikiruscorpora). </w:t>
      </w:r>
      <w:r w:rsidDel="00000000" w:rsidR="00000000" w:rsidRPr="00000000">
        <w:rPr>
          <w:i w:val="0"/>
          <w:iCs w:val="0"/>
          <w:rtl w:val="0"/>
        </w:rPr>
        <w:t xml:space="preserve">Статические эмбеддинги: один вектор на </w:t>
      </w:r>
      <w:r w:rsidDel="00000000" w:rsidR="00000000" w:rsidRPr="00000000">
        <w:rPr>
          <w:rtl w:val="0"/>
        </w:rPr>
        <w:t xml:space="preserve">слово</w:t>
      </w:r>
      <w:r w:rsidDel="00000000" w:rsidR="00000000" w:rsidRPr="00000000">
        <w:rPr>
          <w:i w:val="0"/>
          <w:iCs w:val="0"/>
          <w:rtl w:val="0"/>
        </w:rPr>
        <w:t xml:space="preserve"> в формате лемма_UPOS. Плюсы: скорость, прозрачность. Минусы: нечувствительность к полисемии</w:t>
      </w:r>
      <w:r w:rsidDel="00000000" w:rsidR="00000000" w:rsidRPr="00000000">
        <w:rPr>
          <w:rtl w:val="0"/>
        </w:rPr>
        <w:t xml:space="preserve"> и изменениям семантики слов в различных контекстах</w:t>
      </w:r>
      <w:r w:rsidDel="00000000" w:rsidR="00000000" w:rsidRPr="00000000">
        <w:rPr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ruBERT (DeepPavlov/rubert-base-cased). </w:t>
      </w:r>
      <w:r w:rsidDel="00000000" w:rsidR="00000000" w:rsidRPr="00000000">
        <w:rPr>
          <w:i w:val="0"/>
          <w:iCs w:val="0"/>
          <w:rtl w:val="0"/>
        </w:rPr>
        <w:t xml:space="preserve">Контекстуализированные эмбеддинги; вектор токена формируется динамически с учётом полного контекста (</w:t>
      </w:r>
      <w:r w:rsidDel="00000000" w:rsidR="00000000" w:rsidRPr="00000000">
        <w:rPr>
          <w:rtl w:val="0"/>
        </w:rPr>
        <w:t xml:space="preserve">в классических работах требуется двусторонний контекст, но в рамках cloze-теста у испытуемых есть только левый контекст)</w:t>
      </w:r>
      <w:r w:rsidDel="00000000" w:rsidR="00000000" w:rsidRPr="00000000">
        <w:rPr>
          <w:i w:val="0"/>
          <w:iCs w:val="0"/>
          <w:rtl w:val="0"/>
        </w:rPr>
        <w:t xml:space="preserve">. Реализованы три способа извлечения.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Три способа извлечения эмбеддингов из ruBERT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276" w:lineRule="auto"/>
        <w:ind w:left="720" w:hanging="294.80314960629926"/>
        <w:jc w:val="both"/>
        <w:rPr/>
      </w:pPr>
      <w:r w:rsidDel="00000000" w:rsidR="00000000" w:rsidRPr="00000000">
        <w:rPr>
          <w:rtl w:val="0"/>
        </w:rPr>
        <w:t xml:space="preserve">Способ A. Предсказанное слово подставляется на позицию пропуска; hidden state соответствующих субтокенов из последнего слоя берётся как вектор пары (контекст, слово). Это наиболее естественный аналог masked language modeling.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line="276" w:lineRule="auto"/>
        <w:ind w:left="720" w:hanging="294.80314960629926"/>
        <w:jc w:val="both"/>
        <w:rPr>
          <w:i w:val="0"/>
          <w:iCs w:val="0"/>
        </w:rPr>
      </w:pPr>
      <w:r w:rsidDel="00000000" w:rsidR="00000000" w:rsidRPr="00000000">
        <w:rPr>
          <w:i w:val="0"/>
          <w:iCs w:val="0"/>
          <w:rtl w:val="0"/>
        </w:rPr>
        <w:t xml:space="preserve">Способ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B.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Вектор [CLS] левого контекста (без целевого слова) усредняется с вектором слова, поданного изолированно.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120" w:before="0" w:line="276" w:lineRule="auto"/>
        <w:ind w:left="720" w:hanging="294.80314960629926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Способ C. </w:t>
      </w:r>
      <w:r w:rsidDel="00000000" w:rsidR="00000000" w:rsidRPr="00000000">
        <w:rPr>
          <w:i w:val="0"/>
          <w:iCs w:val="0"/>
          <w:rtl w:val="0"/>
        </w:rPr>
        <w:t xml:space="preserve">Residual = v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Fonts w:ascii="Gungsuh" w:cs="Gungsuh" w:eastAsia="Gungsuh" w:hAnsi="Gungsuh"/>
          <w:i w:val="0"/>
          <w:iCs w:val="0"/>
          <w:rtl w:val="0"/>
        </w:rPr>
        <w:t xml:space="preserve"> − v</w:t>
      </w:r>
      <w:r w:rsidDel="00000000" w:rsidR="00000000" w:rsidRPr="00000000">
        <w:rPr>
          <w:i w:val="1"/>
          <w:iCs w:val="1"/>
          <w:rtl w:val="0"/>
        </w:rPr>
        <w:t xml:space="preserve">CLS(ctx)</w:t>
      </w:r>
      <w:r w:rsidDel="00000000" w:rsidR="00000000" w:rsidRPr="00000000">
        <w:rPr>
          <w:i w:val="0"/>
          <w:iCs w:val="0"/>
          <w:rtl w:val="0"/>
        </w:rPr>
        <w:t xml:space="preserve">. Вычитание CLS-вектора контекста из способа A</w:t>
      </w:r>
      <w:r w:rsidDel="00000000" w:rsidR="00000000" w:rsidRPr="00000000">
        <w:rPr>
          <w:rtl w:val="0"/>
        </w:rPr>
        <w:t xml:space="preserve">, то есть </w:t>
      </w:r>
      <w:r w:rsidDel="00000000" w:rsidR="00000000" w:rsidRPr="00000000">
        <w:rPr>
          <w:i w:val="0"/>
          <w:iCs w:val="0"/>
          <w:rtl w:val="0"/>
        </w:rPr>
        <w:t xml:space="preserve">убирается «фоновый» контекстный сигнал, оставляя только вклад целевого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40" w:before="28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Результаты</w:t>
      </w:r>
    </w:p>
    <w:p w:rsidR="00000000" w:rsidDel="00000000" w:rsidP="00000000" w:rsidRDefault="00000000" w:rsidRPr="00000000" w14:paraId="00000012">
      <w:pPr>
        <w:spacing w:after="80" w:before="0" w:line="276" w:lineRule="auto"/>
        <w:ind w:firstLine="425.19685039370074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Таблица 1 содержит сводные </w:t>
      </w:r>
      <w:r w:rsidDel="00000000" w:rsidR="00000000" w:rsidRPr="00000000">
        <w:rPr>
          <w:rtl w:val="0"/>
        </w:rPr>
        <w:t xml:space="preserve">результаты по всем метрикам </w:t>
      </w:r>
      <w:r w:rsidDel="00000000" w:rsidR="00000000" w:rsidRPr="00000000">
        <w:rPr>
          <w:i w:val="0"/>
          <w:iCs w:val="0"/>
          <w:rtl w:val="0"/>
        </w:rPr>
        <w:t xml:space="preserve">при </w:t>
      </w:r>
      <w:r w:rsidDel="00000000" w:rsidR="00000000" w:rsidRPr="00000000">
        <w:rPr>
          <w:rtl w:val="0"/>
        </w:rPr>
        <w:t xml:space="preserve">различных top_k</w:t>
      </w:r>
      <w:r w:rsidDel="00000000" w:rsidR="00000000" w:rsidRPr="00000000">
        <w:rPr>
          <w:i w:val="0"/>
          <w:iCs w:val="0"/>
          <w:rtl w:val="0"/>
        </w:rPr>
        <w:t xml:space="preserve"> и θ=0.70 для обеих языковых моделей. </w:t>
      </w:r>
      <w:r w:rsidDel="00000000" w:rsidR="00000000" w:rsidRPr="00000000">
        <w:rPr>
          <w:rtl w:val="0"/>
        </w:rPr>
      </w:r>
    </w:p>
    <w:tbl>
      <w:tblPr>
        <w:tblStyle w:val="Table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65"/>
        <w:gridCol w:w="1275"/>
        <w:gridCol w:w="990"/>
        <w:gridCol w:w="825"/>
        <w:gridCol w:w="870"/>
        <w:gridCol w:w="1200"/>
        <w:gridCol w:w="855"/>
        <w:gridCol w:w="855"/>
        <w:gridCol w:w="900"/>
        <w:tblGridChange w:id="0">
          <w:tblGrid>
            <w:gridCol w:w="1365"/>
            <w:gridCol w:w="1275"/>
            <w:gridCol w:w="990"/>
            <w:gridCol w:w="825"/>
            <w:gridCol w:w="870"/>
            <w:gridCol w:w="1200"/>
            <w:gridCol w:w="855"/>
            <w:gridCol w:w="855"/>
            <w:gridCol w:w="900"/>
          </w:tblGrid>
        </w:tblGridChange>
      </w:tblGrid>
      <w:tr>
        <w:trPr>
          <w:cantSplit w:val="0"/>
          <w:trHeight w:val="430.3931649521632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a2c4c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6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GPT-4o-mini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a2c4c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6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Llama 3.1</w:t>
            </w:r>
          </w:p>
        </w:tc>
      </w:tr>
      <w:tr>
        <w:trPr>
          <w:cantSplit w:val="0"/>
          <w:trHeight w:val="372.2944138845673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Подход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Centr.Sim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R@70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P@70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F1@70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Centr.Sim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R@70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P@70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F1@70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top_k</w:t>
            </w:r>
          </w:p>
        </w:tc>
        <w:tc>
          <w:tcPr>
            <w:gridSpan w:val="4"/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word2vec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0.699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0.409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0.611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0.447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0.364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0.065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ruBERT-A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0.921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0.784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0.892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0.811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3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0.506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ruBERT-B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0.975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4cccc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4cccc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4cccc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6">
            <w:pPr>
              <w:ind w:firstLine="0"/>
              <w:jc w:val="center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0.999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7">
            <w:pPr>
              <w:ind w:firstLine="0"/>
              <w:jc w:val="center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0.996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8">
            <w:pPr>
              <w:ind w:firstLine="0"/>
              <w:jc w:val="center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0.997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ruBERT-C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0.964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0.989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0.994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0.992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0.887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4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0.984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0.938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5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0.945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top_k</w:t>
            </w:r>
          </w:p>
        </w:tc>
        <w:tc>
          <w:tcPr>
            <w:gridSpan w:val="4"/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word2vec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0.702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76" w:lineRule="auto"/>
              <w:ind w:firstLine="0"/>
              <w:jc w:val="center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sz w:val="20"/>
                <w:szCs w:val="20"/>
                <w:shd w:fill="fff2cc" w:val="clear"/>
                <w:rtl w:val="0"/>
              </w:rPr>
              <w:t xml:space="preserve">0.416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ind w:firstLine="0"/>
              <w:jc w:val="center"/>
              <w:rPr>
                <w:sz w:val="20"/>
                <w:szCs w:val="20"/>
                <w:shd w:fill="fff2cc" w:val="clear"/>
              </w:rPr>
            </w:pPr>
            <w:r w:rsidDel="00000000" w:rsidR="00000000" w:rsidRPr="00000000">
              <w:rPr>
                <w:sz w:val="20"/>
                <w:szCs w:val="20"/>
                <w:shd w:fill="fff2cc" w:val="clear"/>
                <w:rtl w:val="0"/>
              </w:rPr>
              <w:t xml:space="preserve">0.609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0.452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0.370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0.064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ruBERT-A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0.922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0.807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0.891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0.825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0.874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0.558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ruBERT-B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0.976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76" w:lineRule="auto"/>
              <w:ind w:firstLine="0"/>
              <w:jc w:val="center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0.999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76" w:lineRule="auto"/>
              <w:ind w:firstLine="0"/>
              <w:jc w:val="center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1.000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76" w:lineRule="auto"/>
              <w:ind w:firstLine="0"/>
              <w:jc w:val="center"/>
              <w:rPr>
                <w:sz w:val="20"/>
                <w:szCs w:val="20"/>
                <w:shd w:fill="f4cccc" w:val="clear"/>
              </w:rPr>
            </w:pPr>
            <w:r w:rsidDel="00000000" w:rsidR="00000000" w:rsidRPr="00000000">
              <w:rPr>
                <w:sz w:val="20"/>
                <w:szCs w:val="20"/>
                <w:shd w:fill="f4cccc" w:val="clear"/>
                <w:rtl w:val="0"/>
              </w:rPr>
              <w:t xml:space="preserve">0.999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4cc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0.997</w:t>
            </w:r>
          </w:p>
        </w:tc>
      </w:tr>
      <w:tr>
        <w:trPr>
          <w:cantSplit w:val="0"/>
          <w:trHeight w:val="369.477539062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ruBERT-C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0.964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0.991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0.994</w:t>
            </w:r>
          </w:p>
        </w:tc>
        <w:tc>
          <w:tcPr>
            <w:tcBorders>
              <w:top w:color="aaaaaa" w:space="0" w:sz="8" w:val="single"/>
              <w:left w:color="aaaaaa" w:space="0" w:sz="8" w:val="single"/>
              <w:bottom w:color="aaaaaa" w:space="0" w:sz="8" w:val="single"/>
              <w:right w:color="aaaaaa" w:space="0" w:sz="8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0.993</w:t>
            </w:r>
          </w:p>
        </w:tc>
        <w:tc>
          <w:tcPr>
            <w:tcBorders>
              <w:top w:color="aaaaaa" w:space="0" w:sz="4" w:val="single"/>
              <w:left w:color="aaaaaa" w:space="0" w:sz="8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0.890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0.996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0.938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ead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0.949</w:t>
            </w:r>
          </w:p>
        </w:tc>
      </w:tr>
    </w:tbl>
    <w:p w:rsidR="00000000" w:rsidDel="00000000" w:rsidP="00000000" w:rsidRDefault="00000000" w:rsidRPr="00000000" w14:paraId="0000007F">
      <w:pPr>
        <w:spacing w:after="60" w:line="276" w:lineRule="auto"/>
        <w:ind w:firstLine="425.19685039370074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Таблица 1. Метрики при top-20 и top-100, θ=0.70</w:t>
      </w:r>
    </w:p>
    <w:p w:rsidR="00000000" w:rsidDel="00000000" w:rsidP="00000000" w:rsidRDefault="00000000" w:rsidRPr="00000000" w14:paraId="00000080">
      <w:pPr>
        <w:spacing w:after="8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Таблица 2 содержит сводные результаты по всем метрикам при различных top_k и θ=0.90 для обеих языковых моделей. Также добавлена разница между F1 мерой при  θ=0.70 и θ=0.90 для того, чтобы можно было увидеть влияние ужесточения параметра. </w:t>
      </w:r>
    </w:p>
    <w:tbl>
      <w:tblPr>
        <w:tblStyle w:val="Table2"/>
        <w:tblW w:w="90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70"/>
        <w:gridCol w:w="870"/>
        <w:gridCol w:w="885"/>
        <w:gridCol w:w="1035"/>
        <w:gridCol w:w="1050"/>
        <w:gridCol w:w="840"/>
        <w:gridCol w:w="870"/>
        <w:gridCol w:w="855"/>
        <w:gridCol w:w="1215"/>
        <w:tblGridChange w:id="0">
          <w:tblGrid>
            <w:gridCol w:w="1470"/>
            <w:gridCol w:w="870"/>
            <w:gridCol w:w="885"/>
            <w:gridCol w:w="1035"/>
            <w:gridCol w:w="1050"/>
            <w:gridCol w:w="840"/>
            <w:gridCol w:w="870"/>
            <w:gridCol w:w="855"/>
            <w:gridCol w:w="1215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76" w:lineRule="auto"/>
              <w:ind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2c4c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6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GPT-4o-mini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a2c4c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6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 Llama 3.1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Подход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R@90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P@90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F1@90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ΔF1 GPT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R@90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P@90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F1@90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ΔF1 Llama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top_k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word2vec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9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−0.017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0.291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0.509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7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0.551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−0.260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0.170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−0.336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A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0.720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0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1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2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−0.252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3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0.648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4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5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6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−0.680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8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0.621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9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A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0.665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B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−0.327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C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0.542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D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E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55.0" w:type="dxa"/>
              <w:left w:w="90.0" w:type="dxa"/>
              <w:bottom w:w="55.0" w:type="dxa"/>
              <w:right w:w="90.0" w:type="dxa"/>
            </w:tcMar>
          </w:tcPr>
          <w:p w:rsidR="00000000" w:rsidDel="00000000" w:rsidP="00000000" w:rsidRDefault="00000000" w:rsidRPr="00000000" w14:paraId="000000BF">
            <w:pPr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−0.642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top_k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fefe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word2vec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0.396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0.595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0.433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−0.019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0.489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0.041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0.054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−0.010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ruBERT-A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0.692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0.560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−0.264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0.193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−0.355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ruBERT-B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0.747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0.843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0.762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−0.237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0.839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0.313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9d2e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0.363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4f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−0.634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8" w:val="single"/>
            </w:tcBorders>
            <w:shd w:fill="d0e0e3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ruBERT-C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0.643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0.790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0.677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−0.316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0.732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2cc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0.335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0.351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sz w:val="20"/>
                <w:szCs w:val="20"/>
                <w:rtl w:val="0"/>
              </w:rPr>
              <w:t xml:space="preserve">−0.598</w:t>
            </w:r>
          </w:p>
        </w:tc>
      </w:tr>
    </w:tbl>
    <w:p w:rsidR="00000000" w:rsidDel="00000000" w:rsidP="00000000" w:rsidRDefault="00000000" w:rsidRPr="00000000" w14:paraId="000000ED">
      <w:pPr>
        <w:spacing w:after="60" w:line="276" w:lineRule="auto"/>
        <w:ind w:firstLine="425.19685039370074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Таблица 2. Метрики при top-20 и top-100, θ=0.90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Описание результатов word2vec</w:t>
      </w:r>
    </w:p>
    <w:p w:rsidR="00000000" w:rsidDel="00000000" w:rsidP="00000000" w:rsidRDefault="00000000" w:rsidRPr="00000000" w14:paraId="000000EF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Результаты на статических эмбеддингах показали значительные различия между двумя моделями</w:t>
      </w:r>
      <w:r w:rsidDel="00000000" w:rsidR="00000000" w:rsidRPr="00000000">
        <w:rPr>
          <w:i w:val="0"/>
          <w:iCs w:val="0"/>
          <w:rtl w:val="0"/>
        </w:rPr>
        <w:t xml:space="preserve">. </w:t>
      </w:r>
      <w:r w:rsidDel="00000000" w:rsidR="00000000" w:rsidRPr="00000000">
        <w:rPr>
          <w:highlight w:val="white"/>
          <w:rtl w:val="0"/>
        </w:rPr>
        <w:t xml:space="preserve">Для GPT-4o-mini значение косинусного сходства CS = 0.70 при F1@70 = 0.45 указывает на то, что модельные предсказания в основном располагаются в общем семантическом пространстве с человеческими ответами, но степень их близости остаётся ограниченной. </w:t>
      </w:r>
      <w:r w:rsidDel="00000000" w:rsidR="00000000" w:rsidRPr="00000000">
        <w:rPr>
          <w:i w:val="0"/>
          <w:iCs w:val="0"/>
          <w:rtl w:val="0"/>
        </w:rPr>
        <w:t xml:space="preserve">При этом Precision (0.61) превышает Recall (0.42): предсказания GPT, </w:t>
      </w:r>
      <w:r w:rsidDel="00000000" w:rsidR="00000000" w:rsidRPr="00000000">
        <w:rPr>
          <w:rtl w:val="0"/>
        </w:rPr>
        <w:t xml:space="preserve">то есть </w:t>
      </w:r>
      <w:r w:rsidDel="00000000" w:rsidR="00000000" w:rsidRPr="00000000">
        <w:rPr>
          <w:i w:val="0"/>
          <w:iCs w:val="0"/>
          <w:rtl w:val="0"/>
        </w:rPr>
        <w:t xml:space="preserve">значительная часть человеческих ответов остаётся непокрытой (что важно</w:t>
      </w:r>
      <w:r w:rsidDel="00000000" w:rsidR="00000000" w:rsidRPr="00000000">
        <w:rPr>
          <w:rtl w:val="0"/>
        </w:rPr>
        <w:t xml:space="preserve"> было очень важно для моей курсовой работы)</w:t>
      </w:r>
      <w:r w:rsidDel="00000000" w:rsidR="00000000" w:rsidRPr="00000000">
        <w:rPr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Llama </w:t>
      </w:r>
      <w:r w:rsidDel="00000000" w:rsidR="00000000" w:rsidRPr="00000000">
        <w:rPr>
          <w:rtl w:val="0"/>
        </w:rPr>
        <w:t xml:space="preserve">результаты указывают на меньшее перекрытие распределение предсказаний. При top_20 Recall = 0.316, Precision = 0.062, F1 = 0.065. При переходе к top_100 Recall резко вырастает до 0.532, тогда как Precision падает до 0.053, что ведет к тому, что F1 метрика почти не меняется (0.064). То есть </w:t>
      </w:r>
      <w:r w:rsidDel="00000000" w:rsidR="00000000" w:rsidRPr="00000000">
        <w:rPr>
          <w:i w:val="0"/>
          <w:iCs w:val="0"/>
          <w:rtl w:val="0"/>
        </w:rPr>
        <w:t xml:space="preserve">модель генерирует широк</w:t>
      </w:r>
      <w:r w:rsidDel="00000000" w:rsidR="00000000" w:rsidRPr="00000000">
        <w:rPr>
          <w:rtl w:val="0"/>
        </w:rPr>
        <w:t xml:space="preserve">ое</w:t>
      </w:r>
      <w:r w:rsidDel="00000000" w:rsidR="00000000" w:rsidRPr="00000000">
        <w:rPr>
          <w:i w:val="0"/>
          <w:iCs w:val="0"/>
          <w:rtl w:val="0"/>
        </w:rPr>
        <w:t xml:space="preserve">, семантически </w:t>
      </w:r>
      <w:r w:rsidDel="00000000" w:rsidR="00000000" w:rsidRPr="00000000">
        <w:rPr>
          <w:rtl w:val="0"/>
        </w:rPr>
        <w:t xml:space="preserve">размытое распределение</w:t>
      </w:r>
      <w:r w:rsidDel="00000000" w:rsidR="00000000" w:rsidRPr="00000000">
        <w:rPr>
          <w:i w:val="0"/>
          <w:iCs w:val="0"/>
          <w:rtl w:val="0"/>
        </w:rPr>
        <w:t xml:space="preserve">, котор</w:t>
      </w:r>
      <w:r w:rsidDel="00000000" w:rsidR="00000000" w:rsidRPr="00000000">
        <w:rPr>
          <w:rtl w:val="0"/>
        </w:rPr>
        <w:t xml:space="preserve">ое</w:t>
      </w:r>
      <w:r w:rsidDel="00000000" w:rsidR="00000000" w:rsidRPr="00000000">
        <w:rPr>
          <w:i w:val="0"/>
          <w:iCs w:val="0"/>
          <w:rtl w:val="0"/>
        </w:rPr>
        <w:t xml:space="preserve"> не пересекается с человеческими ответами в статическом пространстве.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Особенно интересно, что увеличение порога до </w:t>
      </w:r>
      <w:r w:rsidDel="00000000" w:rsidR="00000000" w:rsidRPr="00000000">
        <w:rPr>
          <w:rtl w:val="0"/>
        </w:rPr>
        <w:t xml:space="preserve">θ = 0.90 не дает значимого ухудшения по метрикам. Это означает: </w:t>
      </w:r>
      <w:r w:rsidDel="00000000" w:rsidR="00000000" w:rsidRPr="00000000">
        <w:rPr>
          <w:rtl w:val="0"/>
        </w:rPr>
        <w:t xml:space="preserve">найденные моделью семантические соответствия не являются случайными — они формируют устойчивое семантически близкое распределение к людям, которое сохраняется даже при ужесточении критерия схожести.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Описание результатов RuBERT способ A</w:t>
      </w:r>
    </w:p>
    <w:p w:rsidR="00000000" w:rsidDel="00000000" w:rsidP="00000000" w:rsidRDefault="00000000" w:rsidRPr="00000000" w14:paraId="000000F3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Способ A </w:t>
      </w:r>
      <w:r w:rsidDel="00000000" w:rsidR="00000000" w:rsidRPr="00000000">
        <w:rPr>
          <w:rtl w:val="0"/>
        </w:rPr>
        <w:t xml:space="preserve">отражает те же распределения предсказаний совсем по-другому</w:t>
      </w:r>
      <w:r w:rsidDel="00000000" w:rsidR="00000000" w:rsidRPr="00000000">
        <w:rPr>
          <w:i w:val="0"/>
          <w:iCs w:val="0"/>
          <w:rtl w:val="0"/>
        </w:rPr>
        <w:t xml:space="preserve">. </w:t>
      </w:r>
      <w:r w:rsidDel="00000000" w:rsidR="00000000" w:rsidRPr="00000000">
        <w:rPr>
          <w:rtl w:val="0"/>
        </w:rPr>
        <w:t xml:space="preserve">Для GPT-4o-mini CS = 0.92, F1@70 = 0.811 (top_20) и 0.825 (top_100) — рост при переходе к top-100 умеренный, что снова указывает на насыщение после первых 20 предсказаний. Precision (0.89) и Recall (0.78–0.81) сбалансированы: GPT точно и полно воспроизводит человеческое семантическое распределение.</w:t>
      </w:r>
    </w:p>
    <w:p w:rsidR="00000000" w:rsidDel="00000000" w:rsidP="00000000" w:rsidRDefault="00000000" w:rsidRPr="00000000" w14:paraId="000000F4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i w:val="0"/>
          <w:iCs w:val="0"/>
          <w:rtl w:val="0"/>
        </w:rPr>
        <w:t xml:space="preserve">Для Llama способ A даёт F1@70 = 0.5</w:t>
      </w:r>
      <w:r w:rsidDel="00000000" w:rsidR="00000000" w:rsidRPr="00000000">
        <w:rPr>
          <w:rtl w:val="0"/>
        </w:rPr>
        <w:t xml:space="preserve">06 при k=20 и 0.558 при k=100 (при этом опять с </w:t>
      </w:r>
      <w:r w:rsidDel="00000000" w:rsidR="00000000" w:rsidRPr="00000000">
        <w:rPr>
          <w:i w:val="0"/>
          <w:iCs w:val="0"/>
          <w:rtl w:val="0"/>
        </w:rPr>
        <w:t xml:space="preserve">выраженной асимметрией: Recall = 0.874, Precision = 0.525). Llama хоро</w:t>
      </w:r>
      <w:r w:rsidDel="00000000" w:rsidR="00000000" w:rsidRPr="00000000">
        <w:rPr>
          <w:rtl w:val="0"/>
        </w:rPr>
        <w:t xml:space="preserve">шо </w:t>
      </w:r>
      <w:r w:rsidDel="00000000" w:rsidR="00000000" w:rsidRPr="00000000">
        <w:rPr>
          <w:i w:val="0"/>
          <w:iCs w:val="0"/>
          <w:rtl w:val="0"/>
        </w:rPr>
        <w:t xml:space="preserve">охватывает человеческие ответы (высокий Recall), но её собственные предсказания во многом выходят за пределы человеческого распределения (низкая Precision).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rtl w:val="0"/>
        </w:rPr>
        <w:t xml:space="preserve">При θ = 0.90 разрыв </w:t>
      </w:r>
      <w:r w:rsidDel="00000000" w:rsidR="00000000" w:rsidRPr="00000000">
        <w:rPr>
          <w:rtl w:val="0"/>
        </w:rPr>
        <w:t xml:space="preserve">между моделями увеличивается</w:t>
      </w:r>
      <w:r w:rsidDel="00000000" w:rsidR="00000000" w:rsidRPr="00000000">
        <w:rPr>
          <w:i w:val="0"/>
          <w:iCs w:val="0"/>
          <w:rtl w:val="0"/>
        </w:rPr>
        <w:t xml:space="preserve">: GPT рез</w:t>
      </w:r>
      <w:r w:rsidDel="00000000" w:rsidR="00000000" w:rsidRPr="00000000">
        <w:rPr>
          <w:rtl w:val="0"/>
        </w:rPr>
        <w:t xml:space="preserve">ультаты </w:t>
      </w:r>
      <w:r w:rsidDel="00000000" w:rsidR="00000000" w:rsidRPr="00000000">
        <w:rPr>
          <w:i w:val="0"/>
          <w:iCs w:val="0"/>
          <w:rtl w:val="0"/>
        </w:rPr>
        <w:t xml:space="preserve">F1</w:t>
      </w:r>
      <w:r w:rsidDel="00000000" w:rsidR="00000000" w:rsidRPr="00000000">
        <w:rPr>
          <w:rtl w:val="0"/>
        </w:rPr>
        <w:t xml:space="preserve"> при k=100 удерживаются на</w:t>
      </w:r>
      <w:r w:rsidDel="00000000" w:rsidR="00000000" w:rsidRPr="00000000">
        <w:rPr>
          <w:i w:val="0"/>
          <w:iCs w:val="0"/>
          <w:rtl w:val="0"/>
        </w:rPr>
        <w:t xml:space="preserve"> 0.560, а результаты Llama пада</w:t>
      </w:r>
      <w:r w:rsidDel="00000000" w:rsidR="00000000" w:rsidRPr="00000000">
        <w:rPr>
          <w:rtl w:val="0"/>
        </w:rPr>
        <w:t xml:space="preserve">ю</w:t>
      </w:r>
      <w:r w:rsidDel="00000000" w:rsidR="00000000" w:rsidRPr="00000000">
        <w:rPr>
          <w:i w:val="0"/>
          <w:iCs w:val="0"/>
          <w:rtl w:val="0"/>
        </w:rPr>
        <w:t xml:space="preserve">т до 0.203.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Описание результатов RuBERT способ B</w:t>
      </w:r>
    </w:p>
    <w:p w:rsidR="00000000" w:rsidDel="00000000" w:rsidP="00000000" w:rsidRDefault="00000000" w:rsidRPr="00000000" w14:paraId="000000F6">
      <w:pPr>
        <w:spacing w:after="120" w:before="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Значения метрик, полученных способом B, такие высокие, потому что</w:t>
      </w:r>
      <w:r w:rsidDel="00000000" w:rsidR="00000000" w:rsidRPr="00000000">
        <w:rPr>
          <w:i w:val="0"/>
          <w:iCs w:val="0"/>
          <w:rtl w:val="0"/>
        </w:rPr>
        <w:t xml:space="preserve"> </w:t>
      </w:r>
      <w:r w:rsidDel="00000000" w:rsidR="00000000" w:rsidRPr="00000000">
        <w:rPr>
          <w:rtl w:val="0"/>
        </w:rPr>
        <w:t xml:space="preserve">левый контекст одинаков для людей и для модели, CLS-векторы контекста тождественны, и при усреднении они притягивают все векторы в одну точку пространства. Особенно это видно для θ = 0.70, для θ = 0.90 этот эффект частично исчезает и F1 Llama (top_20) падает до 0.317, однако мы всё равно понимаем, что на данные результаты ориентироваться неправильно, так как данный метод оказался непригоден для сравнений множеств предсказаний, данных для одних и тех же контекстов.</w:t>
      </w:r>
    </w:p>
    <w:p w:rsidR="00000000" w:rsidDel="00000000" w:rsidP="00000000" w:rsidRDefault="00000000" w:rsidRPr="00000000" w14:paraId="000000F7">
      <w:pPr>
        <w:pStyle w:val="Heading2"/>
        <w:spacing w:after="100" w:before="200" w:line="276" w:lineRule="auto"/>
        <w:ind w:firstLine="425.19685039370074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Описание результатов RuBERT способ C</w:t>
      </w:r>
    </w:p>
    <w:p w:rsidR="00000000" w:rsidDel="00000000" w:rsidP="00000000" w:rsidRDefault="00000000" w:rsidRPr="00000000" w14:paraId="000000F8">
      <w:pPr>
        <w:spacing w:after="120" w:line="276" w:lineRule="auto"/>
        <w:ind w:firstLine="425.19685039370074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Способ C устраняет проблему способа B: для GPT-4o-mini CS = 0.964, F1@70 = 0.992 (top_20) и 0.993 (top_100) — значения почти идентичны, подтверждая насыщение. Precision и Recall симметричны (≈ 0.99). Для Llama способ C даёт метрика F1@70 = 0.945 (top_20) и 0.949 (top_100) — заметно выше способа A, — однако при θ=0.90 асимметрия сохраняется: Recall = 0.542 vs 0.732, Precision = 0.335, F1 = 0.303 vs 0.351. </w:t>
      </w:r>
    </w:p>
    <w:p w:rsidR="00000000" w:rsidDel="00000000" w:rsidP="00000000" w:rsidRDefault="00000000" w:rsidRPr="00000000" w14:paraId="000000F9">
      <w:pPr>
        <w:spacing w:after="120" w:line="276" w:lineRule="auto"/>
        <w:ind w:firstLine="425.19685039370074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Также была подсчитана корреляция метрик F1 между способом C и другими подходами, чтобы определить насколько одинаково (но с разными абсолютными значениями) кодируется распределения ответов. Подсчитанная корреляция близка к нулю (r ≈ 0.05–0.12), что, скорее всего, говорит о том, что способ C, в целом, по-другому кодирует семантическое пространство распределений.</w:t>
      </w:r>
    </w:p>
    <w:p w:rsidR="00000000" w:rsidDel="00000000" w:rsidP="00000000" w:rsidRDefault="00000000" w:rsidRPr="00000000" w14:paraId="000000FA">
      <w:pPr>
        <w:pStyle w:val="Heading2"/>
        <w:spacing w:line="276" w:lineRule="auto"/>
        <w:ind w:firstLine="425.19685039370074"/>
        <w:jc w:val="both"/>
        <w:rPr>
          <w:sz w:val="24"/>
          <w:szCs w:val="24"/>
        </w:rPr>
      </w:pPr>
      <w:bookmarkStart w:colFirst="0" w:colLast="0" w:name="_esyfae5r03v7" w:id="0"/>
      <w:bookmarkEnd w:id="0"/>
      <w:r w:rsidDel="00000000" w:rsidR="00000000" w:rsidRPr="00000000">
        <w:rPr>
          <w:sz w:val="24"/>
          <w:szCs w:val="24"/>
          <w:rtl w:val="0"/>
        </w:rPr>
        <w:t xml:space="preserve">3.5 Отдельное описание результатов по Centroid Similarity</w:t>
      </w:r>
    </w:p>
    <w:p w:rsidR="00000000" w:rsidDel="00000000" w:rsidP="00000000" w:rsidRDefault="00000000" w:rsidRPr="00000000" w14:paraId="000000FB">
      <w:pPr>
        <w:spacing w:line="276" w:lineRule="auto"/>
        <w:ind w:firstLine="425.19685039370074"/>
        <w:jc w:val="both"/>
        <w:rPr/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Как и для анализа F1 метрики (а также Prec. и Rec.), по данной метрики наивысшие результаты выявляются при такой конфигурации: GPT + RuBert_C + top_100. Косинусное расстояние для ядра, полученного по предсказаниям LLama, систематически ниже. Однако, мне кажется важным заметить тот факт, что при переходе от статических эмбеддингов к контекстуальным косинусное расстояние для GPT увеличивается на ≈0.2, а для LLama ≈0.4. Я это интерпретирую так: предсказания GPT-4o mini, будучи семантически более точными и близкими к человеческим ответам, уже в пространстве Word2Vec располагались относительно кучно вблизи верных областей, поэтому дополнительная контекстуализация лишь уточняет их положение и прирост, соответственно, небольшой. Предсказания Llama, напротив, семантически более размытые и разнородные: Word2Vec не способен отразить их смысловую близость к ответам людей там, где она всё же существует и задаётся контекстом, тогда как RuBERT, чувствительный к контексту, частично эту близость восстанавливает.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line="276" w:lineRule="auto"/>
        <w:ind w:firstLine="425.19685039370074"/>
        <w:rPr>
          <w:sz w:val="24"/>
          <w:szCs w:val="24"/>
        </w:rPr>
      </w:pPr>
      <w:bookmarkStart w:colFirst="0" w:colLast="0" w:name="_soey1u8s3soh" w:id="1"/>
      <w:bookmarkEnd w:id="1"/>
      <w:r w:rsidDel="00000000" w:rsidR="00000000" w:rsidRPr="00000000">
        <w:rPr>
          <w:sz w:val="24"/>
          <w:szCs w:val="24"/>
          <w:rtl w:val="0"/>
        </w:rPr>
        <w:t xml:space="preserve">4. Выводы</w:t>
      </w:r>
    </w:p>
    <w:p w:rsidR="00000000" w:rsidDel="00000000" w:rsidP="00000000" w:rsidRDefault="00000000" w:rsidRPr="00000000" w14:paraId="000000FD">
      <w:pPr>
        <w:spacing w:after="12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не кажется, наиболее важным результатом является то, что переход от рассмотрения top_20 к рассмотрению top_100 даёт минимальный прирост метрик для GPT-4o-mini (ΔF1@70 ≤ 0.013 по всем подходам) и умеренный для Llama в word2vec (ΔRecall = +0.22 при ΔF1 ≈ 0). Это означает, что семантически распределения GPT концентрированы и сосредоточены на первых top_20 предсказаниях, а добавление бóльшего числа предсказаний не дает дополнительного перекрытия с распределением людей. У Llama в word2vec рост Recall при переходе к top_100 не дает роста F1 из-за одновременного падения Precision, то есть дополнительные предсказания семантически далеки от людей и затрагивают другие значения. F1@70 Llama варьируется от 0.064 (word2vec, top_100) до 0.949 (ruBERT-C, top_100), что указывает на преимущество контекстуальных эмбеддингов. Также важно заметить, что Llama, в целом, охватывает нужную семантическую зону предсказаний людей, но с избыточной дисперсией, что выражается в высоком Recall при низкой Precision.</w:t>
      </w:r>
    </w:p>
    <w:p w:rsidR="00000000" w:rsidDel="00000000" w:rsidP="00000000" w:rsidRDefault="00000000" w:rsidRPr="00000000" w14:paraId="000000FE">
      <w:pPr>
        <w:spacing w:after="12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GPT-4o-mini превосходит Llama 3.1 при всех подходах, top-k и порогах. Это также было выявлено на других уровнях анализа, которые я проводила в рамках своей курсовой работы (поверхностном и синтаксических уровнях). </w:t>
      </w:r>
    </w:p>
    <w:p w:rsidR="00000000" w:rsidDel="00000000" w:rsidP="00000000" w:rsidRDefault="00000000" w:rsidRPr="00000000" w14:paraId="000000FF">
      <w:pPr>
        <w:spacing w:after="120"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Способ C (ruBERT-residual) я буду использовать, если работа дойдет до публикации, потому что он устраняет артефакт способа B, даёт минимальную дисперсию по контекстам, семантически интерпретируем и одинаково информативен при top-20 и top-100. Способ A пригоден как проверочная метрика.</w:t>
      </w:r>
    </w:p>
    <w:p w:rsidR="00000000" w:rsidDel="00000000" w:rsidP="00000000" w:rsidRDefault="00000000" w:rsidRPr="00000000" w14:paraId="00000100">
      <w:pPr>
        <w:pStyle w:val="Heading1"/>
        <w:spacing w:line="276" w:lineRule="auto"/>
        <w:rPr>
          <w:sz w:val="24"/>
          <w:szCs w:val="24"/>
        </w:rPr>
      </w:pPr>
      <w:bookmarkStart w:colFirst="0" w:colLast="0" w:name="_n1nndn3td93s" w:id="2"/>
      <w:bookmarkEnd w:id="2"/>
      <w:r w:rsidDel="00000000" w:rsidR="00000000" w:rsidRPr="00000000">
        <w:rPr>
          <w:sz w:val="24"/>
          <w:szCs w:val="24"/>
          <w:rtl w:val="0"/>
        </w:rPr>
        <w:t xml:space="preserve">5. Избранная литература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Laurinavichyute, A. K., Sekerina, I. A., Alexeeva, S., et al. (2019). Russian Sentence Corpus: Benchmark measures of eye movements in reading in Russian. Behavior Research Methods, 51, 1161–1178.</w:t>
      </w:r>
    </w:p>
    <w:p w:rsidR="00000000" w:rsidDel="00000000" w:rsidP="00000000" w:rsidRDefault="00000000" w:rsidRPr="00000000" w14:paraId="00000102">
      <w:pPr>
        <w:spacing w:line="276" w:lineRule="auto"/>
        <w:ind w:firstLine="425.19685039370074"/>
        <w:jc w:val="both"/>
        <w:rPr/>
      </w:pPr>
      <w:r w:rsidDel="00000000" w:rsidR="00000000" w:rsidRPr="00000000">
        <w:rPr>
          <w:rtl w:val="0"/>
        </w:rPr>
        <w:t xml:space="preserve">Taylor, W. L. (1953). Cloze procedure: A new tool for measuring readability. Journalism Quarterly, 30, 415–433.</w:t>
      </w:r>
    </w:p>
    <w:p w:rsidR="00000000" w:rsidDel="00000000" w:rsidP="00000000" w:rsidRDefault="00000000" w:rsidRPr="00000000" w14:paraId="00000103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Приложение: </w:t>
      </w:r>
    </w:p>
    <w:p w:rsidR="00000000" w:rsidDel="00000000" w:rsidP="00000000" w:rsidRDefault="00000000" w:rsidRPr="00000000" w14:paraId="0000010A">
      <w:pPr>
        <w:spacing w:after="120" w:before="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2625" cy="341376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339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13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Значения метрики F1 при разных параметрах (можно также отследить изменение при θ = 0.80, чего не было отражено в основном тексте).</w:t>
      </w:r>
    </w:p>
    <w:p w:rsidR="00000000" w:rsidDel="00000000" w:rsidP="00000000" w:rsidRDefault="00000000" w:rsidRPr="00000000" w14:paraId="0000010C">
      <w:pPr>
        <w:spacing w:after="120" w:before="0"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2625" cy="20187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86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01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Распределение Centroid Similarity по контекстам при top_20.</w:t>
      </w:r>
    </w:p>
    <w:p w:rsidR="00000000" w:rsidDel="00000000" w:rsidP="00000000" w:rsidRDefault="00000000" w:rsidRPr="00000000" w14:paraId="0000010E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  <w:t xml:space="preserve">Мне кажется, что по данному графику хорошо видно, что у LLamа больше контекстов, в которых центроиды семантически далеки от центроидов людей, что при усреднении дает тот результат, который был виден по таблицам. </w:t>
      </w:r>
    </w:p>
    <w:p w:rsidR="00000000" w:rsidDel="00000000" w:rsidP="00000000" w:rsidRDefault="00000000" w:rsidRPr="00000000" w14:paraId="0000010F">
      <w:pPr>
        <w:spacing w:after="120" w:before="0"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1" w:top="1701" w:left="1701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2"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аннотации я указывала еще AdaGram, потому что видела этот тип эмбеддингов в разной литературе, но у меня не получилось развернуть этот способ в коллабе. </w:t>
      </w:r>
    </w:p>
  </w:footnote>
  <w:footnote w:id="1"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рамках cloze-теста испытуемым предъявляется незаконченный контекст, и им надо предсказать следующее слово. Пример: Надевая шапку цвета ____</w:t>
      </w:r>
    </w:p>
  </w:footnote>
  <w:footnote w:id="0"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https://github.com/VeraMonina/semantics_essay_2026</w:t>
        </w:r>
      </w:hyperlink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top-k означает, что мы берем топ k слов отсортированных по убыванию вероятности.</w:t>
      </w:r>
    </w:p>
  </w:footnote>
  <w:footnote w:id="3"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своей курсовой работе я брала такие параметры для ранжирования жесткости семант. близости, которое принималось валидным, чтобы можно было также оценить </w:t>
      </w:r>
      <w:r w:rsidDel="00000000" w:rsidR="00000000" w:rsidRPr="00000000">
        <w:rPr>
          <w:color w:val="0f1115"/>
          <w:sz w:val="20"/>
          <w:szCs w:val="20"/>
          <w:highlight w:val="white"/>
          <w:rtl w:val="0"/>
        </w:rPr>
        <w:t xml:space="preserve">динамику сужения множества семантически близких кандидатов при ужесточении порога. Поскольку универсального значения θ, однозначно разделяющего близкие и неблизкие пары, не существует, анализ на серии порогов позволяет оценить устойчивость предсказаний и выбрать рабочий порог исходя из поведения кривых метрик, а не из абстрактной нормы.</w:t>
      </w:r>
      <w:r w:rsidDel="00000000" w:rsidR="00000000" w:rsidRPr="00000000">
        <w:rPr>
          <w:rtl w:val="0"/>
        </w:rPr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VeraMonina/semantics_essay_20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