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/>
          <w:b/>
          <w:i w:val="0"/>
          <w:color w:val="0A2540"/>
          <w:sz w:val="52"/>
        </w:rPr>
        <w:t>ANTHONY PENWRIGHT</w:t>
      </w:r>
    </w:p>
    <w:p>
      <w:pPr>
        <w:spacing w:after="80"/>
      </w:pPr>
      <w:r>
        <w:rPr>
          <w:rFonts w:ascii="Georgia" w:hAnsi="Georgia"/>
          <w:b w:val="0"/>
          <w:i/>
          <w:color w:val="C8532C"/>
          <w:sz w:val="23"/>
        </w:rPr>
        <w:t>C-Suite Advisor  ·  Smart Cities  ·  Digital Infrastructure  ·  Innovation Ecosystems</w:t>
      </w:r>
    </w:p>
    <w:p>
      <w:pPr>
        <w:spacing w:after="120"/>
      </w:pPr>
      <w:r>
        <w:rPr>
          <w:rFonts w:ascii="Calibri" w:hAnsi="Calibri"/>
          <w:b w:val="0"/>
          <w:i w:val="0"/>
          <w:color w:val="555B66"/>
          <w:sz w:val="19"/>
        </w:rPr>
        <w:t>ap@credible.uk.com   ·   +966 533 15 8265   ·   Riyadh, KSA (Premium Resident)   ·   LinkedIn: Anthony Penwright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Executive Summary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I'm drawn to the hard problems at the edge of technology and human institutions — the places where ambitious ideas meet the messy reality of how governments, communities and industries actually operate. For two decades, that's been my work: sitting between the boardroom and the delivery room, translating intent into systems that hold.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What I do is make complexity legible. I listen first, map the terrain — politics, technology, money, people — and shape interventions that can actually move through all of them. When things work, it's rarely because of one brilliant idea; it's because every layer below the decision was designed to carry it.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Lately I've been codifying what I've learned into four practitioner frameworks so the next generation of leaders don't have to repeat the same expensive mistakes. I build ventures inside my own studio to keep the craft sharp. If you're standing at the start of something ambitious and need a partner who can see the whole board and stay in it with you — that's what I'm here for.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Proven architect of high-performance cross-functional teams (450+ resources), C-suite adviser on IoT/AI/big-data strategy, and experienced navigator of complex regulatory and government approval environments. Deep expertise across cloud infrastructure (Azure, AWS), OT/IT convergence, ERP transformation (SAP, Oracle Fusion, Dynamics 365), cybersecurity and data governance — with extensive GCC/MENA operating experience and a current Riyadh base.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11111"/>
          <w:sz w:val="20"/>
        </w:rPr>
        <w:t>Trusted C-suite advisor who translates complex technical roadmaps into measurable business outcomes. Dual MBA-qualified (Entrepreneurial Action; Artificial Intelligence in progress). PRINCE2 Practitioner · MSP · ITIL v3 · CompTIA Security+ · BTA Blockchain Professional. UK SC / DV eligible (FCO &amp; MoD history).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Portfolio at a Glance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$1.3BN+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40+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13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4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Programme value delivered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Major programmes led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Sectors delivered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Active ventures (Verax)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Proprietary frameworks</w:t>
            </w:r>
          </w:p>
        </w:tc>
      </w:tr>
    </w:tbl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How I Add Value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Strategic Clarity.  </w:t>
      </w:r>
      <w:r>
        <w:rPr>
          <w:rFonts w:ascii="Calibri" w:hAnsi="Calibri"/>
          <w:b w:val="0"/>
          <w:i w:val="0"/>
          <w:color w:val="111111"/>
          <w:sz w:val="20"/>
        </w:rPr>
        <w:t>Cut through complexity with framework-led thinking — translate vision into a sequenced, procurement-ready roadmap that boards, ministers and operators can all act on.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Programme Delivery at Scale.  </w:t>
      </w:r>
      <w:r>
        <w:rPr>
          <w:rFonts w:ascii="Calibri" w:hAnsi="Calibri"/>
          <w:b w:val="0"/>
          <w:i w:val="0"/>
          <w:color w:val="111111"/>
          <w:sz w:val="20"/>
        </w:rPr>
        <w:t>Proven track record running £100M–£1BN+ portfolios across 242 sites and 150+ countries — directing 450+ cross-functional resources against hard SLA, uptime and ROI commitments.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Framework-Led Advisory.  </w:t>
      </w:r>
      <w:r>
        <w:rPr>
          <w:rFonts w:ascii="Calibri" w:hAnsi="Calibri"/>
          <w:b w:val="0"/>
          <w:i w:val="0"/>
          <w:color w:val="111111"/>
          <w:sz w:val="20"/>
        </w:rPr>
        <w:t>Author of four proprietary methodologies (Smart Services, Ecosystem, Operations, VRO) grounded in ISO 37120/37122, BSI PAS 181, ITU-T L.1600 and IEC 62443.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Innovation Ecosystem Building.  </w:t>
      </w:r>
      <w:r>
        <w:rPr>
          <w:rFonts w:ascii="Calibri" w:hAnsi="Calibri"/>
          <w:b w:val="0"/>
          <w:i w:val="0"/>
          <w:color w:val="111111"/>
          <w:sz w:val="20"/>
        </w:rPr>
        <w:t>Build the connective tissue — demand/supply scoring, funnels, PoC-to-scale governance — that turns innovation from theatre into compounding, measurable ROI.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Sector Coverage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Smart Cities — Greenfield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Smart Cities — Brownfield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Airports &amp; Aviation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Ports &amp; Maritime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Industrial / OT &amp; Mining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Campus &amp; Education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Malls &amp; Retail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Lifestyle Developments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Urban Operations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Central Government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Defence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Diplomatic / FCO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Global Standards &amp; Frameworks Applied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19"/>
        </w:rPr>
        <w:t>ISO 37120:2018 (City Services &amp; Quality of Life Indicators)  ·  ISO 37122:2019 (Smart City Indicators)  ·  BSI PAS 181 (Smart City Framework for Decision-Makers)  ·  ITU-T L.1600 / FG-SSC (Smart Sustainable Cities KPI Framework)  ·  IEC 62443 (Industrial Cybersecurity, OT &amp; ICS)  ·  ITIL v3  ·  ISO 27001  ·  GDPR  ·  TOGAF ADM  ·  PRINCE2 / MSP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Four Proprietary Frameworks — Verax Venture Studio IP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555B66"/>
          <w:sz w:val="19"/>
        </w:rPr>
        <w:t>Developed inside Verax Venture Studio and distilled from live engagements at DMCC Uptown Dubai, NEOM Sindalah, Red Sea Global, Strive Services Group and Istanbul Metropolitan Municipality (IBB).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1. Smart Services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HOW of smart-city delivery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3-layer service definition (Sense → Analyse → Act) · 6-stage pathway (Discovery → Identification → Prioritisation → Design → Procure → Execute) · 7-domain taxonomy (People &amp; Welcome, Smart Energy, Smart Water, Smart Environment, Robotics, Vision AI &amp; Safety, Smart Facilities) · 21-measure scoring with 4× Feasibility multiplier → Impact-vs-Feasibility quadrant · 8 delivered outputs per engagement (Service Catalogue, Architecture Blueprint, Living Lab Plan, Test Framework, TOM, Business Model, RFP Pack, Governance + KPIs).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150+ smart services mapped and 40+ smart-city initiatives delivered end-to-end — DMCC Uptown Dubai, NEOM Sindalah, Red Sea Global.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2. Innovation Ecosystem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WHAT — the pipeline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8-Pillar Ecosystem Model (Vision &amp; Strategic Alignment, R&amp;A, Investment &amp; Funding, Demand Side, Supply Side, Government Programmes, Talent &amp; Skills, Enablers) · 7-stage Innovation Funnel with 3–4% conversion · dual scoring (Demand 5×26 measures, Supply 5 categories) with Fit ≥80% fast-track · benchmarks: ~85% implementation success, 100%+ ROI over 3 years, ~14-month payback.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8 Living Labs delivered, 85+ pilots landed — Strive Services Group (KSA) smart-FM demand pipeline, vendor registry and governance committee established.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3. Smart City Operations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RUN — steady-state excellence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TOM design, service transition, NOC/SOC architecture and 24/7 operations model (greenfield or brownfield) · 60+ SOP library (incident, change, escalation, service restoration) mapped to ITIL v3 · hyper-automation and AI-driven anomaly detection reducing manual incident handling by 40% · Northbound application layer (citizen apps, operator dashboards, CCC interfaces, OSS/BSS).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Delivered: 99.9% uptime at NEOM  ·  99.8% SLA at FCO across 242 sites / 150+ countries  ·  Cisco IBB Istanbul architecture blueprint.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4. Value Realisation Office (VRO)</w:t>
      </w:r>
      <w:r>
        <w:rPr>
          <w:rFonts w:ascii="Calibri" w:hAnsi="Calibri"/>
          <w:b w:val="0"/>
          <w:i/>
          <w:color w:val="C8532C"/>
          <w:sz w:val="20"/>
        </w:rPr>
        <w:t xml:space="preserve">  —  the KEEP DELIVERING engine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VRO ≠ PMO — PMO governs delivery (time, scope, cost); VRO governs value (outcomes, ROI, evolution). 3 parallel operating modes (Value Realisation, Operational Excellence, Adaptive/Evolving) · 3 permanent workstreams (Service Portfolio &amp; Business Model, Technology Blueprint, Operating Model) · 3 strategic imperatives · 4 live input feeds · 5 standing outputs (Innovation Stimulus, 12-month rolling Roadmap, Risk Register, 3-year Investments Forecast, PoC pipeline).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NEOM (Innovation governance board), Quantela (outcome-based commercial model), Cisco global smart city practice.</w:t>
      </w:r>
    </w:p>
    <w:p>
      <w:pPr>
        <w:spacing w:before="160"/>
        <w:jc w:val="center"/>
      </w:pPr>
      <w:r>
        <w:rPr>
          <w:rFonts w:ascii="Georgia" w:hAnsi="Georgia"/>
          <w:b/>
          <w:i/>
          <w:color w:val="C8532C"/>
          <w:sz w:val="20"/>
        </w:rPr>
        <w:t>Ecosystem (WHAT) → Smart Services (HOW) → Operations (RUN) → VRO (KEEP DELIVERING)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B66"/>
          <w:sz w:val="18"/>
        </w:rPr>
        <w:t>A closed loop — VRO feeds new ideation back into the Ecosystem funnel, preventing programme drift and sustaining ROI beyond Phase 2.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Professional Experience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of Innovation  ·  NEOM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2024 – Present  |  £93M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Spearhead technology, innovation and partnerships strategy for the world's largest giga-project — engaging NEOM sectors and regions to identify critical and emerging technology needs across smart infrastructure, AI, IoT and data.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Govern evaluation of AI, IoT, digital twin, edge and autonomous systems for deployment across THE LINE, SINDALAH and TROJENA — setting KPIs, SLAs and operational frameworks for pilot programmes.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Cultivate high-impact global partnerships with technology leaders, venture capital firms and sovereign investors. Awarded 'Best Performing Employee' in a sector of 600+ staff.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of Technology &amp; Digital  ·  NEOM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Apr 2023 – Nov 2024  |  £230M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Headhunted to lead 90+ resources delivering NEOM's digital master plan — Smart City platforms, IoT infrastructure and OT systems across Urban Planning and Islands divisions.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Defined and governed the Cloud-Edge Collaborative infrastructure strategy — multi-cloud (Azure IoT, AWS), on-premises environments and distributed edge nodes processing real-time IoT data.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smart building and OT systems (BMS, ACS, CCTV, AV/ELV, structured cabling) end-to-end, and built the 24/7 NOC capability that achieved 99.9% uptime across critical infrastructure.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Applied Verax Smart Services Advisory at NEOM Sindalah — scored and prioritised services across 7 domains, producing procurement-ready Service Catalogue and Architecture Blueprint.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Founder &amp; Principal — Smart City Advisory  ·  Verax Venture Studio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2022 – Present  |  Concurrent  |  UAE / KSA / LATAM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Founded Verax to codify 20 years of smart city delivery into four vendor-agnostic methodologies: Smart Services Advisory, Innovation Ecosystem Advisory, Operations Advisory and VRO.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DMCC Uptown Dubai: applied 6-stage pathway to score 40+ candidate services using 21-measure framework — delivered full procurement-ready portfolio (Blueprint, RFP Pack, Governance &amp; KPIs).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Strive Services Group (KSA): deployed Innovation Ecosystem Advisory to structure smart-FM demand pipeline — dual demand/supply scoring, vendor registry and governance committee established.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Built a 31-agent hierarchical AI orchestration platform automating email triage, CRM enrichment, procurement and cost monitoring — eliminating 80%+ of manual operational overhead at $30/month total platform cost.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— Smart Cities &amp; IoT  ·  Wipro Technologies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Apr 2022 – Apr 2023  |  £80M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Wipro's Arabian entity reporting directly to CEO — strategy, growth and IoT programme delivery for NEOM and Red Sea Global giga-projects; led 70+ resources.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KSA's first Smart Luggage Services and advanced EV fleet management — full product lifecycle from design through to 24/7 NOC-based operational support.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Built operational service delivery capability (NOC, helpdesk, field services) supporting 24/7 OT infrastructure operations across client sites.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— Growth &amp; Delivery  ·  Quantela (Smart Cities Platform)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Sept 2021 – Apr 2022  |  £98M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Recruited by Board to drive strategic growth — increased company revenue from $18M to $90M (400%) with $300M+ pipeline through strategic business model transformation.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Forged key commercial and investor relationships including the $2BN Digital Alpha fund; delivered first major deal closure through outcome-based, revenue-sharing commercial framework.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Smart City Global Advisory Lead &amp; Programme Director  ·  Cisco Systems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2015 – Apr 2021  |  £250M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and scaled Cisco's global Smart Cities and IoT practice from zero — delivering programmes across 10+ city deployments in Europe, Middle East and Asia-Pacific, individual programmes up to £45M.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Designed ITIL-aligned operational service models for Smart City platforms — SOPs, incident management, NOC frameworks and performance optimisation standards.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Provided CXO-level advisory across public sector, utilities and telecoms — translating OT/IT convergence strategy into scalable platform and connectivity solutions.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Directed product strategy, go-to-market and EMEA systems-integrator partnerships for Cisco's Connected Cities and IoT portfolio.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— Public Service Network  ·  Cabinet Office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Mar 2013 – Nov 2015  |  £18M p.a.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Worked directly with Cabinet Ministers to deliver technology strategy for Public Service Authorities — managed 48 suppliers and governed Local Authority CTO/CEO/COO leadership.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operational service management framework — SLAs, incident, change control and performance reporting for public sector OT/IT infrastructure.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 ·  Environment Agency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Dec 2011 – Mar 2013  |  £38M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Brought into a failing central government department to redefine enterprise ways of working — established Enterprise Architecture office and PMO, leading 24 project managers to successful outcomes.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Director, Strategic Operations  ·  Foreign &amp; Commonwealth Office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Aug 2008 – Dec 2011  |  £768M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Reported to the Foreign Secretary and CIO — governed global service delivery operations across 242 sites in 150+ countries, single point of contact for all Ambassadors and Deputy Heads of Mission.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24/7 NOC operations, service desk, infrastructure operations and business continuity across secure diplomatic OT/IT networks — 450+ indirect reports, 99.8% SLA, ISO 27001 compliance.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— YJB  ·  Ministry of Justice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Feb 2008 – Aug 2008  |  £7M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Youth Justice Board technology programme — governance, commercial control and stakeholder management across central government and partner agencies.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Overseas Programme Director — DII(F)  ·  Ministry of Defence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2005 – Aug 2008  |  £1BN+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consortium delivery of 5 large enterprise organisations on one of the largest global business change programmes of its time — Defence Information Infrastructure (Future): 150,000 workstations, 300,000 users, 2,000 sites.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Directed programme management and enterprise architecture across classified defence infrastructure, working to UK Government TS/SC security standards.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Transformation Lead  ·  Corus Steel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Aug 2004 – Nov 2005  |  £19M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enterprise transformation programme across industrial manufacturing operations — process re-engineering, systems consolidation and operational readiness for integrated steel sites.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Implementation Lead  ·  Department for Work and Pensions (DWP)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Mar 2004 – Aug 2005  |  £4M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enterprise implementation across DWP — requirements, design, build and transition into live public-sector operations.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Deployment Lead  ·  HM Prison Service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Jan 2003 – Mar 2004  |  £6M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Managed estate-wide deployment programme across HM Prison Service secure sites — rollout planning, risk management and operational handover under strict security and custodial constraints.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Core Competencies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rFonts w:ascii="Calibri" w:hAnsi="Calibri"/>
                <w:b/>
                <w:i w:val="0"/>
                <w:smallCaps/>
                <w:color w:val="0A2540"/>
                <w:sz w:val="20"/>
                <w:spacing w:val="20"/>
              </w:rPr>
              <w:t>Smart City &amp; Digital Infrastructure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IoT Architecture &amp; Platform Design (Azure IoT, 5G/NB-IoT)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AI/ML, Vision AI &amp; Big Data Analytics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Smart Energy, Water, Mobility &amp; Facilities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OT/IT Convergence  ·  SCADA / OPC  ·  V2X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Edge &amp; Hybrid Cloud  ·  Multi-Cloud (Azure, AWS)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Urban Digital Twin  ·  BMS / ACS / CCTV / AV-ELV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Enterprise Connectivity  ·  5G / 4G / LTE / NB-IoT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ERP Transformation (SAP, Oracle Fusion, Dynamics 365, AX12)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Blockchain, Web3 &amp; Autonomous Systems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Cybersecurity &amp; Compliance (ISO 27001, IEC 62443, GDPR)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/>
                <w:i w:val="0"/>
                <w:smallCaps/>
                <w:color w:val="0A2540"/>
                <w:sz w:val="20"/>
                <w:spacing w:val="20"/>
              </w:rPr>
              <w:t>Executive Leadership &amp; Strategy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C-Suite Advisory &amp; Board-Level Communication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P&amp;L, CAPEX/OPEX &amp; Financial Forecasting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Regulatory &amp; Government Affairs  ·  M&amp;A  ·  PPP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Cross-Functional Team Leadership (450+ resources)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Vendor Negotiation &amp; 48+ Supplier Governance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Innovation Ecosystem Development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Agile  ·  PRINCE2  ·  MSP  ·  ITIL v3  ·  TOGAF ADM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Procurement, RFP Design &amp; Commercial Modelling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Performance Management &amp; KPI Governance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Living Lab / Model Office / TOM Design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Certifications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PRINCE2 Practitioner  ·  MSP (Managing Successful Programmes)  ·  ITIL v3 Service Management  ·  CompTIA A+ &amp; Security+  ·  BTA Blockchain Professional  ·  BTA Solution Architect  ·  Microsoft Azure / M365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Education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20"/>
        </w:rPr>
        <w:t>MBA — Entrepreneurial Action.  Anglia Ruskin University, Cambridge  ·  2025.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20"/>
        </w:rPr>
        <w:t>MBA — Artificial Intelligence (in progress).  University of Cumbria  ·  Expected 2026.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Postgraduate-Level Strategic Management and Leadership.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Security &amp; Languages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UK Security Clearance: SC / DV eligible (FCO &amp; MoD history).  ·  English (native).  ·  Saudi Arabia Premium Resident — available for global opportunities.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Interests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Technology  ·  Motorbike Racing  ·  Self-Development  ·  Volunteering  ·  CrossFit  ·  Travel &amp; Culture.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References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60"/>
      </w:pPr>
      <w:r>
        <w:rPr>
          <w:rFonts w:ascii="Calibri" w:hAnsi="Calibri"/>
          <w:b w:val="0"/>
          <w:i w:val="0"/>
          <w:color w:val="555B66"/>
          <w:sz w:val="19"/>
        </w:rPr>
        <w:t>Available on request.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