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AE5D" w14:textId="77777777" w:rsidR="00AA392E" w:rsidRDefault="00000000">
      <w:pPr>
        <w:spacing w:after="400"/>
        <w:jc w:val="center"/>
      </w:pPr>
      <w:r>
        <w:rPr>
          <w:noProof/>
        </w:rPr>
        <w:drawing>
          <wp:inline distT="0" distB="0" distL="0" distR="0" wp14:anchorId="00689552" wp14:editId="473516C6">
            <wp:extent cx="53721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72100" cy="3352800"/>
                    </a:xfrm>
                    <a:prstGeom prst="rect">
                      <a:avLst/>
                    </a:prstGeom>
                  </pic:spPr>
                </pic:pic>
              </a:graphicData>
            </a:graphic>
          </wp:inline>
        </w:drawing>
      </w:r>
    </w:p>
    <w:p w14:paraId="5852E061" w14:textId="77777777" w:rsidR="00AA392E" w:rsidRDefault="00AA392E">
      <w:pPr>
        <w:pBdr>
          <w:bottom w:val="single" w:sz="6" w:space="1" w:color="94A3B8"/>
        </w:pBdr>
      </w:pPr>
    </w:p>
    <w:p w14:paraId="7E76C4B9" w14:textId="77777777" w:rsidR="00AA392E" w:rsidRDefault="00000000">
      <w:pPr>
        <w:spacing w:before="320" w:after="80"/>
      </w:pPr>
      <w:r>
        <w:rPr>
          <w:color w:val="4B5563"/>
          <w:sz w:val="20"/>
          <w:szCs w:val="20"/>
        </w:rPr>
        <w:t>Authored by</w:t>
      </w:r>
    </w:p>
    <w:p w14:paraId="2D65E518" w14:textId="2AAF8E3D" w:rsidR="00AA392E" w:rsidRDefault="002A1CAA">
      <w:pPr>
        <w:spacing w:after="320"/>
      </w:pPr>
      <w:r>
        <w:rPr>
          <w:b/>
          <w:bCs/>
          <w:sz w:val="28"/>
          <w:szCs w:val="28"/>
        </w:rPr>
        <w:t>Anthony Penwright</w:t>
      </w:r>
    </w:p>
    <w:p w14:paraId="3912952C" w14:textId="77777777" w:rsidR="00AA392E" w:rsidRDefault="00000000">
      <w:pPr>
        <w:spacing w:after="80"/>
      </w:pPr>
      <w:r>
        <w:rPr>
          <w:color w:val="4B5563"/>
          <w:sz w:val="20"/>
          <w:szCs w:val="20"/>
        </w:rPr>
        <w:t>Version</w:t>
      </w:r>
    </w:p>
    <w:p w14:paraId="18F18F74" w14:textId="41DC1642" w:rsidR="00AA392E" w:rsidRDefault="002A1CAA">
      <w:pPr>
        <w:spacing w:after="320"/>
      </w:pPr>
      <w:r>
        <w:rPr>
          <w:sz w:val="24"/>
          <w:szCs w:val="24"/>
        </w:rPr>
        <w:t>1.0</w:t>
      </w:r>
      <w:r w:rsidR="00000000">
        <w:rPr>
          <w:sz w:val="24"/>
          <w:szCs w:val="24"/>
        </w:rPr>
        <w:t xml:space="preserve"> </w:t>
      </w:r>
      <w:r>
        <w:rPr>
          <w:sz w:val="24"/>
          <w:szCs w:val="24"/>
        </w:rPr>
        <w:t>,</w:t>
      </w:r>
      <w:r w:rsidR="00000000">
        <w:rPr>
          <w:sz w:val="24"/>
          <w:szCs w:val="24"/>
        </w:rPr>
        <w:t xml:space="preserve">  Public Draft for Review</w:t>
      </w:r>
    </w:p>
    <w:p w14:paraId="06192026" w14:textId="77777777" w:rsidR="00AA392E" w:rsidRDefault="00000000">
      <w:pPr>
        <w:spacing w:after="80"/>
      </w:pPr>
      <w:r>
        <w:rPr>
          <w:color w:val="4B5563"/>
          <w:sz w:val="20"/>
          <w:szCs w:val="20"/>
        </w:rPr>
        <w:t>Date</w:t>
      </w:r>
    </w:p>
    <w:p w14:paraId="0CF2FE77" w14:textId="77777777" w:rsidR="00AA392E" w:rsidRDefault="00000000">
      <w:pPr>
        <w:spacing w:after="320"/>
      </w:pPr>
      <w:r>
        <w:rPr>
          <w:sz w:val="24"/>
          <w:szCs w:val="24"/>
        </w:rPr>
        <w:t>April 2026</w:t>
      </w:r>
    </w:p>
    <w:p w14:paraId="6118D898" w14:textId="77777777" w:rsidR="00AA392E" w:rsidRDefault="00000000">
      <w:pPr>
        <w:spacing w:after="80"/>
      </w:pPr>
      <w:r>
        <w:rPr>
          <w:color w:val="4B5563"/>
          <w:sz w:val="20"/>
          <w:szCs w:val="20"/>
        </w:rPr>
        <w:t>Licence (intent)</w:t>
      </w:r>
    </w:p>
    <w:p w14:paraId="113A365C" w14:textId="77777777" w:rsidR="00AA392E" w:rsidRDefault="00000000">
      <w:pPr>
        <w:spacing w:after="320"/>
      </w:pPr>
      <w:r>
        <w:t>CC-BY-SA 4.0 (specification)  ·  Apache 2.0 (reference implementations)</w:t>
      </w:r>
    </w:p>
    <w:p w14:paraId="0144138F" w14:textId="77777777" w:rsidR="00AA392E" w:rsidRDefault="00000000">
      <w:pPr>
        <w:spacing w:after="80"/>
      </w:pPr>
      <w:r>
        <w:rPr>
          <w:color w:val="4B5563"/>
          <w:sz w:val="20"/>
          <w:szCs w:val="20"/>
        </w:rPr>
        <w:t>Status</w:t>
      </w:r>
    </w:p>
    <w:p w14:paraId="2BAF07E7" w14:textId="6DBEDBA6" w:rsidR="00AA392E" w:rsidRDefault="00000000">
      <w:pPr>
        <w:spacing w:after="1200"/>
      </w:pPr>
      <w:r>
        <w:t xml:space="preserve">Open framework </w:t>
      </w:r>
      <w:r w:rsidR="002A1CAA">
        <w:t>,</w:t>
      </w:r>
      <w:r>
        <w:t xml:space="preserve">  contributions invited</w:t>
      </w:r>
    </w:p>
    <w:p w14:paraId="74CEF02C" w14:textId="77777777" w:rsidR="00AA392E" w:rsidRDefault="00AA392E">
      <w:pPr>
        <w:pBdr>
          <w:top w:val="single" w:sz="6" w:space="1" w:color="94A3B8"/>
        </w:pBdr>
      </w:pPr>
    </w:p>
    <w:p w14:paraId="41E0C9B9" w14:textId="77777777" w:rsidR="00AA392E" w:rsidRDefault="00000000">
      <w:pPr>
        <w:spacing w:before="200" w:line="280" w:lineRule="auto"/>
      </w:pPr>
      <w:r>
        <w:rPr>
          <w:i/>
          <w:iCs/>
          <w:color w:val="4B5563"/>
          <w:sz w:val="20"/>
          <w:szCs w:val="20"/>
        </w:rPr>
        <w:t>This document is offered openly to operators, regulators, standards bodies, insurers and customers of agentic AI systems. It will be useful to the extent it is adopted, contributed to and improved by the community.</w:t>
      </w:r>
    </w:p>
    <w:p w14:paraId="67A7987E" w14:textId="77777777" w:rsidR="00AA392E" w:rsidRDefault="00000000">
      <w:r>
        <w:br w:type="page"/>
      </w:r>
    </w:p>
    <w:p w14:paraId="23921542" w14:textId="77777777" w:rsidR="00AA392E" w:rsidRDefault="00000000">
      <w:pPr>
        <w:spacing w:after="320"/>
      </w:pPr>
      <w:r>
        <w:rPr>
          <w:b/>
          <w:bCs/>
          <w:color w:val="1E3A8A"/>
          <w:sz w:val="40"/>
          <w:szCs w:val="40"/>
        </w:rPr>
        <w:lastRenderedPageBreak/>
        <w:t>Contents</w:t>
      </w:r>
    </w:p>
    <w:sdt>
      <w:sdtPr>
        <w:alias w:val="Contents"/>
        <w:id w:val="1034996435"/>
      </w:sdtPr>
      <w:sdtContent>
        <w:p w14:paraId="364645A4" w14:textId="0BD74091" w:rsidR="002A1CAA" w:rsidRDefault="00000000">
          <w:pPr>
            <w:pStyle w:val="TOC1"/>
            <w:tabs>
              <w:tab w:val="right" w:leader="dot" w:pos="9016"/>
            </w:tabs>
            <w:rPr>
              <w:noProof/>
            </w:rPr>
          </w:pPr>
          <w:r>
            <w:fldChar w:fldCharType="begin"/>
          </w:r>
          <w:r>
            <w:instrText>TOC \h \o "1-3"</w:instrText>
          </w:r>
          <w:r>
            <w:fldChar w:fldCharType="separate"/>
          </w:r>
          <w:hyperlink w:anchor="_Toc228176318" w:history="1">
            <w:r w:rsidR="002A1CAA" w:rsidRPr="00A15264">
              <w:rPr>
                <w:rStyle w:val="Hyperlink"/>
                <w:noProof/>
              </w:rPr>
              <w:t>1.  Premise</w:t>
            </w:r>
            <w:r w:rsidR="002A1CAA">
              <w:rPr>
                <w:rStyle w:val="Hyperlink"/>
                <w:noProof/>
              </w:rPr>
              <w:t>,</w:t>
            </w:r>
            <w:r w:rsidR="002A1CAA" w:rsidRPr="00A15264">
              <w:rPr>
                <w:rStyle w:val="Hyperlink"/>
                <w:noProof/>
              </w:rPr>
              <w:t xml:space="preserve"> Why agents need identity</w:t>
            </w:r>
            <w:r w:rsidR="002A1CAA">
              <w:rPr>
                <w:noProof/>
              </w:rPr>
              <w:tab/>
            </w:r>
            <w:r w:rsidR="002A1CAA">
              <w:rPr>
                <w:noProof/>
              </w:rPr>
              <w:fldChar w:fldCharType="begin"/>
            </w:r>
            <w:r w:rsidR="002A1CAA">
              <w:rPr>
                <w:noProof/>
              </w:rPr>
              <w:instrText xml:space="preserve"> PAGEREF _Toc228176318 \h </w:instrText>
            </w:r>
            <w:r w:rsidR="002A1CAA">
              <w:rPr>
                <w:noProof/>
              </w:rPr>
            </w:r>
            <w:r w:rsidR="002A1CAA">
              <w:rPr>
                <w:noProof/>
              </w:rPr>
              <w:fldChar w:fldCharType="separate"/>
            </w:r>
            <w:r w:rsidR="002A1CAA">
              <w:rPr>
                <w:noProof/>
              </w:rPr>
              <w:t>7</w:t>
            </w:r>
            <w:r w:rsidR="002A1CAA">
              <w:rPr>
                <w:noProof/>
              </w:rPr>
              <w:fldChar w:fldCharType="end"/>
            </w:r>
          </w:hyperlink>
        </w:p>
        <w:p w14:paraId="40EA750D" w14:textId="77777777" w:rsidR="002A1CAA" w:rsidRDefault="002A1CAA">
          <w:pPr>
            <w:pStyle w:val="TOC2"/>
            <w:tabs>
              <w:tab w:val="right" w:leader="dot" w:pos="9016"/>
            </w:tabs>
            <w:rPr>
              <w:noProof/>
            </w:rPr>
          </w:pPr>
          <w:hyperlink w:anchor="_Toc228176319" w:history="1">
            <w:r w:rsidRPr="00A15264">
              <w:rPr>
                <w:rStyle w:val="Hyperlink"/>
                <w:noProof/>
              </w:rPr>
              <w:t>1.1  The three operating modes</w:t>
            </w:r>
            <w:r>
              <w:rPr>
                <w:noProof/>
              </w:rPr>
              <w:tab/>
            </w:r>
            <w:r>
              <w:rPr>
                <w:noProof/>
              </w:rPr>
              <w:fldChar w:fldCharType="begin"/>
            </w:r>
            <w:r>
              <w:rPr>
                <w:noProof/>
              </w:rPr>
              <w:instrText xml:space="preserve"> PAGEREF _Toc228176319 \h </w:instrText>
            </w:r>
            <w:r>
              <w:rPr>
                <w:noProof/>
              </w:rPr>
            </w:r>
            <w:r>
              <w:rPr>
                <w:noProof/>
              </w:rPr>
              <w:fldChar w:fldCharType="separate"/>
            </w:r>
            <w:r>
              <w:rPr>
                <w:noProof/>
              </w:rPr>
              <w:t>8</w:t>
            </w:r>
            <w:r>
              <w:rPr>
                <w:noProof/>
              </w:rPr>
              <w:fldChar w:fldCharType="end"/>
            </w:r>
          </w:hyperlink>
        </w:p>
        <w:p w14:paraId="7D9950B5" w14:textId="77777777" w:rsidR="002A1CAA" w:rsidRDefault="002A1CAA">
          <w:pPr>
            <w:pStyle w:val="TOC2"/>
            <w:tabs>
              <w:tab w:val="right" w:leader="dot" w:pos="9016"/>
            </w:tabs>
            <w:rPr>
              <w:noProof/>
            </w:rPr>
          </w:pPr>
          <w:hyperlink w:anchor="_Toc228176320" w:history="1">
            <w:r w:rsidRPr="00A15264">
              <w:rPr>
                <w:rStyle w:val="Hyperlink"/>
                <w:noProof/>
              </w:rPr>
              <w:t>1.2  The five-layer model</w:t>
            </w:r>
            <w:r>
              <w:rPr>
                <w:noProof/>
              </w:rPr>
              <w:tab/>
            </w:r>
            <w:r>
              <w:rPr>
                <w:noProof/>
              </w:rPr>
              <w:fldChar w:fldCharType="begin"/>
            </w:r>
            <w:r>
              <w:rPr>
                <w:noProof/>
              </w:rPr>
              <w:instrText xml:space="preserve"> PAGEREF _Toc228176320 \h </w:instrText>
            </w:r>
            <w:r>
              <w:rPr>
                <w:noProof/>
              </w:rPr>
            </w:r>
            <w:r>
              <w:rPr>
                <w:noProof/>
              </w:rPr>
              <w:fldChar w:fldCharType="separate"/>
            </w:r>
            <w:r>
              <w:rPr>
                <w:noProof/>
              </w:rPr>
              <w:t>9</w:t>
            </w:r>
            <w:r>
              <w:rPr>
                <w:noProof/>
              </w:rPr>
              <w:fldChar w:fldCharType="end"/>
            </w:r>
          </w:hyperlink>
        </w:p>
        <w:p w14:paraId="7DBA198D" w14:textId="77777777" w:rsidR="002A1CAA" w:rsidRDefault="002A1CAA">
          <w:pPr>
            <w:pStyle w:val="TOC1"/>
            <w:tabs>
              <w:tab w:val="right" w:leader="dot" w:pos="9016"/>
            </w:tabs>
            <w:rPr>
              <w:noProof/>
            </w:rPr>
          </w:pPr>
          <w:hyperlink w:anchor="_Toc228176321" w:history="1">
            <w:r w:rsidRPr="00A15264">
              <w:rPr>
                <w:rStyle w:val="Hyperlink"/>
                <w:noProof/>
              </w:rPr>
              <w:t>2.  Identity Lifecycle</w:t>
            </w:r>
            <w:r>
              <w:rPr>
                <w:noProof/>
              </w:rPr>
              <w:tab/>
            </w:r>
            <w:r>
              <w:rPr>
                <w:noProof/>
              </w:rPr>
              <w:fldChar w:fldCharType="begin"/>
            </w:r>
            <w:r>
              <w:rPr>
                <w:noProof/>
              </w:rPr>
              <w:instrText xml:space="preserve"> PAGEREF _Toc228176321 \h </w:instrText>
            </w:r>
            <w:r>
              <w:rPr>
                <w:noProof/>
              </w:rPr>
            </w:r>
            <w:r>
              <w:rPr>
                <w:noProof/>
              </w:rPr>
              <w:fldChar w:fldCharType="separate"/>
            </w:r>
            <w:r>
              <w:rPr>
                <w:noProof/>
              </w:rPr>
              <w:t>11</w:t>
            </w:r>
            <w:r>
              <w:rPr>
                <w:noProof/>
              </w:rPr>
              <w:fldChar w:fldCharType="end"/>
            </w:r>
          </w:hyperlink>
        </w:p>
        <w:p w14:paraId="67732258" w14:textId="0A8B6FF0" w:rsidR="002A1CAA" w:rsidRDefault="002A1CAA">
          <w:pPr>
            <w:pStyle w:val="TOC2"/>
            <w:tabs>
              <w:tab w:val="right" w:leader="dot" w:pos="9016"/>
            </w:tabs>
            <w:rPr>
              <w:noProof/>
            </w:rPr>
          </w:pPr>
          <w:hyperlink w:anchor="_Toc228176322" w:history="1">
            <w:r w:rsidRPr="00A15264">
              <w:rPr>
                <w:rStyle w:val="Hyperlink"/>
                <w:noProof/>
              </w:rPr>
              <w:t>2.1  Birth</w:t>
            </w:r>
            <w:r>
              <w:rPr>
                <w:rStyle w:val="Hyperlink"/>
                <w:noProof/>
              </w:rPr>
              <w:t>,</w:t>
            </w:r>
            <w:r w:rsidRPr="00A15264">
              <w:rPr>
                <w:rStyle w:val="Hyperlink"/>
                <w:noProof/>
              </w:rPr>
              <w:t xml:space="preserve"> provisioning</w:t>
            </w:r>
            <w:r>
              <w:rPr>
                <w:noProof/>
              </w:rPr>
              <w:tab/>
            </w:r>
            <w:r>
              <w:rPr>
                <w:noProof/>
              </w:rPr>
              <w:fldChar w:fldCharType="begin"/>
            </w:r>
            <w:r>
              <w:rPr>
                <w:noProof/>
              </w:rPr>
              <w:instrText xml:space="preserve"> PAGEREF _Toc228176322 \h </w:instrText>
            </w:r>
            <w:r>
              <w:rPr>
                <w:noProof/>
              </w:rPr>
            </w:r>
            <w:r>
              <w:rPr>
                <w:noProof/>
              </w:rPr>
              <w:fldChar w:fldCharType="separate"/>
            </w:r>
            <w:r>
              <w:rPr>
                <w:noProof/>
              </w:rPr>
              <w:t>11</w:t>
            </w:r>
            <w:r>
              <w:rPr>
                <w:noProof/>
              </w:rPr>
              <w:fldChar w:fldCharType="end"/>
            </w:r>
          </w:hyperlink>
        </w:p>
        <w:p w14:paraId="46F96801" w14:textId="77777777" w:rsidR="002A1CAA" w:rsidRDefault="002A1CAA">
          <w:pPr>
            <w:pStyle w:val="TOC2"/>
            <w:tabs>
              <w:tab w:val="right" w:leader="dot" w:pos="9016"/>
            </w:tabs>
            <w:rPr>
              <w:noProof/>
            </w:rPr>
          </w:pPr>
          <w:hyperlink w:anchor="_Toc228176323" w:history="1">
            <w:r w:rsidRPr="00A15264">
              <w:rPr>
                <w:rStyle w:val="Hyperlink"/>
                <w:noProof/>
              </w:rPr>
              <w:t>2.2  Profile</w:t>
            </w:r>
            <w:r>
              <w:rPr>
                <w:noProof/>
              </w:rPr>
              <w:tab/>
            </w:r>
            <w:r>
              <w:rPr>
                <w:noProof/>
              </w:rPr>
              <w:fldChar w:fldCharType="begin"/>
            </w:r>
            <w:r>
              <w:rPr>
                <w:noProof/>
              </w:rPr>
              <w:instrText xml:space="preserve"> PAGEREF _Toc228176323 \h </w:instrText>
            </w:r>
            <w:r>
              <w:rPr>
                <w:noProof/>
              </w:rPr>
            </w:r>
            <w:r>
              <w:rPr>
                <w:noProof/>
              </w:rPr>
              <w:fldChar w:fldCharType="separate"/>
            </w:r>
            <w:r>
              <w:rPr>
                <w:noProof/>
              </w:rPr>
              <w:t>12</w:t>
            </w:r>
            <w:r>
              <w:rPr>
                <w:noProof/>
              </w:rPr>
              <w:fldChar w:fldCharType="end"/>
            </w:r>
          </w:hyperlink>
        </w:p>
        <w:p w14:paraId="6917C6A0" w14:textId="77777777" w:rsidR="002A1CAA" w:rsidRDefault="002A1CAA">
          <w:pPr>
            <w:pStyle w:val="TOC2"/>
            <w:tabs>
              <w:tab w:val="right" w:leader="dot" w:pos="9016"/>
            </w:tabs>
            <w:rPr>
              <w:noProof/>
            </w:rPr>
          </w:pPr>
          <w:hyperlink w:anchor="_Toc228176324" w:history="1">
            <w:r w:rsidRPr="00A15264">
              <w:rPr>
                <w:rStyle w:val="Hyperlink"/>
                <w:noProof/>
              </w:rPr>
              <w:t>2.3  Operate</w:t>
            </w:r>
            <w:r>
              <w:rPr>
                <w:noProof/>
              </w:rPr>
              <w:tab/>
            </w:r>
            <w:r>
              <w:rPr>
                <w:noProof/>
              </w:rPr>
              <w:fldChar w:fldCharType="begin"/>
            </w:r>
            <w:r>
              <w:rPr>
                <w:noProof/>
              </w:rPr>
              <w:instrText xml:space="preserve"> PAGEREF _Toc228176324 \h </w:instrText>
            </w:r>
            <w:r>
              <w:rPr>
                <w:noProof/>
              </w:rPr>
            </w:r>
            <w:r>
              <w:rPr>
                <w:noProof/>
              </w:rPr>
              <w:fldChar w:fldCharType="separate"/>
            </w:r>
            <w:r>
              <w:rPr>
                <w:noProof/>
              </w:rPr>
              <w:t>12</w:t>
            </w:r>
            <w:r>
              <w:rPr>
                <w:noProof/>
              </w:rPr>
              <w:fldChar w:fldCharType="end"/>
            </w:r>
          </w:hyperlink>
        </w:p>
        <w:p w14:paraId="502BE747" w14:textId="77777777" w:rsidR="002A1CAA" w:rsidRDefault="002A1CAA">
          <w:pPr>
            <w:pStyle w:val="TOC2"/>
            <w:tabs>
              <w:tab w:val="right" w:leader="dot" w:pos="9016"/>
            </w:tabs>
            <w:rPr>
              <w:noProof/>
            </w:rPr>
          </w:pPr>
          <w:hyperlink w:anchor="_Toc228176325" w:history="1">
            <w:r w:rsidRPr="00A15264">
              <w:rPr>
                <w:rStyle w:val="Hyperlink"/>
                <w:noProof/>
              </w:rPr>
              <w:t>2.4  Evolve</w:t>
            </w:r>
            <w:r>
              <w:rPr>
                <w:noProof/>
              </w:rPr>
              <w:tab/>
            </w:r>
            <w:r>
              <w:rPr>
                <w:noProof/>
              </w:rPr>
              <w:fldChar w:fldCharType="begin"/>
            </w:r>
            <w:r>
              <w:rPr>
                <w:noProof/>
              </w:rPr>
              <w:instrText xml:space="preserve"> PAGEREF _Toc228176325 \h </w:instrText>
            </w:r>
            <w:r>
              <w:rPr>
                <w:noProof/>
              </w:rPr>
            </w:r>
            <w:r>
              <w:rPr>
                <w:noProof/>
              </w:rPr>
              <w:fldChar w:fldCharType="separate"/>
            </w:r>
            <w:r>
              <w:rPr>
                <w:noProof/>
              </w:rPr>
              <w:t>12</w:t>
            </w:r>
            <w:r>
              <w:rPr>
                <w:noProof/>
              </w:rPr>
              <w:fldChar w:fldCharType="end"/>
            </w:r>
          </w:hyperlink>
        </w:p>
        <w:p w14:paraId="3F547200" w14:textId="77777777" w:rsidR="002A1CAA" w:rsidRDefault="002A1CAA">
          <w:pPr>
            <w:pStyle w:val="TOC2"/>
            <w:tabs>
              <w:tab w:val="right" w:leader="dot" w:pos="9016"/>
            </w:tabs>
            <w:rPr>
              <w:noProof/>
            </w:rPr>
          </w:pPr>
          <w:hyperlink w:anchor="_Toc228176326" w:history="1">
            <w:r w:rsidRPr="00A15264">
              <w:rPr>
                <w:rStyle w:val="Hyperlink"/>
                <w:noProof/>
              </w:rPr>
              <w:t>2.5  Retire</w:t>
            </w:r>
            <w:r>
              <w:rPr>
                <w:noProof/>
              </w:rPr>
              <w:tab/>
            </w:r>
            <w:r>
              <w:rPr>
                <w:noProof/>
              </w:rPr>
              <w:fldChar w:fldCharType="begin"/>
            </w:r>
            <w:r>
              <w:rPr>
                <w:noProof/>
              </w:rPr>
              <w:instrText xml:space="preserve"> PAGEREF _Toc228176326 \h </w:instrText>
            </w:r>
            <w:r>
              <w:rPr>
                <w:noProof/>
              </w:rPr>
            </w:r>
            <w:r>
              <w:rPr>
                <w:noProof/>
              </w:rPr>
              <w:fldChar w:fldCharType="separate"/>
            </w:r>
            <w:r>
              <w:rPr>
                <w:noProof/>
              </w:rPr>
              <w:t>12</w:t>
            </w:r>
            <w:r>
              <w:rPr>
                <w:noProof/>
              </w:rPr>
              <w:fldChar w:fldCharType="end"/>
            </w:r>
          </w:hyperlink>
        </w:p>
        <w:p w14:paraId="25A6305C" w14:textId="3D32A34D" w:rsidR="002A1CAA" w:rsidRDefault="002A1CAA">
          <w:pPr>
            <w:pStyle w:val="TOC1"/>
            <w:tabs>
              <w:tab w:val="right" w:leader="dot" w:pos="9016"/>
            </w:tabs>
            <w:rPr>
              <w:noProof/>
            </w:rPr>
          </w:pPr>
          <w:hyperlink w:anchor="_Toc228176327" w:history="1">
            <w:r w:rsidRPr="00A15264">
              <w:rPr>
                <w:rStyle w:val="Hyperlink"/>
                <w:noProof/>
              </w:rPr>
              <w:t xml:space="preserve">3.  Master System of Record </w:t>
            </w:r>
            <w:r>
              <w:rPr>
                <w:rStyle w:val="Hyperlink"/>
                <w:noProof/>
              </w:rPr>
              <w:t>,</w:t>
            </w:r>
            <w:r w:rsidRPr="00A15264">
              <w:rPr>
                <w:rStyle w:val="Hyperlink"/>
                <w:noProof/>
              </w:rPr>
              <w:t xml:space="preserve">  the Agent Identity Provider</w:t>
            </w:r>
            <w:r>
              <w:rPr>
                <w:noProof/>
              </w:rPr>
              <w:tab/>
            </w:r>
            <w:r>
              <w:rPr>
                <w:noProof/>
              </w:rPr>
              <w:fldChar w:fldCharType="begin"/>
            </w:r>
            <w:r>
              <w:rPr>
                <w:noProof/>
              </w:rPr>
              <w:instrText xml:space="preserve"> PAGEREF _Toc228176327 \h </w:instrText>
            </w:r>
            <w:r>
              <w:rPr>
                <w:noProof/>
              </w:rPr>
            </w:r>
            <w:r>
              <w:rPr>
                <w:noProof/>
              </w:rPr>
              <w:fldChar w:fldCharType="separate"/>
            </w:r>
            <w:r>
              <w:rPr>
                <w:noProof/>
              </w:rPr>
              <w:t>14</w:t>
            </w:r>
            <w:r>
              <w:rPr>
                <w:noProof/>
              </w:rPr>
              <w:fldChar w:fldCharType="end"/>
            </w:r>
          </w:hyperlink>
        </w:p>
        <w:p w14:paraId="739A0266" w14:textId="77777777" w:rsidR="002A1CAA" w:rsidRDefault="002A1CAA">
          <w:pPr>
            <w:pStyle w:val="TOC2"/>
            <w:tabs>
              <w:tab w:val="right" w:leader="dot" w:pos="9016"/>
            </w:tabs>
            <w:rPr>
              <w:noProof/>
            </w:rPr>
          </w:pPr>
          <w:hyperlink w:anchor="_Toc228176328" w:history="1">
            <w:r w:rsidRPr="00A15264">
              <w:rPr>
                <w:rStyle w:val="Hyperlink"/>
                <w:noProof/>
              </w:rPr>
              <w:t>3.1  The core schema</w:t>
            </w:r>
            <w:r>
              <w:rPr>
                <w:noProof/>
              </w:rPr>
              <w:tab/>
            </w:r>
            <w:r>
              <w:rPr>
                <w:noProof/>
              </w:rPr>
              <w:fldChar w:fldCharType="begin"/>
            </w:r>
            <w:r>
              <w:rPr>
                <w:noProof/>
              </w:rPr>
              <w:instrText xml:space="preserve"> PAGEREF _Toc228176328 \h </w:instrText>
            </w:r>
            <w:r>
              <w:rPr>
                <w:noProof/>
              </w:rPr>
            </w:r>
            <w:r>
              <w:rPr>
                <w:noProof/>
              </w:rPr>
              <w:fldChar w:fldCharType="separate"/>
            </w:r>
            <w:r>
              <w:rPr>
                <w:noProof/>
              </w:rPr>
              <w:t>14</w:t>
            </w:r>
            <w:r>
              <w:rPr>
                <w:noProof/>
              </w:rPr>
              <w:fldChar w:fldCharType="end"/>
            </w:r>
          </w:hyperlink>
        </w:p>
        <w:p w14:paraId="765B001B" w14:textId="77777777" w:rsidR="002A1CAA" w:rsidRDefault="002A1CAA">
          <w:pPr>
            <w:pStyle w:val="TOC2"/>
            <w:tabs>
              <w:tab w:val="right" w:leader="dot" w:pos="9016"/>
            </w:tabs>
            <w:rPr>
              <w:noProof/>
            </w:rPr>
          </w:pPr>
          <w:hyperlink w:anchor="_Toc228176329" w:history="1">
            <w:r w:rsidRPr="00A15264">
              <w:rPr>
                <w:rStyle w:val="Hyperlink"/>
                <w:noProof/>
              </w:rPr>
              <w:t>3.2  The Agent Bill of Materials</w:t>
            </w:r>
            <w:r>
              <w:rPr>
                <w:noProof/>
              </w:rPr>
              <w:tab/>
            </w:r>
            <w:r>
              <w:rPr>
                <w:noProof/>
              </w:rPr>
              <w:fldChar w:fldCharType="begin"/>
            </w:r>
            <w:r>
              <w:rPr>
                <w:noProof/>
              </w:rPr>
              <w:instrText xml:space="preserve"> PAGEREF _Toc228176329 \h </w:instrText>
            </w:r>
            <w:r>
              <w:rPr>
                <w:noProof/>
              </w:rPr>
            </w:r>
            <w:r>
              <w:rPr>
                <w:noProof/>
              </w:rPr>
              <w:fldChar w:fldCharType="separate"/>
            </w:r>
            <w:r>
              <w:rPr>
                <w:noProof/>
              </w:rPr>
              <w:t>14</w:t>
            </w:r>
            <w:r>
              <w:rPr>
                <w:noProof/>
              </w:rPr>
              <w:fldChar w:fldCharType="end"/>
            </w:r>
          </w:hyperlink>
        </w:p>
        <w:p w14:paraId="1C201228" w14:textId="77777777" w:rsidR="002A1CAA" w:rsidRDefault="002A1CAA">
          <w:pPr>
            <w:pStyle w:val="TOC2"/>
            <w:tabs>
              <w:tab w:val="right" w:leader="dot" w:pos="9016"/>
            </w:tabs>
            <w:rPr>
              <w:noProof/>
            </w:rPr>
          </w:pPr>
          <w:hyperlink w:anchor="_Toc228176330" w:history="1">
            <w:r w:rsidRPr="00A15264">
              <w:rPr>
                <w:rStyle w:val="Hyperlink"/>
                <w:noProof/>
              </w:rPr>
              <w:t>3.3  Lineage as a first-class graph</w:t>
            </w:r>
            <w:r>
              <w:rPr>
                <w:noProof/>
              </w:rPr>
              <w:tab/>
            </w:r>
            <w:r>
              <w:rPr>
                <w:noProof/>
              </w:rPr>
              <w:fldChar w:fldCharType="begin"/>
            </w:r>
            <w:r>
              <w:rPr>
                <w:noProof/>
              </w:rPr>
              <w:instrText xml:space="preserve"> PAGEREF _Toc228176330 \h </w:instrText>
            </w:r>
            <w:r>
              <w:rPr>
                <w:noProof/>
              </w:rPr>
            </w:r>
            <w:r>
              <w:rPr>
                <w:noProof/>
              </w:rPr>
              <w:fldChar w:fldCharType="separate"/>
            </w:r>
            <w:r>
              <w:rPr>
                <w:noProof/>
              </w:rPr>
              <w:t>15</w:t>
            </w:r>
            <w:r>
              <w:rPr>
                <w:noProof/>
              </w:rPr>
              <w:fldChar w:fldCharType="end"/>
            </w:r>
          </w:hyperlink>
        </w:p>
        <w:p w14:paraId="1565563C" w14:textId="77777777" w:rsidR="002A1CAA" w:rsidRDefault="002A1CAA">
          <w:pPr>
            <w:pStyle w:val="TOC2"/>
            <w:tabs>
              <w:tab w:val="right" w:leader="dot" w:pos="9016"/>
            </w:tabs>
            <w:rPr>
              <w:noProof/>
            </w:rPr>
          </w:pPr>
          <w:hyperlink w:anchor="_Toc228176331" w:history="1">
            <w:r w:rsidRPr="00A15264">
              <w:rPr>
                <w:rStyle w:val="Hyperlink"/>
                <w:noProof/>
              </w:rPr>
              <w:t>3.4  Federation</w:t>
            </w:r>
            <w:r>
              <w:rPr>
                <w:noProof/>
              </w:rPr>
              <w:tab/>
            </w:r>
            <w:r>
              <w:rPr>
                <w:noProof/>
              </w:rPr>
              <w:fldChar w:fldCharType="begin"/>
            </w:r>
            <w:r>
              <w:rPr>
                <w:noProof/>
              </w:rPr>
              <w:instrText xml:space="preserve"> PAGEREF _Toc228176331 \h </w:instrText>
            </w:r>
            <w:r>
              <w:rPr>
                <w:noProof/>
              </w:rPr>
            </w:r>
            <w:r>
              <w:rPr>
                <w:noProof/>
              </w:rPr>
              <w:fldChar w:fldCharType="separate"/>
            </w:r>
            <w:r>
              <w:rPr>
                <w:noProof/>
              </w:rPr>
              <w:t>15</w:t>
            </w:r>
            <w:r>
              <w:rPr>
                <w:noProof/>
              </w:rPr>
              <w:fldChar w:fldCharType="end"/>
            </w:r>
          </w:hyperlink>
        </w:p>
        <w:p w14:paraId="6BA9FD22" w14:textId="77777777" w:rsidR="002A1CAA" w:rsidRDefault="002A1CAA">
          <w:pPr>
            <w:pStyle w:val="TOC1"/>
            <w:tabs>
              <w:tab w:val="right" w:leader="dot" w:pos="9016"/>
            </w:tabs>
            <w:rPr>
              <w:noProof/>
            </w:rPr>
          </w:pPr>
          <w:hyperlink w:anchor="_Toc228176332" w:history="1">
            <w:r w:rsidRPr="00A15264">
              <w:rPr>
                <w:rStyle w:val="Hyperlink"/>
                <w:noProof/>
              </w:rPr>
              <w:t>4.  Profile, Skills and Blessings</w:t>
            </w:r>
            <w:r>
              <w:rPr>
                <w:noProof/>
              </w:rPr>
              <w:tab/>
            </w:r>
            <w:r>
              <w:rPr>
                <w:noProof/>
              </w:rPr>
              <w:fldChar w:fldCharType="begin"/>
            </w:r>
            <w:r>
              <w:rPr>
                <w:noProof/>
              </w:rPr>
              <w:instrText xml:space="preserve"> PAGEREF _Toc228176332 \h </w:instrText>
            </w:r>
            <w:r>
              <w:rPr>
                <w:noProof/>
              </w:rPr>
            </w:r>
            <w:r>
              <w:rPr>
                <w:noProof/>
              </w:rPr>
              <w:fldChar w:fldCharType="separate"/>
            </w:r>
            <w:r>
              <w:rPr>
                <w:noProof/>
              </w:rPr>
              <w:t>17</w:t>
            </w:r>
            <w:r>
              <w:rPr>
                <w:noProof/>
              </w:rPr>
              <w:fldChar w:fldCharType="end"/>
            </w:r>
          </w:hyperlink>
        </w:p>
        <w:p w14:paraId="7360EA2C" w14:textId="77777777" w:rsidR="002A1CAA" w:rsidRDefault="002A1CAA">
          <w:pPr>
            <w:pStyle w:val="TOC2"/>
            <w:tabs>
              <w:tab w:val="right" w:leader="dot" w:pos="9016"/>
            </w:tabs>
            <w:rPr>
              <w:noProof/>
            </w:rPr>
          </w:pPr>
          <w:hyperlink w:anchor="_Toc228176333" w:history="1">
            <w:r w:rsidRPr="00A15264">
              <w:rPr>
                <w:rStyle w:val="Hyperlink"/>
                <w:noProof/>
              </w:rPr>
              <w:t>4.1  The three components</w:t>
            </w:r>
            <w:r>
              <w:rPr>
                <w:noProof/>
              </w:rPr>
              <w:tab/>
            </w:r>
            <w:r>
              <w:rPr>
                <w:noProof/>
              </w:rPr>
              <w:fldChar w:fldCharType="begin"/>
            </w:r>
            <w:r>
              <w:rPr>
                <w:noProof/>
              </w:rPr>
              <w:instrText xml:space="preserve"> PAGEREF _Toc228176333 \h </w:instrText>
            </w:r>
            <w:r>
              <w:rPr>
                <w:noProof/>
              </w:rPr>
            </w:r>
            <w:r>
              <w:rPr>
                <w:noProof/>
              </w:rPr>
              <w:fldChar w:fldCharType="separate"/>
            </w:r>
            <w:r>
              <w:rPr>
                <w:noProof/>
              </w:rPr>
              <w:t>17</w:t>
            </w:r>
            <w:r>
              <w:rPr>
                <w:noProof/>
              </w:rPr>
              <w:fldChar w:fldCharType="end"/>
            </w:r>
          </w:hyperlink>
        </w:p>
        <w:p w14:paraId="68049EAE" w14:textId="77777777" w:rsidR="002A1CAA" w:rsidRDefault="002A1CAA">
          <w:pPr>
            <w:pStyle w:val="TOC2"/>
            <w:tabs>
              <w:tab w:val="right" w:leader="dot" w:pos="9016"/>
            </w:tabs>
            <w:rPr>
              <w:noProof/>
            </w:rPr>
          </w:pPr>
          <w:hyperlink w:anchor="_Toc228176334" w:history="1">
            <w:r w:rsidRPr="00A15264">
              <w:rPr>
                <w:rStyle w:val="Hyperlink"/>
                <w:noProof/>
              </w:rPr>
              <w:t>4.2  Skills as versioned, signed artefacts</w:t>
            </w:r>
            <w:r>
              <w:rPr>
                <w:noProof/>
              </w:rPr>
              <w:tab/>
            </w:r>
            <w:r>
              <w:rPr>
                <w:noProof/>
              </w:rPr>
              <w:fldChar w:fldCharType="begin"/>
            </w:r>
            <w:r>
              <w:rPr>
                <w:noProof/>
              </w:rPr>
              <w:instrText xml:space="preserve"> PAGEREF _Toc228176334 \h </w:instrText>
            </w:r>
            <w:r>
              <w:rPr>
                <w:noProof/>
              </w:rPr>
            </w:r>
            <w:r>
              <w:rPr>
                <w:noProof/>
              </w:rPr>
              <w:fldChar w:fldCharType="separate"/>
            </w:r>
            <w:r>
              <w:rPr>
                <w:noProof/>
              </w:rPr>
              <w:t>17</w:t>
            </w:r>
            <w:r>
              <w:rPr>
                <w:noProof/>
              </w:rPr>
              <w:fldChar w:fldCharType="end"/>
            </w:r>
          </w:hyperlink>
        </w:p>
        <w:p w14:paraId="14486D6D" w14:textId="1FC9F89B" w:rsidR="002A1CAA" w:rsidRDefault="002A1CAA">
          <w:pPr>
            <w:pStyle w:val="TOC2"/>
            <w:tabs>
              <w:tab w:val="right" w:leader="dot" w:pos="9016"/>
            </w:tabs>
            <w:rPr>
              <w:noProof/>
            </w:rPr>
          </w:pPr>
          <w:hyperlink w:anchor="_Toc228176335" w:history="1">
            <w:r w:rsidRPr="00A15264">
              <w:rPr>
                <w:rStyle w:val="Hyperlink"/>
                <w:noProof/>
              </w:rPr>
              <w:t>4.3  Blessings</w:t>
            </w:r>
            <w:r>
              <w:rPr>
                <w:rStyle w:val="Hyperlink"/>
                <w:noProof/>
              </w:rPr>
              <w:t>,</w:t>
            </w:r>
            <w:r w:rsidRPr="00A15264">
              <w:rPr>
                <w:rStyle w:val="Hyperlink"/>
                <w:noProof/>
              </w:rPr>
              <w:t xml:space="preserve"> earned credentials</w:t>
            </w:r>
            <w:r>
              <w:rPr>
                <w:noProof/>
              </w:rPr>
              <w:tab/>
            </w:r>
            <w:r>
              <w:rPr>
                <w:noProof/>
              </w:rPr>
              <w:fldChar w:fldCharType="begin"/>
            </w:r>
            <w:r>
              <w:rPr>
                <w:noProof/>
              </w:rPr>
              <w:instrText xml:space="preserve"> PAGEREF _Toc228176335 \h </w:instrText>
            </w:r>
            <w:r>
              <w:rPr>
                <w:noProof/>
              </w:rPr>
            </w:r>
            <w:r>
              <w:rPr>
                <w:noProof/>
              </w:rPr>
              <w:fldChar w:fldCharType="separate"/>
            </w:r>
            <w:r>
              <w:rPr>
                <w:noProof/>
              </w:rPr>
              <w:t>17</w:t>
            </w:r>
            <w:r>
              <w:rPr>
                <w:noProof/>
              </w:rPr>
              <w:fldChar w:fldCharType="end"/>
            </w:r>
          </w:hyperlink>
        </w:p>
        <w:p w14:paraId="399ABDDF" w14:textId="77777777" w:rsidR="002A1CAA" w:rsidRDefault="002A1CAA">
          <w:pPr>
            <w:pStyle w:val="TOC2"/>
            <w:tabs>
              <w:tab w:val="right" w:leader="dot" w:pos="9016"/>
            </w:tabs>
            <w:rPr>
              <w:noProof/>
            </w:rPr>
          </w:pPr>
          <w:hyperlink w:anchor="_Toc228176336" w:history="1">
            <w:r w:rsidRPr="00A15264">
              <w:rPr>
                <w:rStyle w:val="Hyperlink"/>
                <w:noProof/>
              </w:rPr>
              <w:t>4.4  Memory hygiene</w:t>
            </w:r>
            <w:r>
              <w:rPr>
                <w:noProof/>
              </w:rPr>
              <w:tab/>
            </w:r>
            <w:r>
              <w:rPr>
                <w:noProof/>
              </w:rPr>
              <w:fldChar w:fldCharType="begin"/>
            </w:r>
            <w:r>
              <w:rPr>
                <w:noProof/>
              </w:rPr>
              <w:instrText xml:space="preserve"> PAGEREF _Toc228176336 \h </w:instrText>
            </w:r>
            <w:r>
              <w:rPr>
                <w:noProof/>
              </w:rPr>
            </w:r>
            <w:r>
              <w:rPr>
                <w:noProof/>
              </w:rPr>
              <w:fldChar w:fldCharType="separate"/>
            </w:r>
            <w:r>
              <w:rPr>
                <w:noProof/>
              </w:rPr>
              <w:t>18</w:t>
            </w:r>
            <w:r>
              <w:rPr>
                <w:noProof/>
              </w:rPr>
              <w:fldChar w:fldCharType="end"/>
            </w:r>
          </w:hyperlink>
        </w:p>
        <w:p w14:paraId="0072F499" w14:textId="77777777" w:rsidR="002A1CAA" w:rsidRDefault="002A1CAA">
          <w:pPr>
            <w:pStyle w:val="TOC1"/>
            <w:tabs>
              <w:tab w:val="right" w:leader="dot" w:pos="9016"/>
            </w:tabs>
            <w:rPr>
              <w:noProof/>
            </w:rPr>
          </w:pPr>
          <w:hyperlink w:anchor="_Toc228176337" w:history="1">
            <w:r w:rsidRPr="00A15264">
              <w:rPr>
                <w:rStyle w:val="Hyperlink"/>
                <w:noProof/>
              </w:rPr>
              <w:t>5.  Fine-Grained Permissioning</w:t>
            </w:r>
            <w:r>
              <w:rPr>
                <w:noProof/>
              </w:rPr>
              <w:tab/>
            </w:r>
            <w:r>
              <w:rPr>
                <w:noProof/>
              </w:rPr>
              <w:fldChar w:fldCharType="begin"/>
            </w:r>
            <w:r>
              <w:rPr>
                <w:noProof/>
              </w:rPr>
              <w:instrText xml:space="preserve"> PAGEREF _Toc228176337 \h </w:instrText>
            </w:r>
            <w:r>
              <w:rPr>
                <w:noProof/>
              </w:rPr>
            </w:r>
            <w:r>
              <w:rPr>
                <w:noProof/>
              </w:rPr>
              <w:fldChar w:fldCharType="separate"/>
            </w:r>
            <w:r>
              <w:rPr>
                <w:noProof/>
              </w:rPr>
              <w:t>19</w:t>
            </w:r>
            <w:r>
              <w:rPr>
                <w:noProof/>
              </w:rPr>
              <w:fldChar w:fldCharType="end"/>
            </w:r>
          </w:hyperlink>
        </w:p>
        <w:p w14:paraId="551E4A3A" w14:textId="77777777" w:rsidR="002A1CAA" w:rsidRDefault="002A1CAA">
          <w:pPr>
            <w:pStyle w:val="TOC2"/>
            <w:tabs>
              <w:tab w:val="right" w:leader="dot" w:pos="9016"/>
            </w:tabs>
            <w:rPr>
              <w:noProof/>
            </w:rPr>
          </w:pPr>
          <w:hyperlink w:anchor="_Toc228176338" w:history="1">
            <w:r w:rsidRPr="00A15264">
              <w:rPr>
                <w:rStyle w:val="Hyperlink"/>
                <w:noProof/>
              </w:rPr>
              <w:t>5.1  Capabilities, not roles</w:t>
            </w:r>
            <w:r>
              <w:rPr>
                <w:noProof/>
              </w:rPr>
              <w:tab/>
            </w:r>
            <w:r>
              <w:rPr>
                <w:noProof/>
              </w:rPr>
              <w:fldChar w:fldCharType="begin"/>
            </w:r>
            <w:r>
              <w:rPr>
                <w:noProof/>
              </w:rPr>
              <w:instrText xml:space="preserve"> PAGEREF _Toc228176338 \h </w:instrText>
            </w:r>
            <w:r>
              <w:rPr>
                <w:noProof/>
              </w:rPr>
            </w:r>
            <w:r>
              <w:rPr>
                <w:noProof/>
              </w:rPr>
              <w:fldChar w:fldCharType="separate"/>
            </w:r>
            <w:r>
              <w:rPr>
                <w:noProof/>
              </w:rPr>
              <w:t>19</w:t>
            </w:r>
            <w:r>
              <w:rPr>
                <w:noProof/>
              </w:rPr>
              <w:fldChar w:fldCharType="end"/>
            </w:r>
          </w:hyperlink>
        </w:p>
        <w:p w14:paraId="06127934" w14:textId="77777777" w:rsidR="002A1CAA" w:rsidRDefault="002A1CAA">
          <w:pPr>
            <w:pStyle w:val="TOC2"/>
            <w:tabs>
              <w:tab w:val="right" w:leader="dot" w:pos="9016"/>
            </w:tabs>
            <w:rPr>
              <w:noProof/>
            </w:rPr>
          </w:pPr>
          <w:hyperlink w:anchor="_Toc228176339" w:history="1">
            <w:r w:rsidRPr="00A15264">
              <w:rPr>
                <w:rStyle w:val="Hyperlink"/>
                <w:noProof/>
              </w:rPr>
              <w:t>5.2  Scope-bound tokens</w:t>
            </w:r>
            <w:r>
              <w:rPr>
                <w:noProof/>
              </w:rPr>
              <w:tab/>
            </w:r>
            <w:r>
              <w:rPr>
                <w:noProof/>
              </w:rPr>
              <w:fldChar w:fldCharType="begin"/>
            </w:r>
            <w:r>
              <w:rPr>
                <w:noProof/>
              </w:rPr>
              <w:instrText xml:space="preserve"> PAGEREF _Toc228176339 \h </w:instrText>
            </w:r>
            <w:r>
              <w:rPr>
                <w:noProof/>
              </w:rPr>
            </w:r>
            <w:r>
              <w:rPr>
                <w:noProof/>
              </w:rPr>
              <w:fldChar w:fldCharType="separate"/>
            </w:r>
            <w:r>
              <w:rPr>
                <w:noProof/>
              </w:rPr>
              <w:t>19</w:t>
            </w:r>
            <w:r>
              <w:rPr>
                <w:noProof/>
              </w:rPr>
              <w:fldChar w:fldCharType="end"/>
            </w:r>
          </w:hyperlink>
        </w:p>
        <w:p w14:paraId="0DC06E93" w14:textId="77777777" w:rsidR="002A1CAA" w:rsidRDefault="002A1CAA">
          <w:pPr>
            <w:pStyle w:val="TOC2"/>
            <w:tabs>
              <w:tab w:val="right" w:leader="dot" w:pos="9016"/>
            </w:tabs>
            <w:rPr>
              <w:noProof/>
            </w:rPr>
          </w:pPr>
          <w:hyperlink w:anchor="_Toc228176340" w:history="1">
            <w:r w:rsidRPr="00A15264">
              <w:rPr>
                <w:rStyle w:val="Hyperlink"/>
                <w:noProof/>
              </w:rPr>
              <w:t>5.3  Just-in-time elevation</w:t>
            </w:r>
            <w:r>
              <w:rPr>
                <w:noProof/>
              </w:rPr>
              <w:tab/>
            </w:r>
            <w:r>
              <w:rPr>
                <w:noProof/>
              </w:rPr>
              <w:fldChar w:fldCharType="begin"/>
            </w:r>
            <w:r>
              <w:rPr>
                <w:noProof/>
              </w:rPr>
              <w:instrText xml:space="preserve"> PAGEREF _Toc228176340 \h </w:instrText>
            </w:r>
            <w:r>
              <w:rPr>
                <w:noProof/>
              </w:rPr>
            </w:r>
            <w:r>
              <w:rPr>
                <w:noProof/>
              </w:rPr>
              <w:fldChar w:fldCharType="separate"/>
            </w:r>
            <w:r>
              <w:rPr>
                <w:noProof/>
              </w:rPr>
              <w:t>19</w:t>
            </w:r>
            <w:r>
              <w:rPr>
                <w:noProof/>
              </w:rPr>
              <w:fldChar w:fldCharType="end"/>
            </w:r>
          </w:hyperlink>
        </w:p>
        <w:p w14:paraId="2A5EB719" w14:textId="77777777" w:rsidR="002A1CAA" w:rsidRDefault="002A1CAA">
          <w:pPr>
            <w:pStyle w:val="TOC2"/>
            <w:tabs>
              <w:tab w:val="right" w:leader="dot" w:pos="9016"/>
            </w:tabs>
            <w:rPr>
              <w:noProof/>
            </w:rPr>
          </w:pPr>
          <w:hyperlink w:anchor="_Toc228176341" w:history="1">
            <w:r w:rsidRPr="00A15264">
              <w:rPr>
                <w:rStyle w:val="Hyperlink"/>
                <w:noProof/>
              </w:rPr>
              <w:t>5.4  Consent receipts</w:t>
            </w:r>
            <w:r>
              <w:rPr>
                <w:noProof/>
              </w:rPr>
              <w:tab/>
            </w:r>
            <w:r>
              <w:rPr>
                <w:noProof/>
              </w:rPr>
              <w:fldChar w:fldCharType="begin"/>
            </w:r>
            <w:r>
              <w:rPr>
                <w:noProof/>
              </w:rPr>
              <w:instrText xml:space="preserve"> PAGEREF _Toc228176341 \h </w:instrText>
            </w:r>
            <w:r>
              <w:rPr>
                <w:noProof/>
              </w:rPr>
            </w:r>
            <w:r>
              <w:rPr>
                <w:noProof/>
              </w:rPr>
              <w:fldChar w:fldCharType="separate"/>
            </w:r>
            <w:r>
              <w:rPr>
                <w:noProof/>
              </w:rPr>
              <w:t>20</w:t>
            </w:r>
            <w:r>
              <w:rPr>
                <w:noProof/>
              </w:rPr>
              <w:fldChar w:fldCharType="end"/>
            </w:r>
          </w:hyperlink>
        </w:p>
        <w:p w14:paraId="0EA30EAE" w14:textId="77777777" w:rsidR="002A1CAA" w:rsidRDefault="002A1CAA">
          <w:pPr>
            <w:pStyle w:val="TOC2"/>
            <w:tabs>
              <w:tab w:val="right" w:leader="dot" w:pos="9016"/>
            </w:tabs>
            <w:rPr>
              <w:noProof/>
            </w:rPr>
          </w:pPr>
          <w:hyperlink w:anchor="_Toc228176342" w:history="1">
            <w:r w:rsidRPr="00A15264">
              <w:rPr>
                <w:rStyle w:val="Hyperlink"/>
                <w:noProof/>
              </w:rPr>
              <w:t>5.5  Human-in-loop gates</w:t>
            </w:r>
            <w:r>
              <w:rPr>
                <w:noProof/>
              </w:rPr>
              <w:tab/>
            </w:r>
            <w:r>
              <w:rPr>
                <w:noProof/>
              </w:rPr>
              <w:fldChar w:fldCharType="begin"/>
            </w:r>
            <w:r>
              <w:rPr>
                <w:noProof/>
              </w:rPr>
              <w:instrText xml:space="preserve"> PAGEREF _Toc228176342 \h </w:instrText>
            </w:r>
            <w:r>
              <w:rPr>
                <w:noProof/>
              </w:rPr>
            </w:r>
            <w:r>
              <w:rPr>
                <w:noProof/>
              </w:rPr>
              <w:fldChar w:fldCharType="separate"/>
            </w:r>
            <w:r>
              <w:rPr>
                <w:noProof/>
              </w:rPr>
              <w:t>20</w:t>
            </w:r>
            <w:r>
              <w:rPr>
                <w:noProof/>
              </w:rPr>
              <w:fldChar w:fldCharType="end"/>
            </w:r>
          </w:hyperlink>
        </w:p>
        <w:p w14:paraId="2076DF76" w14:textId="77777777" w:rsidR="002A1CAA" w:rsidRDefault="002A1CAA">
          <w:pPr>
            <w:pStyle w:val="TOC1"/>
            <w:tabs>
              <w:tab w:val="right" w:leader="dot" w:pos="9016"/>
            </w:tabs>
            <w:rPr>
              <w:noProof/>
            </w:rPr>
          </w:pPr>
          <w:hyperlink w:anchor="_Toc228176343" w:history="1">
            <w:r w:rsidRPr="00A15264">
              <w:rPr>
                <w:rStyle w:val="Hyperlink"/>
                <w:noProof/>
              </w:rPr>
              <w:t>6.  The Policy Enforcement Plane</w:t>
            </w:r>
            <w:r>
              <w:rPr>
                <w:noProof/>
              </w:rPr>
              <w:tab/>
            </w:r>
            <w:r>
              <w:rPr>
                <w:noProof/>
              </w:rPr>
              <w:fldChar w:fldCharType="begin"/>
            </w:r>
            <w:r>
              <w:rPr>
                <w:noProof/>
              </w:rPr>
              <w:instrText xml:space="preserve"> PAGEREF _Toc228176343 \h </w:instrText>
            </w:r>
            <w:r>
              <w:rPr>
                <w:noProof/>
              </w:rPr>
            </w:r>
            <w:r>
              <w:rPr>
                <w:noProof/>
              </w:rPr>
              <w:fldChar w:fldCharType="separate"/>
            </w:r>
            <w:r>
              <w:rPr>
                <w:noProof/>
              </w:rPr>
              <w:t>21</w:t>
            </w:r>
            <w:r>
              <w:rPr>
                <w:noProof/>
              </w:rPr>
              <w:fldChar w:fldCharType="end"/>
            </w:r>
          </w:hyperlink>
        </w:p>
        <w:p w14:paraId="0B6778D4" w14:textId="77777777" w:rsidR="002A1CAA" w:rsidRDefault="002A1CAA">
          <w:pPr>
            <w:pStyle w:val="TOC2"/>
            <w:tabs>
              <w:tab w:val="right" w:leader="dot" w:pos="9016"/>
            </w:tabs>
            <w:rPr>
              <w:noProof/>
            </w:rPr>
          </w:pPr>
          <w:hyperlink w:anchor="_Toc228176344" w:history="1">
            <w:r w:rsidRPr="00A15264">
              <w:rPr>
                <w:rStyle w:val="Hyperlink"/>
                <w:noProof/>
              </w:rPr>
              <w:t>6.1  What the enforcement plane enforces</w:t>
            </w:r>
            <w:r>
              <w:rPr>
                <w:noProof/>
              </w:rPr>
              <w:tab/>
            </w:r>
            <w:r>
              <w:rPr>
                <w:noProof/>
              </w:rPr>
              <w:fldChar w:fldCharType="begin"/>
            </w:r>
            <w:r>
              <w:rPr>
                <w:noProof/>
              </w:rPr>
              <w:instrText xml:space="preserve"> PAGEREF _Toc228176344 \h </w:instrText>
            </w:r>
            <w:r>
              <w:rPr>
                <w:noProof/>
              </w:rPr>
            </w:r>
            <w:r>
              <w:rPr>
                <w:noProof/>
              </w:rPr>
              <w:fldChar w:fldCharType="separate"/>
            </w:r>
            <w:r>
              <w:rPr>
                <w:noProof/>
              </w:rPr>
              <w:t>21</w:t>
            </w:r>
            <w:r>
              <w:rPr>
                <w:noProof/>
              </w:rPr>
              <w:fldChar w:fldCharType="end"/>
            </w:r>
          </w:hyperlink>
        </w:p>
        <w:p w14:paraId="1B931105" w14:textId="77777777" w:rsidR="002A1CAA" w:rsidRDefault="002A1CAA">
          <w:pPr>
            <w:pStyle w:val="TOC2"/>
            <w:tabs>
              <w:tab w:val="right" w:leader="dot" w:pos="9016"/>
            </w:tabs>
            <w:rPr>
              <w:noProof/>
            </w:rPr>
          </w:pPr>
          <w:hyperlink w:anchor="_Toc228176345" w:history="1">
            <w:r w:rsidRPr="00A15264">
              <w:rPr>
                <w:rStyle w:val="Hyperlink"/>
                <w:noProof/>
              </w:rPr>
              <w:t>6.2  Trace propagation for recursive and multi-agent calls</w:t>
            </w:r>
            <w:r>
              <w:rPr>
                <w:noProof/>
              </w:rPr>
              <w:tab/>
            </w:r>
            <w:r>
              <w:rPr>
                <w:noProof/>
              </w:rPr>
              <w:fldChar w:fldCharType="begin"/>
            </w:r>
            <w:r>
              <w:rPr>
                <w:noProof/>
              </w:rPr>
              <w:instrText xml:space="preserve"> PAGEREF _Toc228176345 \h </w:instrText>
            </w:r>
            <w:r>
              <w:rPr>
                <w:noProof/>
              </w:rPr>
            </w:r>
            <w:r>
              <w:rPr>
                <w:noProof/>
              </w:rPr>
              <w:fldChar w:fldCharType="separate"/>
            </w:r>
            <w:r>
              <w:rPr>
                <w:noProof/>
              </w:rPr>
              <w:t>22</w:t>
            </w:r>
            <w:r>
              <w:rPr>
                <w:noProof/>
              </w:rPr>
              <w:fldChar w:fldCharType="end"/>
            </w:r>
          </w:hyperlink>
        </w:p>
        <w:p w14:paraId="7400A28A" w14:textId="77777777" w:rsidR="002A1CAA" w:rsidRDefault="002A1CAA">
          <w:pPr>
            <w:pStyle w:val="TOC2"/>
            <w:tabs>
              <w:tab w:val="right" w:leader="dot" w:pos="9016"/>
            </w:tabs>
            <w:rPr>
              <w:noProof/>
            </w:rPr>
          </w:pPr>
          <w:hyperlink w:anchor="_Toc228176346" w:history="1">
            <w:r w:rsidRPr="00A15264">
              <w:rPr>
                <w:rStyle w:val="Hyperlink"/>
                <w:noProof/>
              </w:rPr>
              <w:t>6.3  Audit emission as a first-class output</w:t>
            </w:r>
            <w:r>
              <w:rPr>
                <w:noProof/>
              </w:rPr>
              <w:tab/>
            </w:r>
            <w:r>
              <w:rPr>
                <w:noProof/>
              </w:rPr>
              <w:fldChar w:fldCharType="begin"/>
            </w:r>
            <w:r>
              <w:rPr>
                <w:noProof/>
              </w:rPr>
              <w:instrText xml:space="preserve"> PAGEREF _Toc228176346 \h </w:instrText>
            </w:r>
            <w:r>
              <w:rPr>
                <w:noProof/>
              </w:rPr>
            </w:r>
            <w:r>
              <w:rPr>
                <w:noProof/>
              </w:rPr>
              <w:fldChar w:fldCharType="separate"/>
            </w:r>
            <w:r>
              <w:rPr>
                <w:noProof/>
              </w:rPr>
              <w:t>22</w:t>
            </w:r>
            <w:r>
              <w:rPr>
                <w:noProof/>
              </w:rPr>
              <w:fldChar w:fldCharType="end"/>
            </w:r>
          </w:hyperlink>
        </w:p>
        <w:p w14:paraId="57686B09" w14:textId="77777777" w:rsidR="002A1CAA" w:rsidRDefault="002A1CAA">
          <w:pPr>
            <w:pStyle w:val="TOC2"/>
            <w:tabs>
              <w:tab w:val="right" w:leader="dot" w:pos="9016"/>
            </w:tabs>
            <w:rPr>
              <w:noProof/>
            </w:rPr>
          </w:pPr>
          <w:hyperlink w:anchor="_Toc228176347" w:history="1">
            <w:r w:rsidRPr="00A15264">
              <w:rPr>
                <w:rStyle w:val="Hyperlink"/>
                <w:noProof/>
              </w:rPr>
              <w:t>6.4  FinOps as a control surface</w:t>
            </w:r>
            <w:r>
              <w:rPr>
                <w:noProof/>
              </w:rPr>
              <w:tab/>
            </w:r>
            <w:r>
              <w:rPr>
                <w:noProof/>
              </w:rPr>
              <w:fldChar w:fldCharType="begin"/>
            </w:r>
            <w:r>
              <w:rPr>
                <w:noProof/>
              </w:rPr>
              <w:instrText xml:space="preserve"> PAGEREF _Toc228176347 \h </w:instrText>
            </w:r>
            <w:r>
              <w:rPr>
                <w:noProof/>
              </w:rPr>
            </w:r>
            <w:r>
              <w:rPr>
                <w:noProof/>
              </w:rPr>
              <w:fldChar w:fldCharType="separate"/>
            </w:r>
            <w:r>
              <w:rPr>
                <w:noProof/>
              </w:rPr>
              <w:t>22</w:t>
            </w:r>
            <w:r>
              <w:rPr>
                <w:noProof/>
              </w:rPr>
              <w:fldChar w:fldCharType="end"/>
            </w:r>
          </w:hyperlink>
        </w:p>
        <w:p w14:paraId="5BDF2F7B" w14:textId="77777777" w:rsidR="002A1CAA" w:rsidRDefault="002A1CAA">
          <w:pPr>
            <w:pStyle w:val="TOC2"/>
            <w:tabs>
              <w:tab w:val="right" w:leader="dot" w:pos="9016"/>
            </w:tabs>
            <w:rPr>
              <w:noProof/>
            </w:rPr>
          </w:pPr>
          <w:hyperlink w:anchor="_Toc228176348" w:history="1">
            <w:r w:rsidRPr="00A15264">
              <w:rPr>
                <w:rStyle w:val="Hyperlink"/>
                <w:noProof/>
              </w:rPr>
              <w:t>6.5  Multi-tenant policy partition</w:t>
            </w:r>
            <w:r>
              <w:rPr>
                <w:noProof/>
              </w:rPr>
              <w:tab/>
            </w:r>
            <w:r>
              <w:rPr>
                <w:noProof/>
              </w:rPr>
              <w:fldChar w:fldCharType="begin"/>
            </w:r>
            <w:r>
              <w:rPr>
                <w:noProof/>
              </w:rPr>
              <w:instrText xml:space="preserve"> PAGEREF _Toc228176348 \h </w:instrText>
            </w:r>
            <w:r>
              <w:rPr>
                <w:noProof/>
              </w:rPr>
            </w:r>
            <w:r>
              <w:rPr>
                <w:noProof/>
              </w:rPr>
              <w:fldChar w:fldCharType="separate"/>
            </w:r>
            <w:r>
              <w:rPr>
                <w:noProof/>
              </w:rPr>
              <w:t>23</w:t>
            </w:r>
            <w:r>
              <w:rPr>
                <w:noProof/>
              </w:rPr>
              <w:fldChar w:fldCharType="end"/>
            </w:r>
          </w:hyperlink>
        </w:p>
        <w:p w14:paraId="1C2D5B27" w14:textId="77777777" w:rsidR="002A1CAA" w:rsidRDefault="002A1CAA">
          <w:pPr>
            <w:pStyle w:val="TOC2"/>
            <w:tabs>
              <w:tab w:val="right" w:leader="dot" w:pos="9016"/>
            </w:tabs>
            <w:rPr>
              <w:noProof/>
            </w:rPr>
          </w:pPr>
          <w:hyperlink w:anchor="_Toc228176349" w:history="1">
            <w:r w:rsidRPr="00A15264">
              <w:rPr>
                <w:rStyle w:val="Hyperlink"/>
                <w:noProof/>
              </w:rPr>
              <w:t>6.6  Reference stacks</w:t>
            </w:r>
            <w:r>
              <w:rPr>
                <w:noProof/>
              </w:rPr>
              <w:tab/>
            </w:r>
            <w:r>
              <w:rPr>
                <w:noProof/>
              </w:rPr>
              <w:fldChar w:fldCharType="begin"/>
            </w:r>
            <w:r>
              <w:rPr>
                <w:noProof/>
              </w:rPr>
              <w:instrText xml:space="preserve"> PAGEREF _Toc228176349 \h </w:instrText>
            </w:r>
            <w:r>
              <w:rPr>
                <w:noProof/>
              </w:rPr>
            </w:r>
            <w:r>
              <w:rPr>
                <w:noProof/>
              </w:rPr>
              <w:fldChar w:fldCharType="separate"/>
            </w:r>
            <w:r>
              <w:rPr>
                <w:noProof/>
              </w:rPr>
              <w:t>23</w:t>
            </w:r>
            <w:r>
              <w:rPr>
                <w:noProof/>
              </w:rPr>
              <w:fldChar w:fldCharType="end"/>
            </w:r>
          </w:hyperlink>
        </w:p>
        <w:p w14:paraId="130E9600" w14:textId="77777777" w:rsidR="002A1CAA" w:rsidRDefault="002A1CAA">
          <w:pPr>
            <w:pStyle w:val="TOC1"/>
            <w:tabs>
              <w:tab w:val="right" w:leader="dot" w:pos="9016"/>
            </w:tabs>
            <w:rPr>
              <w:noProof/>
            </w:rPr>
          </w:pPr>
          <w:hyperlink w:anchor="_Toc228176350" w:history="1">
            <w:r w:rsidRPr="00A15264">
              <w:rPr>
                <w:rStyle w:val="Hyperlink"/>
                <w:noProof/>
              </w:rPr>
              <w:t>7.  The Auditory Layer</w:t>
            </w:r>
            <w:r>
              <w:rPr>
                <w:noProof/>
              </w:rPr>
              <w:tab/>
            </w:r>
            <w:r>
              <w:rPr>
                <w:noProof/>
              </w:rPr>
              <w:fldChar w:fldCharType="begin"/>
            </w:r>
            <w:r>
              <w:rPr>
                <w:noProof/>
              </w:rPr>
              <w:instrText xml:space="preserve"> PAGEREF _Toc228176350 \h </w:instrText>
            </w:r>
            <w:r>
              <w:rPr>
                <w:noProof/>
              </w:rPr>
            </w:r>
            <w:r>
              <w:rPr>
                <w:noProof/>
              </w:rPr>
              <w:fldChar w:fldCharType="separate"/>
            </w:r>
            <w:r>
              <w:rPr>
                <w:noProof/>
              </w:rPr>
              <w:t>25</w:t>
            </w:r>
            <w:r>
              <w:rPr>
                <w:noProof/>
              </w:rPr>
              <w:fldChar w:fldCharType="end"/>
            </w:r>
          </w:hyperlink>
        </w:p>
        <w:p w14:paraId="319D45A2" w14:textId="77777777" w:rsidR="002A1CAA" w:rsidRDefault="002A1CAA">
          <w:pPr>
            <w:pStyle w:val="TOC2"/>
            <w:tabs>
              <w:tab w:val="right" w:leader="dot" w:pos="9016"/>
            </w:tabs>
            <w:rPr>
              <w:noProof/>
            </w:rPr>
          </w:pPr>
          <w:hyperlink w:anchor="_Toc228176351" w:history="1">
            <w:r w:rsidRPr="00A15264">
              <w:rPr>
                <w:rStyle w:val="Hyperlink"/>
                <w:noProof/>
              </w:rPr>
              <w:t>7.1  What gets logged</w:t>
            </w:r>
            <w:r>
              <w:rPr>
                <w:noProof/>
              </w:rPr>
              <w:tab/>
            </w:r>
            <w:r>
              <w:rPr>
                <w:noProof/>
              </w:rPr>
              <w:fldChar w:fldCharType="begin"/>
            </w:r>
            <w:r>
              <w:rPr>
                <w:noProof/>
              </w:rPr>
              <w:instrText xml:space="preserve"> PAGEREF _Toc228176351 \h </w:instrText>
            </w:r>
            <w:r>
              <w:rPr>
                <w:noProof/>
              </w:rPr>
            </w:r>
            <w:r>
              <w:rPr>
                <w:noProof/>
              </w:rPr>
              <w:fldChar w:fldCharType="separate"/>
            </w:r>
            <w:r>
              <w:rPr>
                <w:noProof/>
              </w:rPr>
              <w:t>25</w:t>
            </w:r>
            <w:r>
              <w:rPr>
                <w:noProof/>
              </w:rPr>
              <w:fldChar w:fldCharType="end"/>
            </w:r>
          </w:hyperlink>
        </w:p>
        <w:p w14:paraId="79852433" w14:textId="77777777" w:rsidR="002A1CAA" w:rsidRDefault="002A1CAA">
          <w:pPr>
            <w:pStyle w:val="TOC2"/>
            <w:tabs>
              <w:tab w:val="right" w:leader="dot" w:pos="9016"/>
            </w:tabs>
            <w:rPr>
              <w:noProof/>
            </w:rPr>
          </w:pPr>
          <w:hyperlink w:anchor="_Toc228176352" w:history="1">
            <w:r w:rsidRPr="00A15264">
              <w:rPr>
                <w:rStyle w:val="Hyperlink"/>
                <w:noProof/>
              </w:rPr>
              <w:t>7.2  Tamper evidence and admissibility</w:t>
            </w:r>
            <w:r>
              <w:rPr>
                <w:noProof/>
              </w:rPr>
              <w:tab/>
            </w:r>
            <w:r>
              <w:rPr>
                <w:noProof/>
              </w:rPr>
              <w:fldChar w:fldCharType="begin"/>
            </w:r>
            <w:r>
              <w:rPr>
                <w:noProof/>
              </w:rPr>
              <w:instrText xml:space="preserve"> PAGEREF _Toc228176352 \h </w:instrText>
            </w:r>
            <w:r>
              <w:rPr>
                <w:noProof/>
              </w:rPr>
            </w:r>
            <w:r>
              <w:rPr>
                <w:noProof/>
              </w:rPr>
              <w:fldChar w:fldCharType="separate"/>
            </w:r>
            <w:r>
              <w:rPr>
                <w:noProof/>
              </w:rPr>
              <w:t>25</w:t>
            </w:r>
            <w:r>
              <w:rPr>
                <w:noProof/>
              </w:rPr>
              <w:fldChar w:fldCharType="end"/>
            </w:r>
          </w:hyperlink>
        </w:p>
        <w:p w14:paraId="03CABC41" w14:textId="77777777" w:rsidR="002A1CAA" w:rsidRDefault="002A1CAA">
          <w:pPr>
            <w:pStyle w:val="TOC2"/>
            <w:tabs>
              <w:tab w:val="right" w:leader="dot" w:pos="9016"/>
            </w:tabs>
            <w:rPr>
              <w:noProof/>
            </w:rPr>
          </w:pPr>
          <w:hyperlink w:anchor="_Toc228176353" w:history="1">
            <w:r w:rsidRPr="00A15264">
              <w:rPr>
                <w:rStyle w:val="Hyperlink"/>
                <w:noProof/>
              </w:rPr>
              <w:t>7.3  Replay</w:t>
            </w:r>
            <w:r>
              <w:rPr>
                <w:noProof/>
              </w:rPr>
              <w:tab/>
            </w:r>
            <w:r>
              <w:rPr>
                <w:noProof/>
              </w:rPr>
              <w:fldChar w:fldCharType="begin"/>
            </w:r>
            <w:r>
              <w:rPr>
                <w:noProof/>
              </w:rPr>
              <w:instrText xml:space="preserve"> PAGEREF _Toc228176353 \h </w:instrText>
            </w:r>
            <w:r>
              <w:rPr>
                <w:noProof/>
              </w:rPr>
            </w:r>
            <w:r>
              <w:rPr>
                <w:noProof/>
              </w:rPr>
              <w:fldChar w:fldCharType="separate"/>
            </w:r>
            <w:r>
              <w:rPr>
                <w:noProof/>
              </w:rPr>
              <w:t>26</w:t>
            </w:r>
            <w:r>
              <w:rPr>
                <w:noProof/>
              </w:rPr>
              <w:fldChar w:fldCharType="end"/>
            </w:r>
          </w:hyperlink>
        </w:p>
        <w:p w14:paraId="13A4C9AE" w14:textId="77777777" w:rsidR="002A1CAA" w:rsidRDefault="002A1CAA">
          <w:pPr>
            <w:pStyle w:val="TOC2"/>
            <w:tabs>
              <w:tab w:val="right" w:leader="dot" w:pos="9016"/>
            </w:tabs>
            <w:rPr>
              <w:noProof/>
            </w:rPr>
          </w:pPr>
          <w:hyperlink w:anchor="_Toc228176354" w:history="1">
            <w:r w:rsidRPr="00A15264">
              <w:rPr>
                <w:rStyle w:val="Hyperlink"/>
                <w:noProof/>
              </w:rPr>
              <w:t>7.4  Storage tiers</w:t>
            </w:r>
            <w:r>
              <w:rPr>
                <w:noProof/>
              </w:rPr>
              <w:tab/>
            </w:r>
            <w:r>
              <w:rPr>
                <w:noProof/>
              </w:rPr>
              <w:fldChar w:fldCharType="begin"/>
            </w:r>
            <w:r>
              <w:rPr>
                <w:noProof/>
              </w:rPr>
              <w:instrText xml:space="preserve"> PAGEREF _Toc228176354 \h </w:instrText>
            </w:r>
            <w:r>
              <w:rPr>
                <w:noProof/>
              </w:rPr>
            </w:r>
            <w:r>
              <w:rPr>
                <w:noProof/>
              </w:rPr>
              <w:fldChar w:fldCharType="separate"/>
            </w:r>
            <w:r>
              <w:rPr>
                <w:noProof/>
              </w:rPr>
              <w:t>26</w:t>
            </w:r>
            <w:r>
              <w:rPr>
                <w:noProof/>
              </w:rPr>
              <w:fldChar w:fldCharType="end"/>
            </w:r>
          </w:hyperlink>
        </w:p>
        <w:p w14:paraId="33D9D74D" w14:textId="77777777" w:rsidR="002A1CAA" w:rsidRDefault="002A1CAA">
          <w:pPr>
            <w:pStyle w:val="TOC2"/>
            <w:tabs>
              <w:tab w:val="right" w:leader="dot" w:pos="9016"/>
            </w:tabs>
            <w:rPr>
              <w:noProof/>
            </w:rPr>
          </w:pPr>
          <w:hyperlink w:anchor="_Toc228176355" w:history="1">
            <w:r w:rsidRPr="00A15264">
              <w:rPr>
                <w:rStyle w:val="Hyperlink"/>
                <w:noProof/>
              </w:rPr>
              <w:t>7.5  What never goes in the audit log</w:t>
            </w:r>
            <w:r>
              <w:rPr>
                <w:noProof/>
              </w:rPr>
              <w:tab/>
            </w:r>
            <w:r>
              <w:rPr>
                <w:noProof/>
              </w:rPr>
              <w:fldChar w:fldCharType="begin"/>
            </w:r>
            <w:r>
              <w:rPr>
                <w:noProof/>
              </w:rPr>
              <w:instrText xml:space="preserve"> PAGEREF _Toc228176355 \h </w:instrText>
            </w:r>
            <w:r>
              <w:rPr>
                <w:noProof/>
              </w:rPr>
            </w:r>
            <w:r>
              <w:rPr>
                <w:noProof/>
              </w:rPr>
              <w:fldChar w:fldCharType="separate"/>
            </w:r>
            <w:r>
              <w:rPr>
                <w:noProof/>
              </w:rPr>
              <w:t>27</w:t>
            </w:r>
            <w:r>
              <w:rPr>
                <w:noProof/>
              </w:rPr>
              <w:fldChar w:fldCharType="end"/>
            </w:r>
          </w:hyperlink>
        </w:p>
        <w:p w14:paraId="47257C90" w14:textId="77777777" w:rsidR="002A1CAA" w:rsidRDefault="002A1CAA">
          <w:pPr>
            <w:pStyle w:val="TOC1"/>
            <w:tabs>
              <w:tab w:val="right" w:leader="dot" w:pos="9016"/>
            </w:tabs>
            <w:rPr>
              <w:noProof/>
            </w:rPr>
          </w:pPr>
          <w:hyperlink w:anchor="_Toc228176356" w:history="1">
            <w:r w:rsidRPr="00A15264">
              <w:rPr>
                <w:rStyle w:val="Hyperlink"/>
                <w:noProof/>
              </w:rPr>
              <w:t>8.  Self-Learning Provenance</w:t>
            </w:r>
            <w:r>
              <w:rPr>
                <w:noProof/>
              </w:rPr>
              <w:tab/>
            </w:r>
            <w:r>
              <w:rPr>
                <w:noProof/>
              </w:rPr>
              <w:fldChar w:fldCharType="begin"/>
            </w:r>
            <w:r>
              <w:rPr>
                <w:noProof/>
              </w:rPr>
              <w:instrText xml:space="preserve"> PAGEREF _Toc228176356 \h </w:instrText>
            </w:r>
            <w:r>
              <w:rPr>
                <w:noProof/>
              </w:rPr>
            </w:r>
            <w:r>
              <w:rPr>
                <w:noProof/>
              </w:rPr>
              <w:fldChar w:fldCharType="separate"/>
            </w:r>
            <w:r>
              <w:rPr>
                <w:noProof/>
              </w:rPr>
              <w:t>28</w:t>
            </w:r>
            <w:r>
              <w:rPr>
                <w:noProof/>
              </w:rPr>
              <w:fldChar w:fldCharType="end"/>
            </w:r>
          </w:hyperlink>
        </w:p>
        <w:p w14:paraId="0428871E" w14:textId="77777777" w:rsidR="002A1CAA" w:rsidRDefault="002A1CAA">
          <w:pPr>
            <w:pStyle w:val="TOC2"/>
            <w:tabs>
              <w:tab w:val="right" w:leader="dot" w:pos="9016"/>
            </w:tabs>
            <w:rPr>
              <w:noProof/>
            </w:rPr>
          </w:pPr>
          <w:hyperlink w:anchor="_Toc228176357" w:history="1">
            <w:r w:rsidRPr="00A15264">
              <w:rPr>
                <w:rStyle w:val="Hyperlink"/>
                <w:noProof/>
              </w:rPr>
              <w:t>8.1  What counts as learning</w:t>
            </w:r>
            <w:r>
              <w:rPr>
                <w:noProof/>
              </w:rPr>
              <w:tab/>
            </w:r>
            <w:r>
              <w:rPr>
                <w:noProof/>
              </w:rPr>
              <w:fldChar w:fldCharType="begin"/>
            </w:r>
            <w:r>
              <w:rPr>
                <w:noProof/>
              </w:rPr>
              <w:instrText xml:space="preserve"> PAGEREF _Toc228176357 \h </w:instrText>
            </w:r>
            <w:r>
              <w:rPr>
                <w:noProof/>
              </w:rPr>
            </w:r>
            <w:r>
              <w:rPr>
                <w:noProof/>
              </w:rPr>
              <w:fldChar w:fldCharType="separate"/>
            </w:r>
            <w:r>
              <w:rPr>
                <w:noProof/>
              </w:rPr>
              <w:t>28</w:t>
            </w:r>
            <w:r>
              <w:rPr>
                <w:noProof/>
              </w:rPr>
              <w:fldChar w:fldCharType="end"/>
            </w:r>
          </w:hyperlink>
        </w:p>
        <w:p w14:paraId="21D44578" w14:textId="77777777" w:rsidR="002A1CAA" w:rsidRDefault="002A1CAA">
          <w:pPr>
            <w:pStyle w:val="TOC2"/>
            <w:tabs>
              <w:tab w:val="right" w:leader="dot" w:pos="9016"/>
            </w:tabs>
            <w:rPr>
              <w:noProof/>
            </w:rPr>
          </w:pPr>
          <w:hyperlink w:anchor="_Toc228176358" w:history="1">
            <w:r w:rsidRPr="00A15264">
              <w:rPr>
                <w:rStyle w:val="Hyperlink"/>
                <w:noProof/>
              </w:rPr>
              <w:t>8.2  The provenance chain</w:t>
            </w:r>
            <w:r>
              <w:rPr>
                <w:noProof/>
              </w:rPr>
              <w:tab/>
            </w:r>
            <w:r>
              <w:rPr>
                <w:noProof/>
              </w:rPr>
              <w:fldChar w:fldCharType="begin"/>
            </w:r>
            <w:r>
              <w:rPr>
                <w:noProof/>
              </w:rPr>
              <w:instrText xml:space="preserve"> PAGEREF _Toc228176358 \h </w:instrText>
            </w:r>
            <w:r>
              <w:rPr>
                <w:noProof/>
              </w:rPr>
            </w:r>
            <w:r>
              <w:rPr>
                <w:noProof/>
              </w:rPr>
              <w:fldChar w:fldCharType="separate"/>
            </w:r>
            <w:r>
              <w:rPr>
                <w:noProof/>
              </w:rPr>
              <w:t>28</w:t>
            </w:r>
            <w:r>
              <w:rPr>
                <w:noProof/>
              </w:rPr>
              <w:fldChar w:fldCharType="end"/>
            </w:r>
          </w:hyperlink>
        </w:p>
        <w:p w14:paraId="6779CF94" w14:textId="77777777" w:rsidR="002A1CAA" w:rsidRDefault="002A1CAA">
          <w:pPr>
            <w:pStyle w:val="TOC2"/>
            <w:tabs>
              <w:tab w:val="right" w:leader="dot" w:pos="9016"/>
            </w:tabs>
            <w:rPr>
              <w:noProof/>
            </w:rPr>
          </w:pPr>
          <w:hyperlink w:anchor="_Toc228176359" w:history="1">
            <w:r w:rsidRPr="00A15264">
              <w:rPr>
                <w:rStyle w:val="Hyperlink"/>
                <w:noProof/>
              </w:rPr>
              <w:t>8.3  Preventing capability drift</w:t>
            </w:r>
            <w:r>
              <w:rPr>
                <w:noProof/>
              </w:rPr>
              <w:tab/>
            </w:r>
            <w:r>
              <w:rPr>
                <w:noProof/>
              </w:rPr>
              <w:fldChar w:fldCharType="begin"/>
            </w:r>
            <w:r>
              <w:rPr>
                <w:noProof/>
              </w:rPr>
              <w:instrText xml:space="preserve"> PAGEREF _Toc228176359 \h </w:instrText>
            </w:r>
            <w:r>
              <w:rPr>
                <w:noProof/>
              </w:rPr>
            </w:r>
            <w:r>
              <w:rPr>
                <w:noProof/>
              </w:rPr>
              <w:fldChar w:fldCharType="separate"/>
            </w:r>
            <w:r>
              <w:rPr>
                <w:noProof/>
              </w:rPr>
              <w:t>28</w:t>
            </w:r>
            <w:r>
              <w:rPr>
                <w:noProof/>
              </w:rPr>
              <w:fldChar w:fldCharType="end"/>
            </w:r>
          </w:hyperlink>
        </w:p>
        <w:p w14:paraId="471D4971" w14:textId="77777777" w:rsidR="002A1CAA" w:rsidRDefault="002A1CAA">
          <w:pPr>
            <w:pStyle w:val="TOC2"/>
            <w:tabs>
              <w:tab w:val="right" w:leader="dot" w:pos="9016"/>
            </w:tabs>
            <w:rPr>
              <w:noProof/>
            </w:rPr>
          </w:pPr>
          <w:hyperlink w:anchor="_Toc228176360" w:history="1">
            <w:r w:rsidRPr="00A15264">
              <w:rPr>
                <w:rStyle w:val="Hyperlink"/>
                <w:noProof/>
              </w:rPr>
              <w:t>8.4  Preventing compliance laundering via fine-tuning</w:t>
            </w:r>
            <w:r>
              <w:rPr>
                <w:noProof/>
              </w:rPr>
              <w:tab/>
            </w:r>
            <w:r>
              <w:rPr>
                <w:noProof/>
              </w:rPr>
              <w:fldChar w:fldCharType="begin"/>
            </w:r>
            <w:r>
              <w:rPr>
                <w:noProof/>
              </w:rPr>
              <w:instrText xml:space="preserve"> PAGEREF _Toc228176360 \h </w:instrText>
            </w:r>
            <w:r>
              <w:rPr>
                <w:noProof/>
              </w:rPr>
            </w:r>
            <w:r>
              <w:rPr>
                <w:noProof/>
              </w:rPr>
              <w:fldChar w:fldCharType="separate"/>
            </w:r>
            <w:r>
              <w:rPr>
                <w:noProof/>
              </w:rPr>
              <w:t>29</w:t>
            </w:r>
            <w:r>
              <w:rPr>
                <w:noProof/>
              </w:rPr>
              <w:fldChar w:fldCharType="end"/>
            </w:r>
          </w:hyperlink>
        </w:p>
        <w:p w14:paraId="49974460" w14:textId="77777777" w:rsidR="002A1CAA" w:rsidRDefault="002A1CAA">
          <w:pPr>
            <w:pStyle w:val="TOC1"/>
            <w:tabs>
              <w:tab w:val="right" w:leader="dot" w:pos="9016"/>
            </w:tabs>
            <w:rPr>
              <w:noProof/>
            </w:rPr>
          </w:pPr>
          <w:hyperlink w:anchor="_Toc228176361" w:history="1">
            <w:r w:rsidRPr="00A15264">
              <w:rPr>
                <w:rStyle w:val="Hyperlink"/>
                <w:noProof/>
              </w:rPr>
              <w:t>9.  Visualisation and Operator Surfaces</w:t>
            </w:r>
            <w:r>
              <w:rPr>
                <w:noProof/>
              </w:rPr>
              <w:tab/>
            </w:r>
            <w:r>
              <w:rPr>
                <w:noProof/>
              </w:rPr>
              <w:fldChar w:fldCharType="begin"/>
            </w:r>
            <w:r>
              <w:rPr>
                <w:noProof/>
              </w:rPr>
              <w:instrText xml:space="preserve"> PAGEREF _Toc228176361 \h </w:instrText>
            </w:r>
            <w:r>
              <w:rPr>
                <w:noProof/>
              </w:rPr>
            </w:r>
            <w:r>
              <w:rPr>
                <w:noProof/>
              </w:rPr>
              <w:fldChar w:fldCharType="separate"/>
            </w:r>
            <w:r>
              <w:rPr>
                <w:noProof/>
              </w:rPr>
              <w:t>30</w:t>
            </w:r>
            <w:r>
              <w:rPr>
                <w:noProof/>
              </w:rPr>
              <w:fldChar w:fldCharType="end"/>
            </w:r>
          </w:hyperlink>
        </w:p>
        <w:p w14:paraId="4B26E5ED" w14:textId="77777777" w:rsidR="002A1CAA" w:rsidRDefault="002A1CAA">
          <w:pPr>
            <w:pStyle w:val="TOC2"/>
            <w:tabs>
              <w:tab w:val="right" w:leader="dot" w:pos="9016"/>
            </w:tabs>
            <w:rPr>
              <w:noProof/>
            </w:rPr>
          </w:pPr>
          <w:hyperlink w:anchor="_Toc228176362" w:history="1">
            <w:r w:rsidRPr="00A15264">
              <w:rPr>
                <w:rStyle w:val="Hyperlink"/>
                <w:noProof/>
              </w:rPr>
              <w:t>9.1  The four canonical views</w:t>
            </w:r>
            <w:r>
              <w:rPr>
                <w:noProof/>
              </w:rPr>
              <w:tab/>
            </w:r>
            <w:r>
              <w:rPr>
                <w:noProof/>
              </w:rPr>
              <w:fldChar w:fldCharType="begin"/>
            </w:r>
            <w:r>
              <w:rPr>
                <w:noProof/>
              </w:rPr>
              <w:instrText xml:space="preserve"> PAGEREF _Toc228176362 \h </w:instrText>
            </w:r>
            <w:r>
              <w:rPr>
                <w:noProof/>
              </w:rPr>
            </w:r>
            <w:r>
              <w:rPr>
                <w:noProof/>
              </w:rPr>
              <w:fldChar w:fldCharType="separate"/>
            </w:r>
            <w:r>
              <w:rPr>
                <w:noProof/>
              </w:rPr>
              <w:t>30</w:t>
            </w:r>
            <w:r>
              <w:rPr>
                <w:noProof/>
              </w:rPr>
              <w:fldChar w:fldCharType="end"/>
            </w:r>
          </w:hyperlink>
        </w:p>
        <w:p w14:paraId="2E4F80C7" w14:textId="77777777" w:rsidR="002A1CAA" w:rsidRDefault="002A1CAA">
          <w:pPr>
            <w:pStyle w:val="TOC2"/>
            <w:tabs>
              <w:tab w:val="right" w:leader="dot" w:pos="9016"/>
            </w:tabs>
            <w:rPr>
              <w:noProof/>
            </w:rPr>
          </w:pPr>
          <w:hyperlink w:anchor="_Toc228176363" w:history="1">
            <w:r w:rsidRPr="00A15264">
              <w:rPr>
                <w:rStyle w:val="Hyperlink"/>
                <w:noProof/>
              </w:rPr>
              <w:t>9.2  The data pipeline</w:t>
            </w:r>
            <w:r>
              <w:rPr>
                <w:noProof/>
              </w:rPr>
              <w:tab/>
            </w:r>
            <w:r>
              <w:rPr>
                <w:noProof/>
              </w:rPr>
              <w:fldChar w:fldCharType="begin"/>
            </w:r>
            <w:r>
              <w:rPr>
                <w:noProof/>
              </w:rPr>
              <w:instrText xml:space="preserve"> PAGEREF _Toc228176363 \h </w:instrText>
            </w:r>
            <w:r>
              <w:rPr>
                <w:noProof/>
              </w:rPr>
            </w:r>
            <w:r>
              <w:rPr>
                <w:noProof/>
              </w:rPr>
              <w:fldChar w:fldCharType="separate"/>
            </w:r>
            <w:r>
              <w:rPr>
                <w:noProof/>
              </w:rPr>
              <w:t>30</w:t>
            </w:r>
            <w:r>
              <w:rPr>
                <w:noProof/>
              </w:rPr>
              <w:fldChar w:fldCharType="end"/>
            </w:r>
          </w:hyperlink>
        </w:p>
        <w:p w14:paraId="3B0C174D" w14:textId="77777777" w:rsidR="002A1CAA" w:rsidRDefault="002A1CAA">
          <w:pPr>
            <w:pStyle w:val="TOC2"/>
            <w:tabs>
              <w:tab w:val="right" w:leader="dot" w:pos="9016"/>
            </w:tabs>
            <w:rPr>
              <w:noProof/>
            </w:rPr>
          </w:pPr>
          <w:hyperlink w:anchor="_Toc228176364" w:history="1">
            <w:r w:rsidRPr="00A15264">
              <w:rPr>
                <w:rStyle w:val="Hyperlink"/>
                <w:noProof/>
              </w:rPr>
              <w:t>9.3  Operator workflows</w:t>
            </w:r>
            <w:r>
              <w:rPr>
                <w:noProof/>
              </w:rPr>
              <w:tab/>
            </w:r>
            <w:r>
              <w:rPr>
                <w:noProof/>
              </w:rPr>
              <w:fldChar w:fldCharType="begin"/>
            </w:r>
            <w:r>
              <w:rPr>
                <w:noProof/>
              </w:rPr>
              <w:instrText xml:space="preserve"> PAGEREF _Toc228176364 \h </w:instrText>
            </w:r>
            <w:r>
              <w:rPr>
                <w:noProof/>
              </w:rPr>
            </w:r>
            <w:r>
              <w:rPr>
                <w:noProof/>
              </w:rPr>
              <w:fldChar w:fldCharType="separate"/>
            </w:r>
            <w:r>
              <w:rPr>
                <w:noProof/>
              </w:rPr>
              <w:t>31</w:t>
            </w:r>
            <w:r>
              <w:rPr>
                <w:noProof/>
              </w:rPr>
              <w:fldChar w:fldCharType="end"/>
            </w:r>
          </w:hyperlink>
        </w:p>
        <w:p w14:paraId="59E6C9FA" w14:textId="77777777" w:rsidR="002A1CAA" w:rsidRDefault="002A1CAA">
          <w:pPr>
            <w:pStyle w:val="TOC2"/>
            <w:tabs>
              <w:tab w:val="right" w:leader="dot" w:pos="9016"/>
            </w:tabs>
            <w:rPr>
              <w:noProof/>
            </w:rPr>
          </w:pPr>
          <w:hyperlink w:anchor="_Toc228176365" w:history="1">
            <w:r w:rsidRPr="00A15264">
              <w:rPr>
                <w:rStyle w:val="Hyperlink"/>
                <w:noProof/>
              </w:rPr>
              <w:t>9.4  Public-facing transparency surfaces</w:t>
            </w:r>
            <w:r>
              <w:rPr>
                <w:noProof/>
              </w:rPr>
              <w:tab/>
            </w:r>
            <w:r>
              <w:rPr>
                <w:noProof/>
              </w:rPr>
              <w:fldChar w:fldCharType="begin"/>
            </w:r>
            <w:r>
              <w:rPr>
                <w:noProof/>
              </w:rPr>
              <w:instrText xml:space="preserve"> PAGEREF _Toc228176365 \h </w:instrText>
            </w:r>
            <w:r>
              <w:rPr>
                <w:noProof/>
              </w:rPr>
            </w:r>
            <w:r>
              <w:rPr>
                <w:noProof/>
              </w:rPr>
              <w:fldChar w:fldCharType="separate"/>
            </w:r>
            <w:r>
              <w:rPr>
                <w:noProof/>
              </w:rPr>
              <w:t>31</w:t>
            </w:r>
            <w:r>
              <w:rPr>
                <w:noProof/>
              </w:rPr>
              <w:fldChar w:fldCharType="end"/>
            </w:r>
          </w:hyperlink>
        </w:p>
        <w:p w14:paraId="05DF4FF8" w14:textId="77777777" w:rsidR="002A1CAA" w:rsidRDefault="002A1CAA">
          <w:pPr>
            <w:pStyle w:val="TOC1"/>
            <w:tabs>
              <w:tab w:val="right" w:leader="dot" w:pos="9016"/>
            </w:tabs>
            <w:rPr>
              <w:noProof/>
            </w:rPr>
          </w:pPr>
          <w:hyperlink w:anchor="_Toc228176366" w:history="1">
            <w:r w:rsidRPr="00A15264">
              <w:rPr>
                <w:rStyle w:val="Hyperlink"/>
                <w:noProof/>
              </w:rPr>
              <w:t>10.  Data Compliance, Sovereignty and Regulatory Alignment</w:t>
            </w:r>
            <w:r>
              <w:rPr>
                <w:noProof/>
              </w:rPr>
              <w:tab/>
            </w:r>
            <w:r>
              <w:rPr>
                <w:noProof/>
              </w:rPr>
              <w:fldChar w:fldCharType="begin"/>
            </w:r>
            <w:r>
              <w:rPr>
                <w:noProof/>
              </w:rPr>
              <w:instrText xml:space="preserve"> PAGEREF _Toc228176366 \h </w:instrText>
            </w:r>
            <w:r>
              <w:rPr>
                <w:noProof/>
              </w:rPr>
            </w:r>
            <w:r>
              <w:rPr>
                <w:noProof/>
              </w:rPr>
              <w:fldChar w:fldCharType="separate"/>
            </w:r>
            <w:r>
              <w:rPr>
                <w:noProof/>
              </w:rPr>
              <w:t>32</w:t>
            </w:r>
            <w:r>
              <w:rPr>
                <w:noProof/>
              </w:rPr>
              <w:fldChar w:fldCharType="end"/>
            </w:r>
          </w:hyperlink>
        </w:p>
        <w:p w14:paraId="630B8FE5" w14:textId="77777777" w:rsidR="002A1CAA" w:rsidRDefault="002A1CAA">
          <w:pPr>
            <w:pStyle w:val="TOC2"/>
            <w:tabs>
              <w:tab w:val="right" w:leader="dot" w:pos="9016"/>
            </w:tabs>
            <w:rPr>
              <w:noProof/>
            </w:rPr>
          </w:pPr>
          <w:hyperlink w:anchor="_Toc228176367" w:history="1">
            <w:r w:rsidRPr="00A15264">
              <w:rPr>
                <w:rStyle w:val="Hyperlink"/>
                <w:noProof/>
              </w:rPr>
              <w:t>10.1  Data classification at the gateway</w:t>
            </w:r>
            <w:r>
              <w:rPr>
                <w:noProof/>
              </w:rPr>
              <w:tab/>
            </w:r>
            <w:r>
              <w:rPr>
                <w:noProof/>
              </w:rPr>
              <w:fldChar w:fldCharType="begin"/>
            </w:r>
            <w:r>
              <w:rPr>
                <w:noProof/>
              </w:rPr>
              <w:instrText xml:space="preserve"> PAGEREF _Toc228176367 \h </w:instrText>
            </w:r>
            <w:r>
              <w:rPr>
                <w:noProof/>
              </w:rPr>
            </w:r>
            <w:r>
              <w:rPr>
                <w:noProof/>
              </w:rPr>
              <w:fldChar w:fldCharType="separate"/>
            </w:r>
            <w:r>
              <w:rPr>
                <w:noProof/>
              </w:rPr>
              <w:t>32</w:t>
            </w:r>
            <w:r>
              <w:rPr>
                <w:noProof/>
              </w:rPr>
              <w:fldChar w:fldCharType="end"/>
            </w:r>
          </w:hyperlink>
        </w:p>
        <w:p w14:paraId="4D9C23E0" w14:textId="77777777" w:rsidR="002A1CAA" w:rsidRDefault="002A1CAA">
          <w:pPr>
            <w:pStyle w:val="TOC2"/>
            <w:tabs>
              <w:tab w:val="right" w:leader="dot" w:pos="9016"/>
            </w:tabs>
            <w:rPr>
              <w:noProof/>
            </w:rPr>
          </w:pPr>
          <w:hyperlink w:anchor="_Toc228176368" w:history="1">
            <w:r w:rsidRPr="00A15264">
              <w:rPr>
                <w:rStyle w:val="Hyperlink"/>
                <w:noProof/>
              </w:rPr>
              <w:t>10.2  Lawful basis and purpose limitation</w:t>
            </w:r>
            <w:r>
              <w:rPr>
                <w:noProof/>
              </w:rPr>
              <w:tab/>
            </w:r>
            <w:r>
              <w:rPr>
                <w:noProof/>
              </w:rPr>
              <w:fldChar w:fldCharType="begin"/>
            </w:r>
            <w:r>
              <w:rPr>
                <w:noProof/>
              </w:rPr>
              <w:instrText xml:space="preserve"> PAGEREF _Toc228176368 \h </w:instrText>
            </w:r>
            <w:r>
              <w:rPr>
                <w:noProof/>
              </w:rPr>
            </w:r>
            <w:r>
              <w:rPr>
                <w:noProof/>
              </w:rPr>
              <w:fldChar w:fldCharType="separate"/>
            </w:r>
            <w:r>
              <w:rPr>
                <w:noProof/>
              </w:rPr>
              <w:t>32</w:t>
            </w:r>
            <w:r>
              <w:rPr>
                <w:noProof/>
              </w:rPr>
              <w:fldChar w:fldCharType="end"/>
            </w:r>
          </w:hyperlink>
        </w:p>
        <w:p w14:paraId="7A19207D" w14:textId="77777777" w:rsidR="002A1CAA" w:rsidRDefault="002A1CAA">
          <w:pPr>
            <w:pStyle w:val="TOC2"/>
            <w:tabs>
              <w:tab w:val="right" w:leader="dot" w:pos="9016"/>
            </w:tabs>
            <w:rPr>
              <w:noProof/>
            </w:rPr>
          </w:pPr>
          <w:hyperlink w:anchor="_Toc228176369" w:history="1">
            <w:r w:rsidRPr="00A15264">
              <w:rPr>
                <w:rStyle w:val="Hyperlink"/>
                <w:noProof/>
              </w:rPr>
              <w:t>10.3  Data residency and sovereignty</w:t>
            </w:r>
            <w:r>
              <w:rPr>
                <w:noProof/>
              </w:rPr>
              <w:tab/>
            </w:r>
            <w:r>
              <w:rPr>
                <w:noProof/>
              </w:rPr>
              <w:fldChar w:fldCharType="begin"/>
            </w:r>
            <w:r>
              <w:rPr>
                <w:noProof/>
              </w:rPr>
              <w:instrText xml:space="preserve"> PAGEREF _Toc228176369 \h </w:instrText>
            </w:r>
            <w:r>
              <w:rPr>
                <w:noProof/>
              </w:rPr>
            </w:r>
            <w:r>
              <w:rPr>
                <w:noProof/>
              </w:rPr>
              <w:fldChar w:fldCharType="separate"/>
            </w:r>
            <w:r>
              <w:rPr>
                <w:noProof/>
              </w:rPr>
              <w:t>32</w:t>
            </w:r>
            <w:r>
              <w:rPr>
                <w:noProof/>
              </w:rPr>
              <w:fldChar w:fldCharType="end"/>
            </w:r>
          </w:hyperlink>
        </w:p>
        <w:p w14:paraId="31004CA1" w14:textId="77777777" w:rsidR="002A1CAA" w:rsidRDefault="002A1CAA">
          <w:pPr>
            <w:pStyle w:val="TOC2"/>
            <w:tabs>
              <w:tab w:val="right" w:leader="dot" w:pos="9016"/>
            </w:tabs>
            <w:rPr>
              <w:noProof/>
            </w:rPr>
          </w:pPr>
          <w:hyperlink w:anchor="_Toc228176370" w:history="1">
            <w:r w:rsidRPr="00A15264">
              <w:rPr>
                <w:rStyle w:val="Hyperlink"/>
                <w:noProof/>
              </w:rPr>
              <w:t>10.4  The retention–erasure paradox and crypto-shredding</w:t>
            </w:r>
            <w:r>
              <w:rPr>
                <w:noProof/>
              </w:rPr>
              <w:tab/>
            </w:r>
            <w:r>
              <w:rPr>
                <w:noProof/>
              </w:rPr>
              <w:fldChar w:fldCharType="begin"/>
            </w:r>
            <w:r>
              <w:rPr>
                <w:noProof/>
              </w:rPr>
              <w:instrText xml:space="preserve"> PAGEREF _Toc228176370 \h </w:instrText>
            </w:r>
            <w:r>
              <w:rPr>
                <w:noProof/>
              </w:rPr>
            </w:r>
            <w:r>
              <w:rPr>
                <w:noProof/>
              </w:rPr>
              <w:fldChar w:fldCharType="separate"/>
            </w:r>
            <w:r>
              <w:rPr>
                <w:noProof/>
              </w:rPr>
              <w:t>33</w:t>
            </w:r>
            <w:r>
              <w:rPr>
                <w:noProof/>
              </w:rPr>
              <w:fldChar w:fldCharType="end"/>
            </w:r>
          </w:hyperlink>
        </w:p>
        <w:p w14:paraId="738881A5" w14:textId="77777777" w:rsidR="002A1CAA" w:rsidRDefault="002A1CAA">
          <w:pPr>
            <w:pStyle w:val="TOC2"/>
            <w:tabs>
              <w:tab w:val="right" w:leader="dot" w:pos="9016"/>
            </w:tabs>
            <w:rPr>
              <w:noProof/>
            </w:rPr>
          </w:pPr>
          <w:hyperlink w:anchor="_Toc228176371" w:history="1">
            <w:r w:rsidRPr="00A15264">
              <w:rPr>
                <w:rStyle w:val="Hyperlink"/>
                <w:noProof/>
              </w:rPr>
              <w:t>10.5  EU AI Act alignment</w:t>
            </w:r>
            <w:r>
              <w:rPr>
                <w:noProof/>
              </w:rPr>
              <w:tab/>
            </w:r>
            <w:r>
              <w:rPr>
                <w:noProof/>
              </w:rPr>
              <w:fldChar w:fldCharType="begin"/>
            </w:r>
            <w:r>
              <w:rPr>
                <w:noProof/>
              </w:rPr>
              <w:instrText xml:space="preserve"> PAGEREF _Toc228176371 \h </w:instrText>
            </w:r>
            <w:r>
              <w:rPr>
                <w:noProof/>
              </w:rPr>
            </w:r>
            <w:r>
              <w:rPr>
                <w:noProof/>
              </w:rPr>
              <w:fldChar w:fldCharType="separate"/>
            </w:r>
            <w:r>
              <w:rPr>
                <w:noProof/>
              </w:rPr>
              <w:t>33</w:t>
            </w:r>
            <w:r>
              <w:rPr>
                <w:noProof/>
              </w:rPr>
              <w:fldChar w:fldCharType="end"/>
            </w:r>
          </w:hyperlink>
        </w:p>
        <w:p w14:paraId="56E289E1" w14:textId="77777777" w:rsidR="002A1CAA" w:rsidRDefault="002A1CAA">
          <w:pPr>
            <w:pStyle w:val="TOC2"/>
            <w:tabs>
              <w:tab w:val="right" w:leader="dot" w:pos="9016"/>
            </w:tabs>
            <w:rPr>
              <w:noProof/>
            </w:rPr>
          </w:pPr>
          <w:hyperlink w:anchor="_Toc228176372" w:history="1">
            <w:r w:rsidRPr="00A15264">
              <w:rPr>
                <w:rStyle w:val="Hyperlink"/>
                <w:noProof/>
              </w:rPr>
              <w:t>10.6  Sector overlays</w:t>
            </w:r>
            <w:r>
              <w:rPr>
                <w:noProof/>
              </w:rPr>
              <w:tab/>
            </w:r>
            <w:r>
              <w:rPr>
                <w:noProof/>
              </w:rPr>
              <w:fldChar w:fldCharType="begin"/>
            </w:r>
            <w:r>
              <w:rPr>
                <w:noProof/>
              </w:rPr>
              <w:instrText xml:space="preserve"> PAGEREF _Toc228176372 \h </w:instrText>
            </w:r>
            <w:r>
              <w:rPr>
                <w:noProof/>
              </w:rPr>
            </w:r>
            <w:r>
              <w:rPr>
                <w:noProof/>
              </w:rPr>
              <w:fldChar w:fldCharType="separate"/>
            </w:r>
            <w:r>
              <w:rPr>
                <w:noProof/>
              </w:rPr>
              <w:t>34</w:t>
            </w:r>
            <w:r>
              <w:rPr>
                <w:noProof/>
              </w:rPr>
              <w:fldChar w:fldCharType="end"/>
            </w:r>
          </w:hyperlink>
        </w:p>
        <w:p w14:paraId="4BD06F27" w14:textId="77777777" w:rsidR="002A1CAA" w:rsidRDefault="002A1CAA">
          <w:pPr>
            <w:pStyle w:val="TOC2"/>
            <w:tabs>
              <w:tab w:val="right" w:leader="dot" w:pos="9016"/>
            </w:tabs>
            <w:rPr>
              <w:noProof/>
            </w:rPr>
          </w:pPr>
          <w:hyperlink w:anchor="_Toc228176373" w:history="1">
            <w:r w:rsidRPr="00A15264">
              <w:rPr>
                <w:rStyle w:val="Hyperlink"/>
                <w:noProof/>
              </w:rPr>
              <w:t>10.7  DPIA and Algorithmic Impact Assessment per agent class</w:t>
            </w:r>
            <w:r>
              <w:rPr>
                <w:noProof/>
              </w:rPr>
              <w:tab/>
            </w:r>
            <w:r>
              <w:rPr>
                <w:noProof/>
              </w:rPr>
              <w:fldChar w:fldCharType="begin"/>
            </w:r>
            <w:r>
              <w:rPr>
                <w:noProof/>
              </w:rPr>
              <w:instrText xml:space="preserve"> PAGEREF _Toc228176373 \h </w:instrText>
            </w:r>
            <w:r>
              <w:rPr>
                <w:noProof/>
              </w:rPr>
            </w:r>
            <w:r>
              <w:rPr>
                <w:noProof/>
              </w:rPr>
              <w:fldChar w:fldCharType="separate"/>
            </w:r>
            <w:r>
              <w:rPr>
                <w:noProof/>
              </w:rPr>
              <w:t>34</w:t>
            </w:r>
            <w:r>
              <w:rPr>
                <w:noProof/>
              </w:rPr>
              <w:fldChar w:fldCharType="end"/>
            </w:r>
          </w:hyperlink>
        </w:p>
        <w:p w14:paraId="16451305" w14:textId="77777777" w:rsidR="002A1CAA" w:rsidRDefault="002A1CAA">
          <w:pPr>
            <w:pStyle w:val="TOC2"/>
            <w:tabs>
              <w:tab w:val="right" w:leader="dot" w:pos="9016"/>
            </w:tabs>
            <w:rPr>
              <w:noProof/>
            </w:rPr>
          </w:pPr>
          <w:hyperlink w:anchor="_Toc228176374" w:history="1">
            <w:r w:rsidRPr="00A15264">
              <w:rPr>
                <w:rStyle w:val="Hyperlink"/>
                <w:noProof/>
              </w:rPr>
              <w:t>10.8  Compliance as a product surface</w:t>
            </w:r>
            <w:r>
              <w:rPr>
                <w:noProof/>
              </w:rPr>
              <w:tab/>
            </w:r>
            <w:r>
              <w:rPr>
                <w:noProof/>
              </w:rPr>
              <w:fldChar w:fldCharType="begin"/>
            </w:r>
            <w:r>
              <w:rPr>
                <w:noProof/>
              </w:rPr>
              <w:instrText xml:space="preserve"> PAGEREF _Toc228176374 \h </w:instrText>
            </w:r>
            <w:r>
              <w:rPr>
                <w:noProof/>
              </w:rPr>
            </w:r>
            <w:r>
              <w:rPr>
                <w:noProof/>
              </w:rPr>
              <w:fldChar w:fldCharType="separate"/>
            </w:r>
            <w:r>
              <w:rPr>
                <w:noProof/>
              </w:rPr>
              <w:t>34</w:t>
            </w:r>
            <w:r>
              <w:rPr>
                <w:noProof/>
              </w:rPr>
              <w:fldChar w:fldCharType="end"/>
            </w:r>
          </w:hyperlink>
        </w:p>
        <w:p w14:paraId="72F77736" w14:textId="77777777" w:rsidR="002A1CAA" w:rsidRDefault="002A1CAA">
          <w:pPr>
            <w:pStyle w:val="TOC1"/>
            <w:tabs>
              <w:tab w:val="right" w:leader="dot" w:pos="9016"/>
            </w:tabs>
            <w:rPr>
              <w:noProof/>
            </w:rPr>
          </w:pPr>
          <w:hyperlink w:anchor="_Toc228176375" w:history="1">
            <w:r w:rsidRPr="00A15264">
              <w:rPr>
                <w:rStyle w:val="Hyperlink"/>
                <w:noProof/>
              </w:rPr>
              <w:t>11.  Risk, Ethics, Guardrails and Litigation Defence</w:t>
            </w:r>
            <w:r>
              <w:rPr>
                <w:noProof/>
              </w:rPr>
              <w:tab/>
            </w:r>
            <w:r>
              <w:rPr>
                <w:noProof/>
              </w:rPr>
              <w:fldChar w:fldCharType="begin"/>
            </w:r>
            <w:r>
              <w:rPr>
                <w:noProof/>
              </w:rPr>
              <w:instrText xml:space="preserve"> PAGEREF _Toc228176375 \h </w:instrText>
            </w:r>
            <w:r>
              <w:rPr>
                <w:noProof/>
              </w:rPr>
            </w:r>
            <w:r>
              <w:rPr>
                <w:noProof/>
              </w:rPr>
              <w:fldChar w:fldCharType="separate"/>
            </w:r>
            <w:r>
              <w:rPr>
                <w:noProof/>
              </w:rPr>
              <w:t>36</w:t>
            </w:r>
            <w:r>
              <w:rPr>
                <w:noProof/>
              </w:rPr>
              <w:fldChar w:fldCharType="end"/>
            </w:r>
          </w:hyperlink>
        </w:p>
        <w:p w14:paraId="1AA54F00" w14:textId="77777777" w:rsidR="002A1CAA" w:rsidRDefault="002A1CAA">
          <w:pPr>
            <w:pStyle w:val="TOC2"/>
            <w:tabs>
              <w:tab w:val="right" w:leader="dot" w:pos="9016"/>
            </w:tabs>
            <w:rPr>
              <w:noProof/>
            </w:rPr>
          </w:pPr>
          <w:hyperlink w:anchor="_Toc228176376" w:history="1">
            <w:r w:rsidRPr="00A15264">
              <w:rPr>
                <w:rStyle w:val="Hyperlink"/>
                <w:noProof/>
              </w:rPr>
              <w:t>11.1  Risk taxonomy</w:t>
            </w:r>
            <w:r>
              <w:rPr>
                <w:noProof/>
              </w:rPr>
              <w:tab/>
            </w:r>
            <w:r>
              <w:rPr>
                <w:noProof/>
              </w:rPr>
              <w:fldChar w:fldCharType="begin"/>
            </w:r>
            <w:r>
              <w:rPr>
                <w:noProof/>
              </w:rPr>
              <w:instrText xml:space="preserve"> PAGEREF _Toc228176376 \h </w:instrText>
            </w:r>
            <w:r>
              <w:rPr>
                <w:noProof/>
              </w:rPr>
            </w:r>
            <w:r>
              <w:rPr>
                <w:noProof/>
              </w:rPr>
              <w:fldChar w:fldCharType="separate"/>
            </w:r>
            <w:r>
              <w:rPr>
                <w:noProof/>
              </w:rPr>
              <w:t>36</w:t>
            </w:r>
            <w:r>
              <w:rPr>
                <w:noProof/>
              </w:rPr>
              <w:fldChar w:fldCharType="end"/>
            </w:r>
          </w:hyperlink>
        </w:p>
        <w:p w14:paraId="52D47A8E" w14:textId="67289525" w:rsidR="002A1CAA" w:rsidRDefault="002A1CAA">
          <w:pPr>
            <w:pStyle w:val="TOC2"/>
            <w:tabs>
              <w:tab w:val="right" w:leader="dot" w:pos="9016"/>
            </w:tabs>
            <w:rPr>
              <w:noProof/>
            </w:rPr>
          </w:pPr>
          <w:hyperlink w:anchor="_Toc228176377" w:history="1">
            <w:r w:rsidRPr="00A15264">
              <w:rPr>
                <w:rStyle w:val="Hyperlink"/>
                <w:noProof/>
              </w:rPr>
              <w:t>11.2  Defence in depth</w:t>
            </w:r>
            <w:r>
              <w:rPr>
                <w:rStyle w:val="Hyperlink"/>
                <w:noProof/>
              </w:rPr>
              <w:t>,</w:t>
            </w:r>
            <w:r w:rsidRPr="00A15264">
              <w:rPr>
                <w:rStyle w:val="Hyperlink"/>
                <w:noProof/>
              </w:rPr>
              <w:t xml:space="preserve"> six layers of guardrail</w:t>
            </w:r>
            <w:r>
              <w:rPr>
                <w:noProof/>
              </w:rPr>
              <w:tab/>
            </w:r>
            <w:r>
              <w:rPr>
                <w:noProof/>
              </w:rPr>
              <w:fldChar w:fldCharType="begin"/>
            </w:r>
            <w:r>
              <w:rPr>
                <w:noProof/>
              </w:rPr>
              <w:instrText xml:space="preserve"> PAGEREF _Toc228176377 \h </w:instrText>
            </w:r>
            <w:r>
              <w:rPr>
                <w:noProof/>
              </w:rPr>
            </w:r>
            <w:r>
              <w:rPr>
                <w:noProof/>
              </w:rPr>
              <w:fldChar w:fldCharType="separate"/>
            </w:r>
            <w:r>
              <w:rPr>
                <w:noProof/>
              </w:rPr>
              <w:t>36</w:t>
            </w:r>
            <w:r>
              <w:rPr>
                <w:noProof/>
              </w:rPr>
              <w:fldChar w:fldCharType="end"/>
            </w:r>
          </w:hyperlink>
        </w:p>
        <w:p w14:paraId="3C6E8555" w14:textId="4EE6C432" w:rsidR="002A1CAA" w:rsidRDefault="002A1CAA">
          <w:pPr>
            <w:pStyle w:val="TOC2"/>
            <w:tabs>
              <w:tab w:val="right" w:leader="dot" w:pos="9016"/>
            </w:tabs>
            <w:rPr>
              <w:noProof/>
            </w:rPr>
          </w:pPr>
          <w:hyperlink w:anchor="_Toc228176378" w:history="1">
            <w:r w:rsidRPr="00A15264">
              <w:rPr>
                <w:rStyle w:val="Hyperlink"/>
                <w:noProof/>
              </w:rPr>
              <w:t>11.3  Rulebooks</w:t>
            </w:r>
            <w:r>
              <w:rPr>
                <w:rStyle w:val="Hyperlink"/>
                <w:noProof/>
              </w:rPr>
              <w:t>,</w:t>
            </w:r>
            <w:r w:rsidRPr="00A15264">
              <w:rPr>
                <w:rStyle w:val="Hyperlink"/>
                <w:noProof/>
              </w:rPr>
              <w:t xml:space="preserve"> codified, versioned, attestable</w:t>
            </w:r>
            <w:r>
              <w:rPr>
                <w:noProof/>
              </w:rPr>
              <w:tab/>
            </w:r>
            <w:r>
              <w:rPr>
                <w:noProof/>
              </w:rPr>
              <w:fldChar w:fldCharType="begin"/>
            </w:r>
            <w:r>
              <w:rPr>
                <w:noProof/>
              </w:rPr>
              <w:instrText xml:space="preserve"> PAGEREF _Toc228176378 \h </w:instrText>
            </w:r>
            <w:r>
              <w:rPr>
                <w:noProof/>
              </w:rPr>
            </w:r>
            <w:r>
              <w:rPr>
                <w:noProof/>
              </w:rPr>
              <w:fldChar w:fldCharType="separate"/>
            </w:r>
            <w:r>
              <w:rPr>
                <w:noProof/>
              </w:rPr>
              <w:t>37</w:t>
            </w:r>
            <w:r>
              <w:rPr>
                <w:noProof/>
              </w:rPr>
              <w:fldChar w:fldCharType="end"/>
            </w:r>
          </w:hyperlink>
        </w:p>
        <w:p w14:paraId="76FDEF5C" w14:textId="02D54604" w:rsidR="002A1CAA" w:rsidRDefault="002A1CAA">
          <w:pPr>
            <w:pStyle w:val="TOC2"/>
            <w:tabs>
              <w:tab w:val="right" w:leader="dot" w:pos="9016"/>
            </w:tabs>
            <w:rPr>
              <w:noProof/>
            </w:rPr>
          </w:pPr>
          <w:hyperlink w:anchor="_Toc228176379" w:history="1">
            <w:r w:rsidRPr="00A15264">
              <w:rPr>
                <w:rStyle w:val="Hyperlink"/>
                <w:noProof/>
              </w:rPr>
              <w:t>11.4  Ethics governance</w:t>
            </w:r>
            <w:r>
              <w:rPr>
                <w:rStyle w:val="Hyperlink"/>
                <w:noProof/>
              </w:rPr>
              <w:t>,</w:t>
            </w:r>
            <w:r w:rsidRPr="00A15264">
              <w:rPr>
                <w:rStyle w:val="Hyperlink"/>
                <w:noProof/>
              </w:rPr>
              <w:t xml:space="preserve"> three tiers</w:t>
            </w:r>
            <w:r>
              <w:rPr>
                <w:noProof/>
              </w:rPr>
              <w:tab/>
            </w:r>
            <w:r>
              <w:rPr>
                <w:noProof/>
              </w:rPr>
              <w:fldChar w:fldCharType="begin"/>
            </w:r>
            <w:r>
              <w:rPr>
                <w:noProof/>
              </w:rPr>
              <w:instrText xml:space="preserve"> PAGEREF _Toc228176379 \h </w:instrText>
            </w:r>
            <w:r>
              <w:rPr>
                <w:noProof/>
              </w:rPr>
            </w:r>
            <w:r>
              <w:rPr>
                <w:noProof/>
              </w:rPr>
              <w:fldChar w:fldCharType="separate"/>
            </w:r>
            <w:r>
              <w:rPr>
                <w:noProof/>
              </w:rPr>
              <w:t>38</w:t>
            </w:r>
            <w:r>
              <w:rPr>
                <w:noProof/>
              </w:rPr>
              <w:fldChar w:fldCharType="end"/>
            </w:r>
          </w:hyperlink>
        </w:p>
        <w:p w14:paraId="06D48254" w14:textId="77777777" w:rsidR="002A1CAA" w:rsidRDefault="002A1CAA">
          <w:pPr>
            <w:pStyle w:val="TOC2"/>
            <w:tabs>
              <w:tab w:val="right" w:leader="dot" w:pos="9016"/>
            </w:tabs>
            <w:rPr>
              <w:noProof/>
            </w:rPr>
          </w:pPr>
          <w:hyperlink w:anchor="_Toc228176380" w:history="1">
            <w:r w:rsidRPr="00A15264">
              <w:rPr>
                <w:rStyle w:val="Hyperlink"/>
                <w:noProof/>
              </w:rPr>
              <w:t>11.5  Behavioural defence in litigation</w:t>
            </w:r>
            <w:r>
              <w:rPr>
                <w:noProof/>
              </w:rPr>
              <w:tab/>
            </w:r>
            <w:r>
              <w:rPr>
                <w:noProof/>
              </w:rPr>
              <w:fldChar w:fldCharType="begin"/>
            </w:r>
            <w:r>
              <w:rPr>
                <w:noProof/>
              </w:rPr>
              <w:instrText xml:space="preserve"> PAGEREF _Toc228176380 \h </w:instrText>
            </w:r>
            <w:r>
              <w:rPr>
                <w:noProof/>
              </w:rPr>
            </w:r>
            <w:r>
              <w:rPr>
                <w:noProof/>
              </w:rPr>
              <w:fldChar w:fldCharType="separate"/>
            </w:r>
            <w:r>
              <w:rPr>
                <w:noProof/>
              </w:rPr>
              <w:t>38</w:t>
            </w:r>
            <w:r>
              <w:rPr>
                <w:noProof/>
              </w:rPr>
              <w:fldChar w:fldCharType="end"/>
            </w:r>
          </w:hyperlink>
        </w:p>
        <w:p w14:paraId="21988531" w14:textId="77777777" w:rsidR="002A1CAA" w:rsidRDefault="002A1CAA">
          <w:pPr>
            <w:pStyle w:val="TOC2"/>
            <w:tabs>
              <w:tab w:val="right" w:leader="dot" w:pos="9016"/>
            </w:tabs>
            <w:rPr>
              <w:noProof/>
            </w:rPr>
          </w:pPr>
          <w:hyperlink w:anchor="_Toc228176381" w:history="1">
            <w:r w:rsidRPr="00A15264">
              <w:rPr>
                <w:rStyle w:val="Hyperlink"/>
                <w:noProof/>
              </w:rPr>
              <w:t>11.6  Continuous red-teaming</w:t>
            </w:r>
            <w:r>
              <w:rPr>
                <w:noProof/>
              </w:rPr>
              <w:tab/>
            </w:r>
            <w:r>
              <w:rPr>
                <w:noProof/>
              </w:rPr>
              <w:fldChar w:fldCharType="begin"/>
            </w:r>
            <w:r>
              <w:rPr>
                <w:noProof/>
              </w:rPr>
              <w:instrText xml:space="preserve"> PAGEREF _Toc228176381 \h </w:instrText>
            </w:r>
            <w:r>
              <w:rPr>
                <w:noProof/>
              </w:rPr>
            </w:r>
            <w:r>
              <w:rPr>
                <w:noProof/>
              </w:rPr>
              <w:fldChar w:fldCharType="separate"/>
            </w:r>
            <w:r>
              <w:rPr>
                <w:noProof/>
              </w:rPr>
              <w:t>39</w:t>
            </w:r>
            <w:r>
              <w:rPr>
                <w:noProof/>
              </w:rPr>
              <w:fldChar w:fldCharType="end"/>
            </w:r>
          </w:hyperlink>
        </w:p>
        <w:p w14:paraId="733A76E0" w14:textId="77777777" w:rsidR="002A1CAA" w:rsidRDefault="002A1CAA">
          <w:pPr>
            <w:pStyle w:val="TOC2"/>
            <w:tabs>
              <w:tab w:val="right" w:leader="dot" w:pos="9016"/>
            </w:tabs>
            <w:rPr>
              <w:noProof/>
            </w:rPr>
          </w:pPr>
          <w:hyperlink w:anchor="_Toc228176382" w:history="1">
            <w:r w:rsidRPr="00A15264">
              <w:rPr>
                <w:rStyle w:val="Hyperlink"/>
                <w:noProof/>
              </w:rPr>
              <w:t>11.7  Liability allocation</w:t>
            </w:r>
            <w:r>
              <w:rPr>
                <w:noProof/>
              </w:rPr>
              <w:tab/>
            </w:r>
            <w:r>
              <w:rPr>
                <w:noProof/>
              </w:rPr>
              <w:fldChar w:fldCharType="begin"/>
            </w:r>
            <w:r>
              <w:rPr>
                <w:noProof/>
              </w:rPr>
              <w:instrText xml:space="preserve"> PAGEREF _Toc228176382 \h </w:instrText>
            </w:r>
            <w:r>
              <w:rPr>
                <w:noProof/>
              </w:rPr>
            </w:r>
            <w:r>
              <w:rPr>
                <w:noProof/>
              </w:rPr>
              <w:fldChar w:fldCharType="separate"/>
            </w:r>
            <w:r>
              <w:rPr>
                <w:noProof/>
              </w:rPr>
              <w:t>39</w:t>
            </w:r>
            <w:r>
              <w:rPr>
                <w:noProof/>
              </w:rPr>
              <w:fldChar w:fldCharType="end"/>
            </w:r>
          </w:hyperlink>
        </w:p>
        <w:p w14:paraId="24EF538E" w14:textId="77777777" w:rsidR="002A1CAA" w:rsidRDefault="002A1CAA">
          <w:pPr>
            <w:pStyle w:val="TOC2"/>
            <w:tabs>
              <w:tab w:val="right" w:leader="dot" w:pos="9016"/>
            </w:tabs>
            <w:rPr>
              <w:noProof/>
            </w:rPr>
          </w:pPr>
          <w:hyperlink w:anchor="_Toc228176383" w:history="1">
            <w:r w:rsidRPr="00A15264">
              <w:rPr>
                <w:rStyle w:val="Hyperlink"/>
                <w:noProof/>
              </w:rPr>
              <w:t>11.8  Insurance and risk transfer</w:t>
            </w:r>
            <w:r>
              <w:rPr>
                <w:noProof/>
              </w:rPr>
              <w:tab/>
            </w:r>
            <w:r>
              <w:rPr>
                <w:noProof/>
              </w:rPr>
              <w:fldChar w:fldCharType="begin"/>
            </w:r>
            <w:r>
              <w:rPr>
                <w:noProof/>
              </w:rPr>
              <w:instrText xml:space="preserve"> PAGEREF _Toc228176383 \h </w:instrText>
            </w:r>
            <w:r>
              <w:rPr>
                <w:noProof/>
              </w:rPr>
            </w:r>
            <w:r>
              <w:rPr>
                <w:noProof/>
              </w:rPr>
              <w:fldChar w:fldCharType="separate"/>
            </w:r>
            <w:r>
              <w:rPr>
                <w:noProof/>
              </w:rPr>
              <w:t>40</w:t>
            </w:r>
            <w:r>
              <w:rPr>
                <w:noProof/>
              </w:rPr>
              <w:fldChar w:fldCharType="end"/>
            </w:r>
          </w:hyperlink>
        </w:p>
        <w:p w14:paraId="0C6542E2" w14:textId="77777777" w:rsidR="002A1CAA" w:rsidRDefault="002A1CAA">
          <w:pPr>
            <w:pStyle w:val="TOC2"/>
            <w:tabs>
              <w:tab w:val="right" w:leader="dot" w:pos="9016"/>
            </w:tabs>
            <w:rPr>
              <w:noProof/>
            </w:rPr>
          </w:pPr>
          <w:hyperlink w:anchor="_Toc228176384" w:history="1">
            <w:r w:rsidRPr="00A15264">
              <w:rPr>
                <w:rStyle w:val="Hyperlink"/>
                <w:noProof/>
              </w:rPr>
              <w:t>11.9  Incident response and forensics</w:t>
            </w:r>
            <w:r>
              <w:rPr>
                <w:noProof/>
              </w:rPr>
              <w:tab/>
            </w:r>
            <w:r>
              <w:rPr>
                <w:noProof/>
              </w:rPr>
              <w:fldChar w:fldCharType="begin"/>
            </w:r>
            <w:r>
              <w:rPr>
                <w:noProof/>
              </w:rPr>
              <w:instrText xml:space="preserve"> PAGEREF _Toc228176384 \h </w:instrText>
            </w:r>
            <w:r>
              <w:rPr>
                <w:noProof/>
              </w:rPr>
            </w:r>
            <w:r>
              <w:rPr>
                <w:noProof/>
              </w:rPr>
              <w:fldChar w:fldCharType="separate"/>
            </w:r>
            <w:r>
              <w:rPr>
                <w:noProof/>
              </w:rPr>
              <w:t>40</w:t>
            </w:r>
            <w:r>
              <w:rPr>
                <w:noProof/>
              </w:rPr>
              <w:fldChar w:fldCharType="end"/>
            </w:r>
          </w:hyperlink>
        </w:p>
        <w:p w14:paraId="23C398D7" w14:textId="4FF93370" w:rsidR="002A1CAA" w:rsidRDefault="002A1CAA">
          <w:pPr>
            <w:pStyle w:val="TOC2"/>
            <w:tabs>
              <w:tab w:val="right" w:leader="dot" w:pos="9016"/>
            </w:tabs>
            <w:rPr>
              <w:noProof/>
            </w:rPr>
          </w:pPr>
          <w:hyperlink w:anchor="_Toc228176385" w:history="1">
            <w:r w:rsidRPr="00A15264">
              <w:rPr>
                <w:rStyle w:val="Hyperlink"/>
                <w:noProof/>
              </w:rPr>
              <w:t>11.10  Practicalities and realities</w:t>
            </w:r>
            <w:r>
              <w:rPr>
                <w:rStyle w:val="Hyperlink"/>
                <w:noProof/>
              </w:rPr>
              <w:t>,</w:t>
            </w:r>
            <w:r w:rsidRPr="00A15264">
              <w:rPr>
                <w:rStyle w:val="Hyperlink"/>
                <w:noProof/>
              </w:rPr>
              <w:t xml:space="preserve"> the maturity ladder</w:t>
            </w:r>
            <w:r>
              <w:rPr>
                <w:noProof/>
              </w:rPr>
              <w:tab/>
            </w:r>
            <w:r>
              <w:rPr>
                <w:noProof/>
              </w:rPr>
              <w:fldChar w:fldCharType="begin"/>
            </w:r>
            <w:r>
              <w:rPr>
                <w:noProof/>
              </w:rPr>
              <w:instrText xml:space="preserve"> PAGEREF _Toc228176385 \h </w:instrText>
            </w:r>
            <w:r>
              <w:rPr>
                <w:noProof/>
              </w:rPr>
            </w:r>
            <w:r>
              <w:rPr>
                <w:noProof/>
              </w:rPr>
              <w:fldChar w:fldCharType="separate"/>
            </w:r>
            <w:r>
              <w:rPr>
                <w:noProof/>
              </w:rPr>
              <w:t>40</w:t>
            </w:r>
            <w:r>
              <w:rPr>
                <w:noProof/>
              </w:rPr>
              <w:fldChar w:fldCharType="end"/>
            </w:r>
          </w:hyperlink>
        </w:p>
        <w:p w14:paraId="21CB478D" w14:textId="77777777" w:rsidR="002A1CAA" w:rsidRDefault="002A1CAA">
          <w:pPr>
            <w:pStyle w:val="TOC1"/>
            <w:tabs>
              <w:tab w:val="right" w:leader="dot" w:pos="9016"/>
            </w:tabs>
            <w:rPr>
              <w:noProof/>
            </w:rPr>
          </w:pPr>
          <w:hyperlink w:anchor="_Toc228176386" w:history="1">
            <w:r w:rsidRPr="00A15264">
              <w:rPr>
                <w:rStyle w:val="Hyperlink"/>
                <w:noProof/>
              </w:rPr>
              <w:t>12.  Multi-tenancy, Federation and Cross-Organisation Agent-to-Agent Operation</w:t>
            </w:r>
            <w:r>
              <w:rPr>
                <w:noProof/>
              </w:rPr>
              <w:tab/>
            </w:r>
            <w:r>
              <w:rPr>
                <w:noProof/>
              </w:rPr>
              <w:fldChar w:fldCharType="begin"/>
            </w:r>
            <w:r>
              <w:rPr>
                <w:noProof/>
              </w:rPr>
              <w:instrText xml:space="preserve"> PAGEREF _Toc228176386 \h </w:instrText>
            </w:r>
            <w:r>
              <w:rPr>
                <w:noProof/>
              </w:rPr>
            </w:r>
            <w:r>
              <w:rPr>
                <w:noProof/>
              </w:rPr>
              <w:fldChar w:fldCharType="separate"/>
            </w:r>
            <w:r>
              <w:rPr>
                <w:noProof/>
              </w:rPr>
              <w:t>43</w:t>
            </w:r>
            <w:r>
              <w:rPr>
                <w:noProof/>
              </w:rPr>
              <w:fldChar w:fldCharType="end"/>
            </w:r>
          </w:hyperlink>
        </w:p>
        <w:p w14:paraId="0E849EBA" w14:textId="77777777" w:rsidR="002A1CAA" w:rsidRDefault="002A1CAA">
          <w:pPr>
            <w:pStyle w:val="TOC2"/>
            <w:tabs>
              <w:tab w:val="right" w:leader="dot" w:pos="9016"/>
            </w:tabs>
            <w:rPr>
              <w:noProof/>
            </w:rPr>
          </w:pPr>
          <w:hyperlink w:anchor="_Toc228176387" w:history="1">
            <w:r w:rsidRPr="00A15264">
              <w:rPr>
                <w:rStyle w:val="Hyperlink"/>
                <w:noProof/>
              </w:rPr>
              <w:t>12.1  Multi-tenancy as a cross-cutting concern</w:t>
            </w:r>
            <w:r>
              <w:rPr>
                <w:noProof/>
              </w:rPr>
              <w:tab/>
            </w:r>
            <w:r>
              <w:rPr>
                <w:noProof/>
              </w:rPr>
              <w:fldChar w:fldCharType="begin"/>
            </w:r>
            <w:r>
              <w:rPr>
                <w:noProof/>
              </w:rPr>
              <w:instrText xml:space="preserve"> PAGEREF _Toc228176387 \h </w:instrText>
            </w:r>
            <w:r>
              <w:rPr>
                <w:noProof/>
              </w:rPr>
            </w:r>
            <w:r>
              <w:rPr>
                <w:noProof/>
              </w:rPr>
              <w:fldChar w:fldCharType="separate"/>
            </w:r>
            <w:r>
              <w:rPr>
                <w:noProof/>
              </w:rPr>
              <w:t>43</w:t>
            </w:r>
            <w:r>
              <w:rPr>
                <w:noProof/>
              </w:rPr>
              <w:fldChar w:fldCharType="end"/>
            </w:r>
          </w:hyperlink>
        </w:p>
        <w:p w14:paraId="10CA0962" w14:textId="77777777" w:rsidR="002A1CAA" w:rsidRDefault="002A1CAA">
          <w:pPr>
            <w:pStyle w:val="TOC2"/>
            <w:tabs>
              <w:tab w:val="right" w:leader="dot" w:pos="9016"/>
            </w:tabs>
            <w:rPr>
              <w:noProof/>
            </w:rPr>
          </w:pPr>
          <w:hyperlink w:anchor="_Toc228176388" w:history="1">
            <w:r w:rsidRPr="00A15264">
              <w:rPr>
                <w:rStyle w:val="Hyperlink"/>
                <w:noProof/>
              </w:rPr>
              <w:t>12.2  Federation between trust roots</w:t>
            </w:r>
            <w:r>
              <w:rPr>
                <w:noProof/>
              </w:rPr>
              <w:tab/>
            </w:r>
            <w:r>
              <w:rPr>
                <w:noProof/>
              </w:rPr>
              <w:fldChar w:fldCharType="begin"/>
            </w:r>
            <w:r>
              <w:rPr>
                <w:noProof/>
              </w:rPr>
              <w:instrText xml:space="preserve"> PAGEREF _Toc228176388 \h </w:instrText>
            </w:r>
            <w:r>
              <w:rPr>
                <w:noProof/>
              </w:rPr>
            </w:r>
            <w:r>
              <w:rPr>
                <w:noProof/>
              </w:rPr>
              <w:fldChar w:fldCharType="separate"/>
            </w:r>
            <w:r>
              <w:rPr>
                <w:noProof/>
              </w:rPr>
              <w:t>43</w:t>
            </w:r>
            <w:r>
              <w:rPr>
                <w:noProof/>
              </w:rPr>
              <w:fldChar w:fldCharType="end"/>
            </w:r>
          </w:hyperlink>
        </w:p>
        <w:p w14:paraId="31D6B6D7" w14:textId="77777777" w:rsidR="002A1CAA" w:rsidRDefault="002A1CAA">
          <w:pPr>
            <w:pStyle w:val="TOC2"/>
            <w:tabs>
              <w:tab w:val="right" w:leader="dot" w:pos="9016"/>
            </w:tabs>
            <w:rPr>
              <w:noProof/>
            </w:rPr>
          </w:pPr>
          <w:hyperlink w:anchor="_Toc228176389" w:history="1">
            <w:r w:rsidRPr="00A15264">
              <w:rPr>
                <w:rStyle w:val="Hyperlink"/>
                <w:noProof/>
              </w:rPr>
              <w:t>12.3  Agent-to-Agent protocols</w:t>
            </w:r>
            <w:r>
              <w:rPr>
                <w:noProof/>
              </w:rPr>
              <w:tab/>
            </w:r>
            <w:r>
              <w:rPr>
                <w:noProof/>
              </w:rPr>
              <w:fldChar w:fldCharType="begin"/>
            </w:r>
            <w:r>
              <w:rPr>
                <w:noProof/>
              </w:rPr>
              <w:instrText xml:space="preserve"> PAGEREF _Toc228176389 \h </w:instrText>
            </w:r>
            <w:r>
              <w:rPr>
                <w:noProof/>
              </w:rPr>
            </w:r>
            <w:r>
              <w:rPr>
                <w:noProof/>
              </w:rPr>
              <w:fldChar w:fldCharType="separate"/>
            </w:r>
            <w:r>
              <w:rPr>
                <w:noProof/>
              </w:rPr>
              <w:t>44</w:t>
            </w:r>
            <w:r>
              <w:rPr>
                <w:noProof/>
              </w:rPr>
              <w:fldChar w:fldCharType="end"/>
            </w:r>
          </w:hyperlink>
        </w:p>
        <w:p w14:paraId="15311F77" w14:textId="77777777" w:rsidR="002A1CAA" w:rsidRDefault="002A1CAA">
          <w:pPr>
            <w:pStyle w:val="TOC2"/>
            <w:tabs>
              <w:tab w:val="right" w:leader="dot" w:pos="9016"/>
            </w:tabs>
            <w:rPr>
              <w:noProof/>
            </w:rPr>
          </w:pPr>
          <w:hyperlink w:anchor="_Toc228176390" w:history="1">
            <w:r w:rsidRPr="00A15264">
              <w:rPr>
                <w:rStyle w:val="Hyperlink"/>
                <w:noProof/>
              </w:rPr>
              <w:t>12.4  Cross-organisation policy enforcement plane peering</w:t>
            </w:r>
            <w:r>
              <w:rPr>
                <w:noProof/>
              </w:rPr>
              <w:tab/>
            </w:r>
            <w:r>
              <w:rPr>
                <w:noProof/>
              </w:rPr>
              <w:fldChar w:fldCharType="begin"/>
            </w:r>
            <w:r>
              <w:rPr>
                <w:noProof/>
              </w:rPr>
              <w:instrText xml:space="preserve"> PAGEREF _Toc228176390 \h </w:instrText>
            </w:r>
            <w:r>
              <w:rPr>
                <w:noProof/>
              </w:rPr>
            </w:r>
            <w:r>
              <w:rPr>
                <w:noProof/>
              </w:rPr>
              <w:fldChar w:fldCharType="separate"/>
            </w:r>
            <w:r>
              <w:rPr>
                <w:noProof/>
              </w:rPr>
              <w:t>45</w:t>
            </w:r>
            <w:r>
              <w:rPr>
                <w:noProof/>
              </w:rPr>
              <w:fldChar w:fldCharType="end"/>
            </w:r>
          </w:hyperlink>
        </w:p>
        <w:p w14:paraId="1890C50A" w14:textId="77777777" w:rsidR="002A1CAA" w:rsidRDefault="002A1CAA">
          <w:pPr>
            <w:pStyle w:val="TOC2"/>
            <w:tabs>
              <w:tab w:val="right" w:leader="dot" w:pos="9016"/>
            </w:tabs>
            <w:rPr>
              <w:noProof/>
            </w:rPr>
          </w:pPr>
          <w:hyperlink w:anchor="_Toc228176391" w:history="1">
            <w:r w:rsidRPr="00A15264">
              <w:rPr>
                <w:rStyle w:val="Hyperlink"/>
                <w:noProof/>
              </w:rPr>
              <w:t>12.5  Standards and conformance map</w:t>
            </w:r>
            <w:r>
              <w:rPr>
                <w:noProof/>
              </w:rPr>
              <w:tab/>
            </w:r>
            <w:r>
              <w:rPr>
                <w:noProof/>
              </w:rPr>
              <w:fldChar w:fldCharType="begin"/>
            </w:r>
            <w:r>
              <w:rPr>
                <w:noProof/>
              </w:rPr>
              <w:instrText xml:space="preserve"> PAGEREF _Toc228176391 \h </w:instrText>
            </w:r>
            <w:r>
              <w:rPr>
                <w:noProof/>
              </w:rPr>
            </w:r>
            <w:r>
              <w:rPr>
                <w:noProof/>
              </w:rPr>
              <w:fldChar w:fldCharType="separate"/>
            </w:r>
            <w:r>
              <w:rPr>
                <w:noProof/>
              </w:rPr>
              <w:t>45</w:t>
            </w:r>
            <w:r>
              <w:rPr>
                <w:noProof/>
              </w:rPr>
              <w:fldChar w:fldCharType="end"/>
            </w:r>
          </w:hyperlink>
        </w:p>
        <w:p w14:paraId="04E3DBF1" w14:textId="77777777" w:rsidR="002A1CAA" w:rsidRDefault="002A1CAA">
          <w:pPr>
            <w:pStyle w:val="TOC1"/>
            <w:tabs>
              <w:tab w:val="right" w:leader="dot" w:pos="9016"/>
            </w:tabs>
            <w:rPr>
              <w:noProof/>
            </w:rPr>
          </w:pPr>
          <w:hyperlink w:anchor="_Toc228176392" w:history="1">
            <w:r w:rsidRPr="00A15264">
              <w:rPr>
                <w:rStyle w:val="Hyperlink"/>
                <w:noProof/>
              </w:rPr>
              <w:t>13.  Reference Architecture, Developer Experience and Golden Paths</w:t>
            </w:r>
            <w:r>
              <w:rPr>
                <w:noProof/>
              </w:rPr>
              <w:tab/>
            </w:r>
            <w:r>
              <w:rPr>
                <w:noProof/>
              </w:rPr>
              <w:fldChar w:fldCharType="begin"/>
            </w:r>
            <w:r>
              <w:rPr>
                <w:noProof/>
              </w:rPr>
              <w:instrText xml:space="preserve"> PAGEREF _Toc228176392 \h </w:instrText>
            </w:r>
            <w:r>
              <w:rPr>
                <w:noProof/>
              </w:rPr>
            </w:r>
            <w:r>
              <w:rPr>
                <w:noProof/>
              </w:rPr>
              <w:fldChar w:fldCharType="separate"/>
            </w:r>
            <w:r>
              <w:rPr>
                <w:noProof/>
              </w:rPr>
              <w:t>47</w:t>
            </w:r>
            <w:r>
              <w:rPr>
                <w:noProof/>
              </w:rPr>
              <w:fldChar w:fldCharType="end"/>
            </w:r>
          </w:hyperlink>
        </w:p>
        <w:p w14:paraId="34794EB8" w14:textId="77777777" w:rsidR="002A1CAA" w:rsidRDefault="002A1CAA">
          <w:pPr>
            <w:pStyle w:val="TOC2"/>
            <w:tabs>
              <w:tab w:val="right" w:leader="dot" w:pos="9016"/>
            </w:tabs>
            <w:rPr>
              <w:noProof/>
            </w:rPr>
          </w:pPr>
          <w:hyperlink w:anchor="_Toc228176393" w:history="1">
            <w:r w:rsidRPr="00A15264">
              <w:rPr>
                <w:rStyle w:val="Hyperlink"/>
                <w:noProof/>
              </w:rPr>
              <w:t>13.1  Reference architecture</w:t>
            </w:r>
            <w:r>
              <w:rPr>
                <w:noProof/>
              </w:rPr>
              <w:tab/>
            </w:r>
            <w:r>
              <w:rPr>
                <w:noProof/>
              </w:rPr>
              <w:fldChar w:fldCharType="begin"/>
            </w:r>
            <w:r>
              <w:rPr>
                <w:noProof/>
              </w:rPr>
              <w:instrText xml:space="preserve"> PAGEREF _Toc228176393 \h </w:instrText>
            </w:r>
            <w:r>
              <w:rPr>
                <w:noProof/>
              </w:rPr>
            </w:r>
            <w:r>
              <w:rPr>
                <w:noProof/>
              </w:rPr>
              <w:fldChar w:fldCharType="separate"/>
            </w:r>
            <w:r>
              <w:rPr>
                <w:noProof/>
              </w:rPr>
              <w:t>47</w:t>
            </w:r>
            <w:r>
              <w:rPr>
                <w:noProof/>
              </w:rPr>
              <w:fldChar w:fldCharType="end"/>
            </w:r>
          </w:hyperlink>
        </w:p>
        <w:p w14:paraId="2CCDBC17" w14:textId="2D35723C" w:rsidR="002A1CAA" w:rsidRDefault="002A1CAA">
          <w:pPr>
            <w:pStyle w:val="TOC2"/>
            <w:tabs>
              <w:tab w:val="right" w:leader="dot" w:pos="9016"/>
            </w:tabs>
            <w:rPr>
              <w:noProof/>
            </w:rPr>
          </w:pPr>
          <w:hyperlink w:anchor="_Toc228176394" w:history="1">
            <w:r w:rsidRPr="00A15264">
              <w:rPr>
                <w:rStyle w:val="Hyperlink"/>
                <w:noProof/>
              </w:rPr>
              <w:t xml:space="preserve">13.2  Developer experience </w:t>
            </w:r>
            <w:r>
              <w:rPr>
                <w:rStyle w:val="Hyperlink"/>
                <w:noProof/>
              </w:rPr>
              <w:t>,</w:t>
            </w:r>
            <w:r w:rsidRPr="00A15264">
              <w:rPr>
                <w:rStyle w:val="Hyperlink"/>
                <w:noProof/>
              </w:rPr>
              <w:t xml:space="preserve">  the golden path</w:t>
            </w:r>
            <w:r>
              <w:rPr>
                <w:noProof/>
              </w:rPr>
              <w:tab/>
            </w:r>
            <w:r>
              <w:rPr>
                <w:noProof/>
              </w:rPr>
              <w:fldChar w:fldCharType="begin"/>
            </w:r>
            <w:r>
              <w:rPr>
                <w:noProof/>
              </w:rPr>
              <w:instrText xml:space="preserve"> PAGEREF _Toc228176394 \h </w:instrText>
            </w:r>
            <w:r>
              <w:rPr>
                <w:noProof/>
              </w:rPr>
            </w:r>
            <w:r>
              <w:rPr>
                <w:noProof/>
              </w:rPr>
              <w:fldChar w:fldCharType="separate"/>
            </w:r>
            <w:r>
              <w:rPr>
                <w:noProof/>
              </w:rPr>
              <w:t>48</w:t>
            </w:r>
            <w:r>
              <w:rPr>
                <w:noProof/>
              </w:rPr>
              <w:fldChar w:fldCharType="end"/>
            </w:r>
          </w:hyperlink>
        </w:p>
        <w:p w14:paraId="6BB590A0" w14:textId="2EC6426D" w:rsidR="002A1CAA" w:rsidRDefault="002A1CAA">
          <w:pPr>
            <w:pStyle w:val="TOC2"/>
            <w:tabs>
              <w:tab w:val="right" w:leader="dot" w:pos="9016"/>
            </w:tabs>
            <w:rPr>
              <w:noProof/>
            </w:rPr>
          </w:pPr>
          <w:hyperlink w:anchor="_Toc228176395" w:history="1">
            <w:r w:rsidRPr="00A15264">
              <w:rPr>
                <w:rStyle w:val="Hyperlink"/>
                <w:noProof/>
              </w:rPr>
              <w:t xml:space="preserve">13.3  Adoption staging </w:t>
            </w:r>
            <w:r>
              <w:rPr>
                <w:rStyle w:val="Hyperlink"/>
                <w:noProof/>
              </w:rPr>
              <w:t>,</w:t>
            </w:r>
            <w:r w:rsidRPr="00A15264">
              <w:rPr>
                <w:rStyle w:val="Hyperlink"/>
                <w:noProof/>
              </w:rPr>
              <w:t xml:space="preserve">  incremental, not big-bang</w:t>
            </w:r>
            <w:r>
              <w:rPr>
                <w:noProof/>
              </w:rPr>
              <w:tab/>
            </w:r>
            <w:r>
              <w:rPr>
                <w:noProof/>
              </w:rPr>
              <w:fldChar w:fldCharType="begin"/>
            </w:r>
            <w:r>
              <w:rPr>
                <w:noProof/>
              </w:rPr>
              <w:instrText xml:space="preserve"> PAGEREF _Toc228176395 \h </w:instrText>
            </w:r>
            <w:r>
              <w:rPr>
                <w:noProof/>
              </w:rPr>
            </w:r>
            <w:r>
              <w:rPr>
                <w:noProof/>
              </w:rPr>
              <w:fldChar w:fldCharType="separate"/>
            </w:r>
            <w:r>
              <w:rPr>
                <w:noProof/>
              </w:rPr>
              <w:t>49</w:t>
            </w:r>
            <w:r>
              <w:rPr>
                <w:noProof/>
              </w:rPr>
              <w:fldChar w:fldCharType="end"/>
            </w:r>
          </w:hyperlink>
        </w:p>
        <w:p w14:paraId="2F7A34E6" w14:textId="77777777" w:rsidR="002A1CAA" w:rsidRDefault="002A1CAA">
          <w:pPr>
            <w:pStyle w:val="TOC1"/>
            <w:tabs>
              <w:tab w:val="right" w:leader="dot" w:pos="9016"/>
            </w:tabs>
            <w:rPr>
              <w:noProof/>
            </w:rPr>
          </w:pPr>
          <w:hyperlink w:anchor="_Toc228176396" w:history="1">
            <w:r w:rsidRPr="00A15264">
              <w:rPr>
                <w:rStyle w:val="Hyperlink"/>
                <w:noProof/>
              </w:rPr>
              <w:t>14.  Framework Governance, Open Questions and Call to Action</w:t>
            </w:r>
            <w:r>
              <w:rPr>
                <w:noProof/>
              </w:rPr>
              <w:tab/>
            </w:r>
            <w:r>
              <w:rPr>
                <w:noProof/>
              </w:rPr>
              <w:fldChar w:fldCharType="begin"/>
            </w:r>
            <w:r>
              <w:rPr>
                <w:noProof/>
              </w:rPr>
              <w:instrText xml:space="preserve"> PAGEREF _Toc228176396 \h </w:instrText>
            </w:r>
            <w:r>
              <w:rPr>
                <w:noProof/>
              </w:rPr>
            </w:r>
            <w:r>
              <w:rPr>
                <w:noProof/>
              </w:rPr>
              <w:fldChar w:fldCharType="separate"/>
            </w:r>
            <w:r>
              <w:rPr>
                <w:noProof/>
              </w:rPr>
              <w:t>50</w:t>
            </w:r>
            <w:r>
              <w:rPr>
                <w:noProof/>
              </w:rPr>
              <w:fldChar w:fldCharType="end"/>
            </w:r>
          </w:hyperlink>
        </w:p>
        <w:p w14:paraId="7E4C2F3F" w14:textId="77777777" w:rsidR="002A1CAA" w:rsidRDefault="002A1CAA">
          <w:pPr>
            <w:pStyle w:val="TOC2"/>
            <w:tabs>
              <w:tab w:val="right" w:leader="dot" w:pos="9016"/>
            </w:tabs>
            <w:rPr>
              <w:noProof/>
            </w:rPr>
          </w:pPr>
          <w:hyperlink w:anchor="_Toc228176397" w:history="1">
            <w:r w:rsidRPr="00A15264">
              <w:rPr>
                <w:rStyle w:val="Hyperlink"/>
                <w:noProof/>
              </w:rPr>
              <w:t>14.1  Why this needs to be open</w:t>
            </w:r>
            <w:r>
              <w:rPr>
                <w:noProof/>
              </w:rPr>
              <w:tab/>
            </w:r>
            <w:r>
              <w:rPr>
                <w:noProof/>
              </w:rPr>
              <w:fldChar w:fldCharType="begin"/>
            </w:r>
            <w:r>
              <w:rPr>
                <w:noProof/>
              </w:rPr>
              <w:instrText xml:space="preserve"> PAGEREF _Toc228176397 \h </w:instrText>
            </w:r>
            <w:r>
              <w:rPr>
                <w:noProof/>
              </w:rPr>
            </w:r>
            <w:r>
              <w:rPr>
                <w:noProof/>
              </w:rPr>
              <w:fldChar w:fldCharType="separate"/>
            </w:r>
            <w:r>
              <w:rPr>
                <w:noProof/>
              </w:rPr>
              <w:t>50</w:t>
            </w:r>
            <w:r>
              <w:rPr>
                <w:noProof/>
              </w:rPr>
              <w:fldChar w:fldCharType="end"/>
            </w:r>
          </w:hyperlink>
        </w:p>
        <w:p w14:paraId="4BBD7FF8" w14:textId="77777777" w:rsidR="002A1CAA" w:rsidRDefault="002A1CAA">
          <w:pPr>
            <w:pStyle w:val="TOC2"/>
            <w:tabs>
              <w:tab w:val="right" w:leader="dot" w:pos="9016"/>
            </w:tabs>
            <w:rPr>
              <w:noProof/>
            </w:rPr>
          </w:pPr>
          <w:hyperlink w:anchor="_Toc228176398" w:history="1">
            <w:r w:rsidRPr="00A15264">
              <w:rPr>
                <w:rStyle w:val="Hyperlink"/>
                <w:noProof/>
              </w:rPr>
              <w:t>14.2  Governance model</w:t>
            </w:r>
            <w:r>
              <w:rPr>
                <w:noProof/>
              </w:rPr>
              <w:tab/>
            </w:r>
            <w:r>
              <w:rPr>
                <w:noProof/>
              </w:rPr>
              <w:fldChar w:fldCharType="begin"/>
            </w:r>
            <w:r>
              <w:rPr>
                <w:noProof/>
              </w:rPr>
              <w:instrText xml:space="preserve"> PAGEREF _Toc228176398 \h </w:instrText>
            </w:r>
            <w:r>
              <w:rPr>
                <w:noProof/>
              </w:rPr>
            </w:r>
            <w:r>
              <w:rPr>
                <w:noProof/>
              </w:rPr>
              <w:fldChar w:fldCharType="separate"/>
            </w:r>
            <w:r>
              <w:rPr>
                <w:noProof/>
              </w:rPr>
              <w:t>50</w:t>
            </w:r>
            <w:r>
              <w:rPr>
                <w:noProof/>
              </w:rPr>
              <w:fldChar w:fldCharType="end"/>
            </w:r>
          </w:hyperlink>
        </w:p>
        <w:p w14:paraId="3FE31F24" w14:textId="77777777" w:rsidR="002A1CAA" w:rsidRDefault="002A1CAA">
          <w:pPr>
            <w:pStyle w:val="TOC2"/>
            <w:tabs>
              <w:tab w:val="right" w:leader="dot" w:pos="9016"/>
            </w:tabs>
            <w:rPr>
              <w:noProof/>
            </w:rPr>
          </w:pPr>
          <w:hyperlink w:anchor="_Toc228176399" w:history="1">
            <w:r w:rsidRPr="00A15264">
              <w:rPr>
                <w:rStyle w:val="Hyperlink"/>
                <w:noProof/>
              </w:rPr>
              <w:t>14.3  Open questions</w:t>
            </w:r>
            <w:r>
              <w:rPr>
                <w:noProof/>
              </w:rPr>
              <w:tab/>
            </w:r>
            <w:r>
              <w:rPr>
                <w:noProof/>
              </w:rPr>
              <w:fldChar w:fldCharType="begin"/>
            </w:r>
            <w:r>
              <w:rPr>
                <w:noProof/>
              </w:rPr>
              <w:instrText xml:space="preserve"> PAGEREF _Toc228176399 \h </w:instrText>
            </w:r>
            <w:r>
              <w:rPr>
                <w:noProof/>
              </w:rPr>
            </w:r>
            <w:r>
              <w:rPr>
                <w:noProof/>
              </w:rPr>
              <w:fldChar w:fldCharType="separate"/>
            </w:r>
            <w:r>
              <w:rPr>
                <w:noProof/>
              </w:rPr>
              <w:t>50</w:t>
            </w:r>
            <w:r>
              <w:rPr>
                <w:noProof/>
              </w:rPr>
              <w:fldChar w:fldCharType="end"/>
            </w:r>
          </w:hyperlink>
        </w:p>
        <w:p w14:paraId="072E7DF3" w14:textId="77777777" w:rsidR="002A1CAA" w:rsidRDefault="002A1CAA">
          <w:pPr>
            <w:pStyle w:val="TOC2"/>
            <w:tabs>
              <w:tab w:val="right" w:leader="dot" w:pos="9016"/>
            </w:tabs>
            <w:rPr>
              <w:noProof/>
            </w:rPr>
          </w:pPr>
          <w:hyperlink w:anchor="_Toc228176400" w:history="1">
            <w:r w:rsidRPr="00A15264">
              <w:rPr>
                <w:rStyle w:val="Hyperlink"/>
                <w:noProof/>
              </w:rPr>
              <w:t>14.4  Call to action</w:t>
            </w:r>
            <w:r>
              <w:rPr>
                <w:noProof/>
              </w:rPr>
              <w:tab/>
            </w:r>
            <w:r>
              <w:rPr>
                <w:noProof/>
              </w:rPr>
              <w:fldChar w:fldCharType="begin"/>
            </w:r>
            <w:r>
              <w:rPr>
                <w:noProof/>
              </w:rPr>
              <w:instrText xml:space="preserve"> PAGEREF _Toc228176400 \h </w:instrText>
            </w:r>
            <w:r>
              <w:rPr>
                <w:noProof/>
              </w:rPr>
            </w:r>
            <w:r>
              <w:rPr>
                <w:noProof/>
              </w:rPr>
              <w:fldChar w:fldCharType="separate"/>
            </w:r>
            <w:r>
              <w:rPr>
                <w:noProof/>
              </w:rPr>
              <w:t>51</w:t>
            </w:r>
            <w:r>
              <w:rPr>
                <w:noProof/>
              </w:rPr>
              <w:fldChar w:fldCharType="end"/>
            </w:r>
          </w:hyperlink>
        </w:p>
        <w:p w14:paraId="1DA28CE6" w14:textId="20157F5D" w:rsidR="002A1CAA" w:rsidRDefault="002A1CAA">
          <w:pPr>
            <w:pStyle w:val="TOC1"/>
            <w:tabs>
              <w:tab w:val="right" w:leader="dot" w:pos="9016"/>
            </w:tabs>
            <w:rPr>
              <w:noProof/>
            </w:rPr>
          </w:pPr>
          <w:hyperlink w:anchor="_Toc228176401" w:history="1">
            <w:r w:rsidRPr="00A15264">
              <w:rPr>
                <w:rStyle w:val="Hyperlink"/>
                <w:noProof/>
              </w:rPr>
              <w:t>Appendix A</w:t>
            </w:r>
            <w:r>
              <w:rPr>
                <w:rStyle w:val="Hyperlink"/>
                <w:noProof/>
              </w:rPr>
              <w:t>,</w:t>
            </w:r>
            <w:r w:rsidRPr="00A15264">
              <w:rPr>
                <w:rStyle w:val="Hyperlink"/>
                <w:noProof/>
              </w:rPr>
              <w:t xml:space="preserve"> Glossary</w:t>
            </w:r>
            <w:r>
              <w:rPr>
                <w:noProof/>
              </w:rPr>
              <w:tab/>
            </w:r>
            <w:r>
              <w:rPr>
                <w:noProof/>
              </w:rPr>
              <w:fldChar w:fldCharType="begin"/>
            </w:r>
            <w:r>
              <w:rPr>
                <w:noProof/>
              </w:rPr>
              <w:instrText xml:space="preserve"> PAGEREF _Toc228176401 \h </w:instrText>
            </w:r>
            <w:r>
              <w:rPr>
                <w:noProof/>
              </w:rPr>
            </w:r>
            <w:r>
              <w:rPr>
                <w:noProof/>
              </w:rPr>
              <w:fldChar w:fldCharType="separate"/>
            </w:r>
            <w:r>
              <w:rPr>
                <w:noProof/>
              </w:rPr>
              <w:t>52</w:t>
            </w:r>
            <w:r>
              <w:rPr>
                <w:noProof/>
              </w:rPr>
              <w:fldChar w:fldCharType="end"/>
            </w:r>
          </w:hyperlink>
        </w:p>
        <w:p w14:paraId="0004212F" w14:textId="38888ACA" w:rsidR="002A1CAA" w:rsidRDefault="002A1CAA">
          <w:pPr>
            <w:pStyle w:val="TOC1"/>
            <w:tabs>
              <w:tab w:val="right" w:leader="dot" w:pos="9016"/>
            </w:tabs>
            <w:rPr>
              <w:noProof/>
            </w:rPr>
          </w:pPr>
          <w:hyperlink w:anchor="_Toc228176402" w:history="1">
            <w:r w:rsidRPr="00A15264">
              <w:rPr>
                <w:rStyle w:val="Hyperlink"/>
                <w:noProof/>
              </w:rPr>
              <w:t>Appendix B</w:t>
            </w:r>
            <w:r>
              <w:rPr>
                <w:rStyle w:val="Hyperlink"/>
                <w:noProof/>
              </w:rPr>
              <w:t>,</w:t>
            </w:r>
            <w:r w:rsidRPr="00A15264">
              <w:rPr>
                <w:rStyle w:val="Hyperlink"/>
                <w:noProof/>
              </w:rPr>
              <w:t xml:space="preserve"> Standards Referenced</w:t>
            </w:r>
            <w:r>
              <w:rPr>
                <w:noProof/>
              </w:rPr>
              <w:tab/>
            </w:r>
            <w:r>
              <w:rPr>
                <w:noProof/>
              </w:rPr>
              <w:fldChar w:fldCharType="begin"/>
            </w:r>
            <w:r>
              <w:rPr>
                <w:noProof/>
              </w:rPr>
              <w:instrText xml:space="preserve"> PAGEREF _Toc228176402 \h </w:instrText>
            </w:r>
            <w:r>
              <w:rPr>
                <w:noProof/>
              </w:rPr>
            </w:r>
            <w:r>
              <w:rPr>
                <w:noProof/>
              </w:rPr>
              <w:fldChar w:fldCharType="separate"/>
            </w:r>
            <w:r>
              <w:rPr>
                <w:noProof/>
              </w:rPr>
              <w:t>53</w:t>
            </w:r>
            <w:r>
              <w:rPr>
                <w:noProof/>
              </w:rPr>
              <w:fldChar w:fldCharType="end"/>
            </w:r>
          </w:hyperlink>
        </w:p>
        <w:p w14:paraId="3979C272" w14:textId="055391B2" w:rsidR="002A1CAA" w:rsidRDefault="002A1CAA">
          <w:pPr>
            <w:pStyle w:val="TOC1"/>
            <w:tabs>
              <w:tab w:val="right" w:leader="dot" w:pos="9016"/>
            </w:tabs>
            <w:rPr>
              <w:noProof/>
            </w:rPr>
          </w:pPr>
          <w:hyperlink w:anchor="_Toc228176403" w:history="1">
            <w:r w:rsidRPr="00A15264">
              <w:rPr>
                <w:rStyle w:val="Hyperlink"/>
                <w:noProof/>
              </w:rPr>
              <w:t>Appendix C</w:t>
            </w:r>
            <w:r>
              <w:rPr>
                <w:rStyle w:val="Hyperlink"/>
                <w:noProof/>
              </w:rPr>
              <w:t>,</w:t>
            </w:r>
            <w:r w:rsidRPr="00A15264">
              <w:rPr>
                <w:rStyle w:val="Hyperlink"/>
                <w:noProof/>
              </w:rPr>
              <w:t xml:space="preserve"> Versioning</w:t>
            </w:r>
            <w:r>
              <w:rPr>
                <w:noProof/>
              </w:rPr>
              <w:tab/>
            </w:r>
            <w:r>
              <w:rPr>
                <w:noProof/>
              </w:rPr>
              <w:fldChar w:fldCharType="begin"/>
            </w:r>
            <w:r>
              <w:rPr>
                <w:noProof/>
              </w:rPr>
              <w:instrText xml:space="preserve"> PAGEREF _Toc228176403 \h </w:instrText>
            </w:r>
            <w:r>
              <w:rPr>
                <w:noProof/>
              </w:rPr>
            </w:r>
            <w:r>
              <w:rPr>
                <w:noProof/>
              </w:rPr>
              <w:fldChar w:fldCharType="separate"/>
            </w:r>
            <w:r>
              <w:rPr>
                <w:noProof/>
              </w:rPr>
              <w:t>54</w:t>
            </w:r>
            <w:r>
              <w:rPr>
                <w:noProof/>
              </w:rPr>
              <w:fldChar w:fldCharType="end"/>
            </w:r>
          </w:hyperlink>
        </w:p>
        <w:p w14:paraId="0F255600" w14:textId="77777777" w:rsidR="00AA392E" w:rsidRDefault="00000000">
          <w:r>
            <w:fldChar w:fldCharType="end"/>
          </w:r>
        </w:p>
      </w:sdtContent>
    </w:sdt>
    <w:p w14:paraId="26610363" w14:textId="77777777" w:rsidR="00AA392E" w:rsidRDefault="00000000">
      <w:r>
        <w:br w:type="page"/>
      </w:r>
    </w:p>
    <w:p w14:paraId="72CBA815" w14:textId="77777777" w:rsidR="00AA392E" w:rsidRDefault="00000000">
      <w:pPr>
        <w:spacing w:after="200"/>
      </w:pPr>
      <w:r>
        <w:rPr>
          <w:b/>
          <w:bCs/>
          <w:color w:val="1E3A8A"/>
          <w:sz w:val="36"/>
          <w:szCs w:val="36"/>
        </w:rPr>
        <w:lastRenderedPageBreak/>
        <w:t>Abstract</w:t>
      </w:r>
    </w:p>
    <w:p w14:paraId="09FC1389" w14:textId="5D50105D" w:rsidR="00AA392E" w:rsidRDefault="00000000">
      <w:pPr>
        <w:spacing w:after="120" w:line="320" w:lineRule="auto"/>
        <w:jc w:val="both"/>
      </w:pPr>
      <w:r>
        <w:t>Identity has always been the foundation of every other control in software. Users, services, machines and equipment are each enrolled, attested, scoped, audited and retired. Each carries a credential, a record, a history. Autonomous and semi-autonomous AI agents</w:t>
      </w:r>
      <w:r w:rsidR="002A1CAA">
        <w:t>,</w:t>
      </w:r>
      <w:r>
        <w:t xml:space="preserve"> software actors driven by large language models, capable of reasoning, calling tools, spawning sub-agents and learning over time</w:t>
      </w:r>
      <w:r w:rsidR="002A1CAA">
        <w:t>,</w:t>
      </w:r>
      <w:r>
        <w:t xml:space="preserve"> break the assumptions on which traditional Identity and Access Management was built. Sessions span minutes to days rather than seconds. Scopes expand recursively rather than holding static. Actions are probabilistic rather than deterministic, and the principal chain is multi-hop rather than singular. A single agent may operate across many delegations, many tenants and many jurisdictions in the course of a single working day.</w:t>
      </w:r>
    </w:p>
    <w:p w14:paraId="26862372" w14:textId="657DDC21" w:rsidR="00AA392E" w:rsidRDefault="00000000">
      <w:pPr>
        <w:spacing w:after="120" w:line="320" w:lineRule="auto"/>
        <w:jc w:val="both"/>
      </w:pPr>
      <w:r>
        <w:t>This whitepaper proposes the Agent Identity Framework: an open, layered specification that brings agents to identity parity with humans, services and machines, and that produces</w:t>
      </w:r>
      <w:r w:rsidR="002A1CAA">
        <w:t>,</w:t>
      </w:r>
      <w:r>
        <w:t xml:space="preserve"> as a first-class output rather than as a forensic afterthought</w:t>
      </w:r>
      <w:r w:rsidR="002A1CAA">
        <w:t>,</w:t>
      </w:r>
      <w:r>
        <w:t xml:space="preserve"> the evidence that regulators, customers, insurers and courts will increasingly require. The framework decomposes into five concentric layers: Identity (the master system of record and the agent identity provider), Policy (capabilities, scopes and lawful basis), Enforcement (a non-</w:t>
      </w:r>
      <w:proofErr w:type="spellStart"/>
      <w:r>
        <w:t>bypassable</w:t>
      </w:r>
      <w:proofErr w:type="spellEnd"/>
      <w:r>
        <w:t xml:space="preserve"> gateway plane), Evidence (a tamper-evident, hash-chained audit log with deterministic replay), and Trust Surface (operator and customer-facing transparency). Each layer is independently valuable and sequentially adoptable; together they constitute the difference between an organisation that has large language models in production and one that has governed agents in production.</w:t>
      </w:r>
    </w:p>
    <w:p w14:paraId="030A9A7E" w14:textId="2A548161" w:rsidR="00AA392E" w:rsidRDefault="00000000">
      <w:pPr>
        <w:spacing w:after="120" w:line="320" w:lineRule="auto"/>
        <w:jc w:val="both"/>
      </w:pPr>
      <w:r>
        <w:t>The framework treats every agent action as falling into one of three modes</w:t>
      </w:r>
      <w:r w:rsidR="002A1CAA">
        <w:t>,</w:t>
      </w:r>
      <w:r>
        <w:t xml:space="preserve"> human-led, human-intervened or autonomous</w:t>
      </w:r>
      <w:r w:rsidR="002A1CAA">
        <w:t>,</w:t>
      </w:r>
      <w:r>
        <w:t xml:space="preserve"> and records that mode per action rather than per agent. It treats learning as a credentialled event rather than a silent drift. It treats fine-tuning as the birth of a new agent rather than an in-place update. It treats compliance not as a bolt-on but as the property that emerges when identity, policy enforcement, audit and visualisation are correctly co-designed. It treats federation as mandatory: an agent that cannot present its identity, capabilities and ethics review outside its home organisation is not a citizen of the agent economy but a cul-de-sac.</w:t>
      </w:r>
    </w:p>
    <w:p w14:paraId="48D59197" w14:textId="6087F0C0" w:rsidR="00AA392E" w:rsidRDefault="00000000">
      <w:pPr>
        <w:spacing w:after="120" w:line="320" w:lineRule="auto"/>
        <w:jc w:val="both"/>
      </w:pPr>
      <w:r>
        <w:t>This document is offered openly. The specification is licensed under CC-BY-SA 4.0; reference implementations are licensed under Apache 2.0. Stewardship rests with Verax Venture Studio for version 0.x, with a defined path to a neutral foundation once adoption justifies it. The framework is intended to be useful to the extent it is adopted, contributed to and improved by operators, standards bodies, regulators, insurers and customers</w:t>
      </w:r>
      <w:r w:rsidR="002A1CAA">
        <w:t>,</w:t>
      </w:r>
      <w:r>
        <w:t xml:space="preserve"> and the call to action at the end of this paper is addressed to each of those audiences in turn.</w:t>
      </w:r>
    </w:p>
    <w:p w14:paraId="443F2214" w14:textId="77777777" w:rsidR="00AA392E" w:rsidRDefault="00AA392E">
      <w:pPr>
        <w:spacing w:after="120"/>
      </w:pPr>
    </w:p>
    <w:p w14:paraId="450B2A0A" w14:textId="77777777" w:rsidR="00AA392E" w:rsidRDefault="00000000">
      <w:r>
        <w:br w:type="page"/>
      </w:r>
    </w:p>
    <w:p w14:paraId="58589421" w14:textId="77777777" w:rsidR="00AA392E" w:rsidRDefault="00000000">
      <w:pPr>
        <w:spacing w:after="200"/>
      </w:pPr>
      <w:r>
        <w:rPr>
          <w:b/>
          <w:bCs/>
          <w:color w:val="1E3A8A"/>
          <w:sz w:val="36"/>
          <w:szCs w:val="36"/>
        </w:rPr>
        <w:lastRenderedPageBreak/>
        <w:t>Executive Summary</w:t>
      </w:r>
    </w:p>
    <w:p w14:paraId="59378F4D" w14:textId="60290A1C" w:rsidR="00AA392E" w:rsidRDefault="00000000">
      <w:pPr>
        <w:spacing w:after="120" w:line="320" w:lineRule="auto"/>
        <w:jc w:val="both"/>
      </w:pPr>
      <w:r>
        <w:rPr>
          <w:b/>
          <w:bCs/>
          <w:color w:val="1E3A8A"/>
        </w:rPr>
        <w:t xml:space="preserve">The thesis. </w:t>
      </w:r>
      <w:r>
        <w:t>Agents are first-class actors. They must be enrolled, attested, scoped, audited and retired with the same rigour applied to humans, services and machines</w:t>
      </w:r>
      <w:r w:rsidR="002A1CAA">
        <w:t>,</w:t>
      </w:r>
      <w:r>
        <w:t xml:space="preserve"> and then more, because their scope is generative, their sessions are long, their authority chains are multi-hop, and their actions are probabilistic. Without identity, all other controls are advisory. Without enforcement, identity is decorative. Without evidence, enforcement is unprovable. Without a trust surface, evidence is forensic-only. The five layers must be co-designed; none of them is sufficient on its own.</w:t>
      </w:r>
    </w:p>
    <w:p w14:paraId="43816A98" w14:textId="3BDDAC89" w:rsidR="00AA392E" w:rsidRDefault="00000000">
      <w:pPr>
        <w:spacing w:after="120" w:line="320" w:lineRule="auto"/>
        <w:jc w:val="both"/>
      </w:pPr>
      <w:r>
        <w:rPr>
          <w:b/>
          <w:bCs/>
          <w:color w:val="1E3A8A"/>
        </w:rPr>
        <w:t xml:space="preserve">What is new. </w:t>
      </w:r>
      <w:r>
        <w:t>Existing IAM, API management and observability stacks each address part of the problem. None addresses the full set. The Agent Identity Framework integrates the Agent Identity Provider, the Agent Bill of Materials, capability-based authorisation with just-in-time elevation, the policy enforcement plane, the hash-chained audit log with deterministic replay, the four canonical visualisation surfaces, and the rulebook construct that turns ethical principles into testable assertions bound to enforcement layers and evidence events. It is, deliberately, an integration</w:t>
      </w:r>
      <w:r w:rsidR="002A1CAA">
        <w:t>,</w:t>
      </w:r>
      <w:r>
        <w:t xml:space="preserve"> and the integration is the contribution.</w:t>
      </w:r>
    </w:p>
    <w:p w14:paraId="56E31917" w14:textId="77777777" w:rsidR="00AA392E" w:rsidRDefault="00000000">
      <w:pPr>
        <w:spacing w:after="120" w:line="320" w:lineRule="auto"/>
        <w:jc w:val="both"/>
      </w:pPr>
      <w:r>
        <w:rPr>
          <w:b/>
          <w:bCs/>
          <w:color w:val="1E3A8A"/>
        </w:rPr>
        <w:t xml:space="preserve">Who this is for. </w:t>
      </w:r>
      <w:r>
        <w:t>Operators running agents in production today. Standards bodies extending existing identity, credential and audit specifications to autonomous actors. Regulators framing supervisory expectations under the EU AI Act, GDPR, sectoral rules and emerging national regimes. Insurers and underwriters binding cover to AI liability. Customers procuring agents that touch their data. Engineers and product leaders authoring the next generation of agent-native systems.</w:t>
      </w:r>
    </w:p>
    <w:p w14:paraId="61467952" w14:textId="77777777" w:rsidR="00AA392E" w:rsidRDefault="00000000">
      <w:pPr>
        <w:spacing w:after="120" w:line="320" w:lineRule="auto"/>
        <w:jc w:val="both"/>
      </w:pPr>
      <w:r>
        <w:rPr>
          <w:b/>
          <w:bCs/>
          <w:color w:val="1E3A8A"/>
        </w:rPr>
        <w:t xml:space="preserve">How to read it. </w:t>
      </w:r>
      <w:r>
        <w:t xml:space="preserve">The paper proceeds in fourteen sections. Section 1 establishes the premise and the five-layer model. Section 2 describes the agent lifecycle. Sections 3 to 5 set out the identity, profile and </w:t>
      </w:r>
      <w:proofErr w:type="spellStart"/>
      <w:r>
        <w:t>permissioning</w:t>
      </w:r>
      <w:proofErr w:type="spellEnd"/>
      <w:r>
        <w:t xml:space="preserve"> primitives. Section 6 covers the enforcement plane. Section 7 covers evidence. Section 8 addresses self-learning provenance. Section 9 covers visualisation. Section 10 addresses data compliance and sovereignty. Section 11 addresses risk, ethics, guardrails and litigation defence. Section 12 covers multi-tenancy, federation and agent-to-agent operation across organisational boundaries. Section 13 sets out a reference architecture and developer experience. Section 14 covers governance, open questions and a call to action.</w:t>
      </w:r>
    </w:p>
    <w:p w14:paraId="67A92331" w14:textId="68AF6FF6" w:rsidR="00AA392E" w:rsidRDefault="00000000">
      <w:pPr>
        <w:spacing w:after="120" w:line="320" w:lineRule="auto"/>
        <w:jc w:val="both"/>
      </w:pPr>
      <w:r>
        <w:rPr>
          <w:b/>
          <w:bCs/>
          <w:color w:val="1E3A8A"/>
        </w:rPr>
        <w:t xml:space="preserve">What to do on Monday morning. </w:t>
      </w:r>
      <w:r>
        <w:t>Pick one section. Adopt it. Identity first if you have nothing; the policy enforcement plane second if you already have identity; audit third. The maturity ladder in section 11 sets out the staged path; total adoption time for a small team to reach a defensible baseline is approximately one quarter, parallelised. The framework is designed to make stage four cheaper than stage one incident response</w:t>
      </w:r>
      <w:r w:rsidR="002A1CAA">
        <w:t>,</w:t>
      </w:r>
      <w:r>
        <w:t xml:space="preserve"> and that is the case it makes to the executive sponsor.</w:t>
      </w:r>
    </w:p>
    <w:p w14:paraId="5EB7F7EC" w14:textId="77777777" w:rsidR="00AA392E" w:rsidRDefault="00AA392E">
      <w:pPr>
        <w:spacing w:after="200"/>
      </w:pPr>
    </w:p>
    <w:p w14:paraId="52AF12DE" w14:textId="6813017D" w:rsidR="00AA392E" w:rsidRDefault="00000000">
      <w:pPr>
        <w:pStyle w:val="Heading1"/>
        <w:pageBreakBefore/>
      </w:pPr>
      <w:bookmarkStart w:id="0" w:name="_Toc228176318"/>
      <w:r>
        <w:lastRenderedPageBreak/>
        <w:t>1.  Premise</w:t>
      </w:r>
      <w:r w:rsidR="002A1CAA">
        <w:t>,</w:t>
      </w:r>
      <w:r>
        <w:t xml:space="preserve"> Why agents need identity</w:t>
      </w:r>
      <w:bookmarkEnd w:id="0"/>
    </w:p>
    <w:p w14:paraId="2173AB56" w14:textId="2686AE32" w:rsidR="00AA392E" w:rsidRDefault="00000000">
      <w:pPr>
        <w:spacing w:after="120" w:line="320" w:lineRule="auto"/>
        <w:jc w:val="both"/>
      </w:pPr>
      <w:r>
        <w:t>Software has always had identity for the things that act. Users are issued credentials, granted roles, monitored and retired. Services are issued certificates, scoped to APIs and rate-limited. Machines are enrolled, attested at boot, and given workload identities. Robots and process equipment in product-lifecycle management systems carry serial numbers, calibration records and operating envelopes. In every case the pattern is the same: a stable identifier, a credential, a record of authority, a record of behaviour, and a defined end of life. The pattern works because it makes the actor accountable</w:t>
      </w:r>
      <w:r w:rsidR="002A1CAA">
        <w:t>,</w:t>
      </w:r>
      <w:r>
        <w:t xml:space="preserve"> discoverable in an audit, revocable on incident, comparable across time.</w:t>
      </w:r>
    </w:p>
    <w:p w14:paraId="6D80D02A" w14:textId="73B8F06F" w:rsidR="00AA392E" w:rsidRDefault="00000000">
      <w:pPr>
        <w:spacing w:after="120" w:line="320" w:lineRule="auto"/>
        <w:jc w:val="both"/>
      </w:pPr>
      <w:r>
        <w:t>Autonomous and semi-autonomous AI agents fit none of the assumptions on which the existing pattern was built. The differences are not incremental. They are categorical, and they invalidate, item by item, the architectural shortcuts that made traditional Identity and Access Management efficient. A user is human; an agent is generative</w:t>
      </w:r>
      <w:r w:rsidR="002A1CAA">
        <w:t>,</w:t>
      </w:r>
      <w:r>
        <w:t xml:space="preserve"> an agent can spawn a sub-agent on its own initiative, and that sub-agent must itself have an identity. A user has a session that lasts seconds; an agent may operate continuously over days, weeks or months. A user's scope is static; an agent's scope expands recursively as it acquires tools, learns skills and earns credentials. A user's actions are deterministic and traceable to a single principal; an agent's actions are probabilistic, the principal chain is multi-hop, and the question "on whose behalf was this done" is genuinely hard. A user's audit log is forensic, consulted after incidents; an agent's audit log is evidentiary, regulatory and operational, consulted continuously.</w:t>
      </w:r>
    </w:p>
    <w:p w14:paraId="01BED7DE" w14:textId="3C0C0CB5" w:rsidR="00AA392E" w:rsidRDefault="00000000">
      <w:pPr>
        <w:spacing w:after="120" w:line="320" w:lineRule="auto"/>
        <w:jc w:val="both"/>
      </w:pPr>
      <w:r>
        <w:t>The table below contrasts the assumptions of legacy IAM with the realities of agent operation. It is offered not as a critique of legacy systems</w:t>
      </w:r>
      <w:r w:rsidR="002A1CAA">
        <w:t>,</w:t>
      </w:r>
      <w:r>
        <w:t xml:space="preserve"> they remain correct for their original domains</w:t>
      </w:r>
      <w:r w:rsidR="002A1CAA">
        <w:t>,</w:t>
      </w:r>
      <w:r>
        <w:t xml:space="preserve"> but as a precise enumeration of the gaps the Agent Identity Framework is designed to close.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5236"/>
      </w:tblGrid>
      <w:tr w:rsidR="00AA392E" w14:paraId="34952C11" w14:textId="77777777">
        <w:tblPrEx>
          <w:tblCellMar>
            <w:top w:w="0" w:type="dxa"/>
            <w:bottom w:w="0" w:type="dxa"/>
          </w:tblCellMar>
        </w:tblPrEx>
        <w:trPr>
          <w:tblHeader/>
        </w:trPr>
        <w:tc>
          <w:tcPr>
            <w:tcW w:w="3790"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116C15D3" w14:textId="77777777" w:rsidR="00AA392E" w:rsidRDefault="00000000">
            <w:r>
              <w:rPr>
                <w:b/>
                <w:bCs/>
                <w:color w:val="FFFFFF"/>
              </w:rPr>
              <w:t>Assumption (legacy IAM)</w:t>
            </w:r>
          </w:p>
        </w:tc>
        <w:tc>
          <w:tcPr>
            <w:tcW w:w="5236"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7A8DFFA4" w14:textId="77777777" w:rsidR="00AA392E" w:rsidRDefault="00000000">
            <w:r>
              <w:rPr>
                <w:b/>
                <w:bCs/>
                <w:color w:val="FFFFFF"/>
              </w:rPr>
              <w:t>Reality (agents)</w:t>
            </w:r>
          </w:p>
        </w:tc>
      </w:tr>
      <w:tr w:rsidR="00AA392E" w14:paraId="1F1AC083" w14:textId="77777777">
        <w:tblPrEx>
          <w:tblCellMar>
            <w:top w:w="0" w:type="dxa"/>
            <w:bottom w:w="0" w:type="dxa"/>
          </w:tblCellMar>
        </w:tblPrEx>
        <w:tc>
          <w:tcPr>
            <w:tcW w:w="379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9C85AD2" w14:textId="77777777" w:rsidR="00AA392E" w:rsidRDefault="00000000">
            <w:pPr>
              <w:spacing w:line="280" w:lineRule="auto"/>
            </w:pPr>
            <w:r>
              <w:rPr>
                <w:sz w:val="21"/>
                <w:szCs w:val="21"/>
              </w:rPr>
              <w:t>Identity is human or machine</w:t>
            </w:r>
          </w:p>
        </w:tc>
        <w:tc>
          <w:tcPr>
            <w:tcW w:w="5236"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651118A" w14:textId="67212C2E" w:rsidR="00AA392E" w:rsidRDefault="00000000">
            <w:pPr>
              <w:spacing w:line="280" w:lineRule="auto"/>
            </w:pPr>
            <w:r>
              <w:rPr>
                <w:sz w:val="21"/>
                <w:szCs w:val="21"/>
              </w:rPr>
              <w:t>Identity is generative</w:t>
            </w:r>
            <w:r w:rsidR="002A1CAA">
              <w:rPr>
                <w:sz w:val="21"/>
                <w:szCs w:val="21"/>
              </w:rPr>
              <w:t>,</w:t>
            </w:r>
            <w:r>
              <w:rPr>
                <w:sz w:val="21"/>
                <w:szCs w:val="21"/>
              </w:rPr>
              <w:t xml:space="preserve"> it spawns sub-identities</w:t>
            </w:r>
          </w:p>
        </w:tc>
      </w:tr>
      <w:tr w:rsidR="00AA392E" w14:paraId="0E7EF595" w14:textId="77777777">
        <w:tblPrEx>
          <w:tblCellMar>
            <w:top w:w="0" w:type="dxa"/>
            <w:bottom w:w="0" w:type="dxa"/>
          </w:tblCellMar>
        </w:tblPrEx>
        <w:tc>
          <w:tcPr>
            <w:tcW w:w="379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0583249" w14:textId="77777777" w:rsidR="00AA392E" w:rsidRDefault="00000000">
            <w:pPr>
              <w:spacing w:line="280" w:lineRule="auto"/>
            </w:pPr>
            <w:r>
              <w:rPr>
                <w:sz w:val="21"/>
                <w:szCs w:val="21"/>
              </w:rPr>
              <w:t>Sessions are short, scopes are static</w:t>
            </w:r>
          </w:p>
        </w:tc>
        <w:tc>
          <w:tcPr>
            <w:tcW w:w="5236"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328E0C69" w14:textId="77777777" w:rsidR="00AA392E" w:rsidRDefault="00000000">
            <w:pPr>
              <w:spacing w:line="280" w:lineRule="auto"/>
            </w:pPr>
            <w:r>
              <w:rPr>
                <w:sz w:val="21"/>
                <w:szCs w:val="21"/>
              </w:rPr>
              <w:t>Sessions span minutes to days; scope expands recursively</w:t>
            </w:r>
          </w:p>
        </w:tc>
      </w:tr>
      <w:tr w:rsidR="00AA392E" w14:paraId="2CB7DF42" w14:textId="77777777">
        <w:tblPrEx>
          <w:tblCellMar>
            <w:top w:w="0" w:type="dxa"/>
            <w:bottom w:w="0" w:type="dxa"/>
          </w:tblCellMar>
        </w:tblPrEx>
        <w:tc>
          <w:tcPr>
            <w:tcW w:w="379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7A01C03" w14:textId="77777777" w:rsidR="00AA392E" w:rsidRDefault="00000000">
            <w:pPr>
              <w:spacing w:line="280" w:lineRule="auto"/>
            </w:pPr>
            <w:r>
              <w:rPr>
                <w:sz w:val="21"/>
                <w:szCs w:val="21"/>
              </w:rPr>
              <w:t>Actions are deterministic and traceable to a single principal</w:t>
            </w:r>
          </w:p>
        </w:tc>
        <w:tc>
          <w:tcPr>
            <w:tcW w:w="5236"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45F727D" w14:textId="77777777" w:rsidR="00AA392E" w:rsidRDefault="00000000">
            <w:pPr>
              <w:spacing w:line="280" w:lineRule="auto"/>
            </w:pPr>
            <w:r>
              <w:rPr>
                <w:sz w:val="21"/>
                <w:szCs w:val="21"/>
              </w:rPr>
              <w:t>Actions are probabilistic; the principal chain is multi-hop</w:t>
            </w:r>
          </w:p>
        </w:tc>
      </w:tr>
      <w:tr w:rsidR="00AA392E" w14:paraId="56A57145" w14:textId="77777777">
        <w:tblPrEx>
          <w:tblCellMar>
            <w:top w:w="0" w:type="dxa"/>
            <w:bottom w:w="0" w:type="dxa"/>
          </w:tblCellMar>
        </w:tblPrEx>
        <w:tc>
          <w:tcPr>
            <w:tcW w:w="379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4FCA325" w14:textId="77777777" w:rsidR="00AA392E" w:rsidRDefault="00000000">
            <w:pPr>
              <w:spacing w:line="280" w:lineRule="auto"/>
            </w:pPr>
            <w:r>
              <w:rPr>
                <w:sz w:val="21"/>
                <w:szCs w:val="21"/>
              </w:rPr>
              <w:t>Authorisation = "is this person allowed?"</w:t>
            </w:r>
          </w:p>
        </w:tc>
        <w:tc>
          <w:tcPr>
            <w:tcW w:w="5236"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0B0B96D0" w14:textId="77777777" w:rsidR="00AA392E" w:rsidRDefault="00000000">
            <w:pPr>
              <w:spacing w:line="280" w:lineRule="auto"/>
            </w:pPr>
            <w:r>
              <w:rPr>
                <w:sz w:val="21"/>
                <w:szCs w:val="21"/>
              </w:rPr>
              <w:t>Authorisation = "is this agent, acting for whom, with what learned capabilities, under what lawful basis, allowed?"</w:t>
            </w:r>
          </w:p>
        </w:tc>
      </w:tr>
      <w:tr w:rsidR="00AA392E" w14:paraId="59D2738B" w14:textId="77777777">
        <w:tblPrEx>
          <w:tblCellMar>
            <w:top w:w="0" w:type="dxa"/>
            <w:bottom w:w="0" w:type="dxa"/>
          </w:tblCellMar>
        </w:tblPrEx>
        <w:tc>
          <w:tcPr>
            <w:tcW w:w="379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3F73764" w14:textId="77777777" w:rsidR="00AA392E" w:rsidRDefault="00000000">
            <w:pPr>
              <w:spacing w:line="280" w:lineRule="auto"/>
            </w:pPr>
            <w:r>
              <w:rPr>
                <w:sz w:val="21"/>
                <w:szCs w:val="21"/>
              </w:rPr>
              <w:t>Audit logs are forensic</w:t>
            </w:r>
          </w:p>
        </w:tc>
        <w:tc>
          <w:tcPr>
            <w:tcW w:w="5236"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E14AA34" w14:textId="77777777" w:rsidR="00AA392E" w:rsidRDefault="00000000">
            <w:pPr>
              <w:spacing w:line="280" w:lineRule="auto"/>
            </w:pPr>
            <w:r>
              <w:rPr>
                <w:sz w:val="21"/>
                <w:szCs w:val="21"/>
              </w:rPr>
              <w:t>Audit logs are evidentiary, regulatory and operational</w:t>
            </w:r>
          </w:p>
        </w:tc>
      </w:tr>
      <w:tr w:rsidR="00AA392E" w14:paraId="1BA5E7EE" w14:textId="77777777">
        <w:tblPrEx>
          <w:tblCellMar>
            <w:top w:w="0" w:type="dxa"/>
            <w:bottom w:w="0" w:type="dxa"/>
          </w:tblCellMar>
        </w:tblPrEx>
        <w:tc>
          <w:tcPr>
            <w:tcW w:w="379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9A76F7D" w14:textId="77777777" w:rsidR="00AA392E" w:rsidRDefault="00000000">
            <w:pPr>
              <w:spacing w:line="280" w:lineRule="auto"/>
            </w:pPr>
            <w:r>
              <w:rPr>
                <w:sz w:val="21"/>
                <w:szCs w:val="21"/>
              </w:rPr>
              <w:t>One identity, one human</w:t>
            </w:r>
          </w:p>
        </w:tc>
        <w:tc>
          <w:tcPr>
            <w:tcW w:w="5236"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76D0001" w14:textId="77777777" w:rsidR="00AA392E" w:rsidRDefault="00000000">
            <w:pPr>
              <w:spacing w:line="280" w:lineRule="auto"/>
            </w:pPr>
            <w:r>
              <w:rPr>
                <w:sz w:val="21"/>
                <w:szCs w:val="21"/>
              </w:rPr>
              <w:t>One agent, many delegations, many tenants, many jurisdictions</w:t>
            </w:r>
          </w:p>
        </w:tc>
      </w:tr>
    </w:tbl>
    <w:p w14:paraId="46BF4677" w14:textId="77777777" w:rsidR="00AA392E" w:rsidRDefault="00AA392E">
      <w:pPr>
        <w:spacing w:after="160"/>
      </w:pPr>
    </w:p>
    <w:p w14:paraId="32FF1521" w14:textId="7744468B" w:rsidR="00AA392E" w:rsidRDefault="00000000">
      <w:pPr>
        <w:spacing w:after="120" w:line="320" w:lineRule="auto"/>
        <w:jc w:val="both"/>
      </w:pPr>
      <w:r>
        <w:t xml:space="preserve">The gap between "we have a large language model in production" and "we have a governed agent in production" is the gap this framework closes. The premise is therefore plain. An agent is a software </w:t>
      </w:r>
      <w:r>
        <w:lastRenderedPageBreak/>
        <w:t>actor with a stable identity, a declared purpose, a bounded set of capabilities, the ability to call tools and other agents, and a recorded behavioural history. An agent is first-class: it carries identity parity with humans, services and machines, and it is treated by every adjacent system</w:t>
      </w:r>
      <w:r w:rsidR="002A1CAA">
        <w:t>,</w:t>
      </w:r>
      <w:r>
        <w:t xml:space="preserve"> policy engines, audit logs, visualisation, compliance, ethics review</w:t>
      </w:r>
      <w:r w:rsidR="002A1CAA">
        <w:t>,</w:t>
      </w:r>
      <w:r>
        <w:t xml:space="preserve"> on those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A392E" w14:paraId="141BA789" w14:textId="77777777">
        <w:tblPrEx>
          <w:tblCellMar>
            <w:top w:w="0" w:type="dxa"/>
            <w:bottom w:w="0" w:type="dxa"/>
          </w:tblCellMar>
        </w:tblPrEx>
        <w:tc>
          <w:tcPr>
            <w:tcW w:w="9026" w:type="dxa"/>
            <w:tcBorders>
              <w:top w:val="single" w:sz="4" w:space="0" w:color="1E3A8A"/>
              <w:left w:val="single" w:sz="24" w:space="0" w:color="1E3A8A"/>
              <w:bottom w:val="single" w:sz="4" w:space="0" w:color="1E3A8A"/>
              <w:right w:val="single" w:sz="4" w:space="0" w:color="1E3A8A"/>
            </w:tcBorders>
            <w:shd w:val="clear" w:color="auto" w:fill="DBEAFE"/>
            <w:tcMar>
              <w:top w:w="200" w:type="dxa"/>
              <w:left w:w="240" w:type="dxa"/>
              <w:bottom w:w="200" w:type="dxa"/>
              <w:right w:w="240" w:type="dxa"/>
            </w:tcMar>
          </w:tcPr>
          <w:p w14:paraId="7EDA5AEA" w14:textId="77777777" w:rsidR="00AA392E" w:rsidRDefault="00000000">
            <w:pPr>
              <w:spacing w:after="100"/>
            </w:pPr>
            <w:r>
              <w:rPr>
                <w:b/>
                <w:bCs/>
                <w:color w:val="1E3A8A"/>
              </w:rPr>
              <w:t>Working definition</w:t>
            </w:r>
          </w:p>
          <w:p w14:paraId="19DED199" w14:textId="430D14F2" w:rsidR="00AA392E" w:rsidRDefault="00000000">
            <w:pPr>
              <w:spacing w:line="320" w:lineRule="auto"/>
              <w:jc w:val="both"/>
            </w:pPr>
            <w:r>
              <w:t>An agent is a software actor with a stable identity, a declared purpose, a bounded set of capabilities, the ability to call tools and other agents, and a recorded behavioural history. An agent is first-class</w:t>
            </w:r>
            <w:r w:rsidR="002A1CAA">
              <w:t>,</w:t>
            </w:r>
            <w:r>
              <w:t xml:space="preserve"> it carries identity parity with humans, services and machines, and the framework treats it accordingly throughout.</w:t>
            </w:r>
          </w:p>
        </w:tc>
      </w:tr>
    </w:tbl>
    <w:p w14:paraId="03F6FB27" w14:textId="77777777" w:rsidR="00AA392E" w:rsidRDefault="00AA392E">
      <w:pPr>
        <w:spacing w:after="200"/>
      </w:pPr>
    </w:p>
    <w:p w14:paraId="350DCC7A" w14:textId="77777777" w:rsidR="00AA392E" w:rsidRDefault="00000000">
      <w:pPr>
        <w:pStyle w:val="Heading2"/>
      </w:pPr>
      <w:bookmarkStart w:id="1" w:name="_Toc228176319"/>
      <w:r>
        <w:t>1.1  The three operating modes</w:t>
      </w:r>
      <w:bookmarkEnd w:id="1"/>
    </w:p>
    <w:p w14:paraId="6D6A3ED5" w14:textId="5A12DCFA" w:rsidR="00AA392E" w:rsidRDefault="00000000">
      <w:pPr>
        <w:spacing w:after="120" w:line="320" w:lineRule="auto"/>
        <w:jc w:val="both"/>
      </w:pPr>
      <w:r>
        <w:t>Every agent action falls into one of three modes, and the framework requires all three to be treated as legitimate, evidenced and distinguishable in audit. The first mode is human-led: the human authors each step and the agent assists, contributing drafts, retrievals, summaries or candidate actions for the human to commit. This is the default mode for new workflows that have not yet earned the trust required for higher autonomy, and for high-stakes operations where the cost of error is significant. The second mode is human-intervened: the agent proposes a course of action and the human approves it before commitment. This is the default mode for regulated verticals</w:t>
      </w:r>
      <w:r w:rsidR="002A1CAA">
        <w:t>,</w:t>
      </w:r>
      <w:r>
        <w:t xml:space="preserve"> healthcare, financial services, public sector</w:t>
      </w:r>
      <w:r w:rsidR="002A1CAA">
        <w:t>,</w:t>
      </w:r>
      <w:r>
        <w:t xml:space="preserve"> where supervisory expectations require demonstrable human oversight. The third mode is autonomous: the agent acts within a pre-authorised scope without per-action human approval. This is the appropriate mode for high-volume, low-risk operations whose risk profile has been characterised, whose guardrails are mature, and whose tolerance for occasional deviation is well understood.</w:t>
      </w:r>
    </w:p>
    <w:p w14:paraId="1FF95B68" w14:textId="0FEEC803" w:rsidR="00AA392E" w:rsidRDefault="00000000">
      <w:pPr>
        <w:spacing w:after="120" w:line="320" w:lineRule="auto"/>
        <w:jc w:val="both"/>
      </w:pPr>
      <w:r>
        <w:t>Mode is recorded per action, not per agent. The same agent will operate in all three modes across a single working session: human-led when drafting an unfamiliar deliverable, human-intervened when sending an external communication, autonomous when enriching an internal record. This per-action discipline matters because audit defensibility, regulatory mapping and incident triage all depend on knowing</w:t>
      </w:r>
      <w:r w:rsidR="002A1CAA">
        <w:t>,</w:t>
      </w:r>
      <w:r>
        <w:t xml:space="preserve"> at the moment a specific action was taken</w:t>
      </w:r>
      <w:r w:rsidR="002A1CAA">
        <w:t>,</w:t>
      </w:r>
      <w:r>
        <w:t xml:space="preserve"> which mode the agent was in and which authority underwrote the action. A framework that classifies mode at the level of the agent rather than the action has already discarded the resolution it most needs.</w:t>
      </w:r>
    </w:p>
    <w:p w14:paraId="3C345928" w14:textId="77777777" w:rsidR="00AA392E" w:rsidRDefault="00000000">
      <w:pPr>
        <w:spacing w:before="240" w:after="240"/>
        <w:jc w:val="center"/>
      </w:pPr>
      <w:r>
        <w:rPr>
          <w:noProof/>
        </w:rPr>
        <w:lastRenderedPageBreak/>
        <w:drawing>
          <wp:inline distT="0" distB="0" distL="0" distR="0" wp14:anchorId="5AB7754F" wp14:editId="1AB04DB6">
            <wp:extent cx="5919077" cy="3694176"/>
            <wp:effectExtent l="0" t="0" r="5715" b="1905"/>
            <wp:docPr id="1903245949" name="Picture 190324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28898" cy="3700306"/>
                    </a:xfrm>
                    <a:prstGeom prst="rect">
                      <a:avLst/>
                    </a:prstGeom>
                  </pic:spPr>
                </pic:pic>
              </a:graphicData>
            </a:graphic>
          </wp:inline>
        </w:drawing>
      </w:r>
    </w:p>
    <w:p w14:paraId="3F4D2C19" w14:textId="77777777" w:rsidR="00AA392E" w:rsidRDefault="00000000">
      <w:pPr>
        <w:pStyle w:val="Heading2"/>
      </w:pPr>
      <w:bookmarkStart w:id="2" w:name="_Toc228176320"/>
      <w:r>
        <w:t>1.2  The five-layer model</w:t>
      </w:r>
      <w:bookmarkEnd w:id="2"/>
    </w:p>
    <w:p w14:paraId="0EA18963" w14:textId="77777777" w:rsidR="00AA392E" w:rsidRDefault="00000000">
      <w:pPr>
        <w:spacing w:after="120" w:line="320" w:lineRule="auto"/>
        <w:jc w:val="both"/>
      </w:pPr>
      <w:r>
        <w:t>The framework decomposes into five layers, each with a distinct purpose, each independently valuable, and each sequentially adoptable. The layers are arranged conceptually as a stack from foundation to surface, but they must be co-designed: skipping any layer reduces every layer above it to advisory status.</w:t>
      </w:r>
    </w:p>
    <w:p w14:paraId="66204752" w14:textId="77777777" w:rsidR="00AA392E" w:rsidRDefault="00000000">
      <w:pPr>
        <w:spacing w:after="120" w:line="320" w:lineRule="auto"/>
        <w:jc w:val="both"/>
      </w:pPr>
      <w:r>
        <w:rPr>
          <w:b/>
          <w:bCs/>
          <w:color w:val="1E3A8A"/>
        </w:rPr>
        <w:t xml:space="preserve">Layer one is Identity. </w:t>
      </w:r>
      <w:r>
        <w:t>It comprises the master system of record, the agent identity provider, the profiles, capabilities, blessings and lineage. This is the foundation. Without it, no other layer has a stable referent. Section 3 sets out the system of record schema; section 4 covers profile, skills and blessings.</w:t>
      </w:r>
    </w:p>
    <w:p w14:paraId="7F5D0301" w14:textId="38723B67" w:rsidR="00AA392E" w:rsidRDefault="00000000">
      <w:pPr>
        <w:spacing w:after="120" w:line="320" w:lineRule="auto"/>
        <w:jc w:val="both"/>
      </w:pPr>
      <w:r>
        <w:rPr>
          <w:b/>
          <w:bCs/>
          <w:color w:val="1E3A8A"/>
        </w:rPr>
        <w:t xml:space="preserve">Layer two is Policy. </w:t>
      </w:r>
      <w:r>
        <w:t>It comprises the capabilities, scopes, lawful bases, consent receipts and rulebooks that declare</w:t>
      </w:r>
      <w:r w:rsidR="002A1CAA">
        <w:t>,</w:t>
      </w:r>
      <w:r>
        <w:t xml:space="preserve"> in code, not in committee minutes</w:t>
      </w:r>
      <w:r w:rsidR="002A1CAA">
        <w:t>,</w:t>
      </w:r>
      <w:r>
        <w:t xml:space="preserve"> what an agent is permitted to attempt and under what conditions. Section 5 covers fine-grained </w:t>
      </w:r>
      <w:proofErr w:type="spellStart"/>
      <w:r>
        <w:t>permissioning</w:t>
      </w:r>
      <w:proofErr w:type="spellEnd"/>
      <w:r>
        <w:t>; section 11.3 introduces rulebooks as the codified, versioned, attestable expression of policy.</w:t>
      </w:r>
    </w:p>
    <w:p w14:paraId="2E4944FC" w14:textId="4FACB91A" w:rsidR="00AA392E" w:rsidRDefault="00000000">
      <w:pPr>
        <w:spacing w:after="120" w:line="320" w:lineRule="auto"/>
        <w:jc w:val="both"/>
      </w:pPr>
      <w:r>
        <w:rPr>
          <w:b/>
          <w:bCs/>
          <w:color w:val="1E3A8A"/>
        </w:rPr>
        <w:t xml:space="preserve">Layer three is Enforcement. </w:t>
      </w:r>
      <w:r>
        <w:t>It is the gateway plane in the path of every agent call</w:t>
      </w:r>
      <w:r w:rsidR="002A1CAA">
        <w:t>,</w:t>
      </w:r>
      <w:r>
        <w:t xml:space="preserve"> inbound and outbound. It is the only layer that is non-</w:t>
      </w:r>
      <w:proofErr w:type="spellStart"/>
      <w:r>
        <w:t>bypassable</w:t>
      </w:r>
      <w:proofErr w:type="spellEnd"/>
      <w:r>
        <w:t>: every other layer is enforced through it. Without enforcement in the wire, identity, scope and policy are all advisory. Section 6 covers the policy enforcement plane in detail.</w:t>
      </w:r>
    </w:p>
    <w:p w14:paraId="4BE848B2" w14:textId="77777777" w:rsidR="00AA392E" w:rsidRDefault="00000000">
      <w:pPr>
        <w:spacing w:after="120" w:line="320" w:lineRule="auto"/>
        <w:jc w:val="both"/>
      </w:pPr>
      <w:r>
        <w:rPr>
          <w:b/>
          <w:bCs/>
          <w:color w:val="1E3A8A"/>
        </w:rPr>
        <w:t xml:space="preserve">Layer four is Evidence. </w:t>
      </w:r>
      <w:r>
        <w:t xml:space="preserve">It is the tamper-evident audit log, the provenance graph, the deterministic replay and the chain of custody. Evidence makes enforcement provable; without evidence, </w:t>
      </w:r>
      <w:r>
        <w:lastRenderedPageBreak/>
        <w:t>enforcement is asserted but not demonstrable. Section 7 sets out the auditory layer, including the storage tiering required to balance retention with admissibility.</w:t>
      </w:r>
    </w:p>
    <w:p w14:paraId="2939A3A4" w14:textId="073220C3" w:rsidR="00AA392E" w:rsidRDefault="00000000">
      <w:pPr>
        <w:spacing w:after="120" w:line="320" w:lineRule="auto"/>
        <w:jc w:val="both"/>
      </w:pPr>
      <w:r>
        <w:rPr>
          <w:b/>
          <w:bCs/>
          <w:color w:val="1E3A8A"/>
        </w:rPr>
        <w:t xml:space="preserve">Layer five is Trust Surface. </w:t>
      </w:r>
      <w:r>
        <w:t>It is the visualisation, transparency and attestation surface presented to operators, auditors, customers and regulators. Without a trust surface, evidence is forensic-only and the framework's value is realised only after incidents. With a trust surface, evidence becomes operational, regulatory and commercial</w:t>
      </w:r>
      <w:r w:rsidR="002A1CAA">
        <w:t>,</w:t>
      </w:r>
      <w:r>
        <w:t xml:space="preserve"> a sales surface, a procurement differentiator, a reduction in insurance premium. Section 9 covers visualisation and operator surfaces; section 10.8 covers compliance as a product surface.</w:t>
      </w:r>
    </w:p>
    <w:p w14:paraId="23478F4A" w14:textId="60E9B2A8" w:rsidR="00AA392E" w:rsidRDefault="00000000">
      <w:pPr>
        <w:spacing w:after="120" w:line="320" w:lineRule="auto"/>
        <w:jc w:val="both"/>
      </w:pPr>
      <w:r>
        <w:t>Identity without enforcement is advisory. Enforcement without evidence is unprovable. Evidence without a trust surface is forensic-only. Each layer earns its keep only when the others are in place. The framework's recommended adoption order</w:t>
      </w:r>
      <w:r w:rsidR="002A1CAA">
        <w:t>,</w:t>
      </w:r>
      <w:r>
        <w:t xml:space="preserve"> set out in section 11.10</w:t>
      </w:r>
      <w:r w:rsidR="002A1CAA">
        <w:t>,</w:t>
      </w:r>
      <w:r>
        <w:t xml:space="preserve"> reflects this dependency structure rather than any preference for a particular vendor stack.</w:t>
      </w:r>
    </w:p>
    <w:p w14:paraId="0B50D304" w14:textId="77777777" w:rsidR="00AA392E" w:rsidRDefault="00000000">
      <w:pPr>
        <w:spacing w:before="240" w:after="240"/>
        <w:jc w:val="center"/>
      </w:pPr>
      <w:r>
        <w:rPr>
          <w:noProof/>
        </w:rPr>
        <w:drawing>
          <wp:inline distT="0" distB="0" distL="0" distR="0" wp14:anchorId="144085D3" wp14:editId="3C6EA0E1">
            <wp:extent cx="6029157" cy="4147718"/>
            <wp:effectExtent l="0" t="0" r="0" b="5715"/>
            <wp:docPr id="914206963" name="Picture 91420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38793" cy="4154347"/>
                    </a:xfrm>
                    <a:prstGeom prst="rect">
                      <a:avLst/>
                    </a:prstGeom>
                  </pic:spPr>
                </pic:pic>
              </a:graphicData>
            </a:graphic>
          </wp:inline>
        </w:drawing>
      </w:r>
    </w:p>
    <w:p w14:paraId="36BBFEB8" w14:textId="77777777" w:rsidR="00AA392E" w:rsidRDefault="00000000">
      <w:pPr>
        <w:pStyle w:val="Heading1"/>
        <w:pageBreakBefore/>
      </w:pPr>
      <w:bookmarkStart w:id="3" w:name="_Toc228176321"/>
      <w:r>
        <w:lastRenderedPageBreak/>
        <w:t>2.  Identity Lifecycle</w:t>
      </w:r>
      <w:bookmarkEnd w:id="3"/>
    </w:p>
    <w:p w14:paraId="6527B082" w14:textId="22448BCB" w:rsidR="00AA392E" w:rsidRDefault="00000000">
      <w:pPr>
        <w:spacing w:after="120" w:line="320" w:lineRule="auto"/>
        <w:jc w:val="both"/>
      </w:pPr>
      <w:r>
        <w:t>An agent's life passes through five gates: birth, profile, operate, evolve and retire. Each gate generates evidence in the system of record and emits an event to the audit log. The lifecycle is not a metaphor; it is the operational structure that makes every later property</w:t>
      </w:r>
      <w:r w:rsidR="002A1CAA">
        <w:t>,</w:t>
      </w:r>
      <w:r>
        <w:t xml:space="preserve"> federation, replay, ethics review, drift detection</w:t>
      </w:r>
      <w:r w:rsidR="002A1CAA">
        <w:t>,</w:t>
      </w:r>
      <w:r>
        <w:t xml:space="preserve"> possible. An agent that cannot be located in this lifecycle is, by definition, ungoverned.</w:t>
      </w:r>
    </w:p>
    <w:p w14:paraId="3EAB58FF" w14:textId="77777777" w:rsidR="00AA392E" w:rsidRDefault="00000000">
      <w:pPr>
        <w:spacing w:before="240" w:after="240"/>
        <w:jc w:val="center"/>
      </w:pPr>
      <w:r>
        <w:rPr>
          <w:noProof/>
        </w:rPr>
        <w:drawing>
          <wp:inline distT="0" distB="0" distL="0" distR="0" wp14:anchorId="5344EE3E" wp14:editId="3B35EF96">
            <wp:extent cx="5986577" cy="3736303"/>
            <wp:effectExtent l="0" t="0" r="0" b="0"/>
            <wp:docPr id="1707571870" name="Picture 170757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89232" cy="3737960"/>
                    </a:xfrm>
                    <a:prstGeom prst="rect">
                      <a:avLst/>
                    </a:prstGeom>
                  </pic:spPr>
                </pic:pic>
              </a:graphicData>
            </a:graphic>
          </wp:inline>
        </w:drawing>
      </w:r>
    </w:p>
    <w:p w14:paraId="4E820C72" w14:textId="17C85272" w:rsidR="00AA392E" w:rsidRDefault="00000000">
      <w:pPr>
        <w:pStyle w:val="Heading2"/>
      </w:pPr>
      <w:bookmarkStart w:id="4" w:name="_Toc228176322"/>
      <w:r>
        <w:t>2.1  Birth</w:t>
      </w:r>
      <w:r w:rsidR="002A1CAA">
        <w:t>,</w:t>
      </w:r>
      <w:r>
        <w:t xml:space="preserve"> provisioning</w:t>
      </w:r>
      <w:bookmarkEnd w:id="4"/>
    </w:p>
    <w:p w14:paraId="6E245B23" w14:textId="36E7F4B7" w:rsidR="00AA392E" w:rsidRDefault="00000000">
      <w:pPr>
        <w:spacing w:after="120" w:line="320" w:lineRule="auto"/>
        <w:jc w:val="both"/>
      </w:pPr>
      <w:r>
        <w:t>Every agent is provisioned, never spontaneous. Spontaneous agents</w:t>
      </w:r>
      <w:r w:rsidR="002A1CAA">
        <w:t>,</w:t>
      </w:r>
      <w:r>
        <w:t xml:space="preserve"> instances that come into existence without an authorising principal</w:t>
      </w:r>
      <w:r w:rsidR="002A1CAA">
        <w:t>,</w:t>
      </w:r>
      <w:r>
        <w:t xml:space="preserve"> are the primary failure mode of permissive orchestration frameworks, and the framework rejects the pattern at the foundation. Provisioning produces, at minimum, four artefacts. The first is a globally unique agent identifier, expressed as a Decentralized Identifier so that the identity is portable across organisations without requiring trust in any single registry. The second is a cryptographic key pair, with the private key stored in a hardware security module or cloud key management service scoped to the agent. The third is a birth attestation signed by the issuing authority</w:t>
      </w:r>
      <w:r w:rsidR="002A1CAA">
        <w:t>,</w:t>
      </w:r>
      <w:r>
        <w:t xml:space="preserve"> the organisation's agent identity provider</w:t>
      </w:r>
      <w:r w:rsidR="002A1CAA">
        <w:t>,</w:t>
      </w:r>
      <w:r>
        <w:t xml:space="preserve"> naming the human or service principal that authorised creation, the model and version, the declared purpose, and the rulebooks bound at birth. The fourth, where the agent has been spawned by another agent, is a parent lineage edge that records the provenance of the spawning event.</w:t>
      </w:r>
    </w:p>
    <w:p w14:paraId="03C932DF" w14:textId="5AA05A9D" w:rsidR="00AA392E" w:rsidRDefault="00000000">
      <w:pPr>
        <w:spacing w:after="120" w:line="320" w:lineRule="auto"/>
        <w:jc w:val="both"/>
      </w:pPr>
      <w:r>
        <w:t xml:space="preserve">Provisioning is a write-once event. An agent's birth attestation is immutable; profile changes thereafter are amendments, not rewrites. This discipline is what makes the audit log evidentiary rather </w:t>
      </w:r>
      <w:r>
        <w:lastRenderedPageBreak/>
        <w:t>than narrative. An auditor reading the record three years later must be able to distinguish between the agent as originally constituted and the agent as it became</w:t>
      </w:r>
      <w:r w:rsidR="002A1CAA">
        <w:t>,</w:t>
      </w:r>
      <w:r>
        <w:t xml:space="preserve"> and the framework's append-only treatment of the birth attestation makes that distinction trivially answerable.</w:t>
      </w:r>
    </w:p>
    <w:p w14:paraId="58B150E1" w14:textId="77777777" w:rsidR="00AA392E" w:rsidRDefault="00000000">
      <w:pPr>
        <w:pStyle w:val="Heading2"/>
      </w:pPr>
      <w:bookmarkStart w:id="5" w:name="_Toc228176323"/>
      <w:r>
        <w:t>2.2  Profile</w:t>
      </w:r>
      <w:bookmarkEnd w:id="5"/>
    </w:p>
    <w:p w14:paraId="2578A699" w14:textId="1195C3AA" w:rsidR="00AA392E" w:rsidRDefault="00000000">
      <w:pPr>
        <w:spacing w:after="120" w:line="320" w:lineRule="auto"/>
        <w:jc w:val="both"/>
      </w:pPr>
      <w:r>
        <w:t>Profile is the agent's living dossier. Where the birth attestation is fixed, profile evolves through credentialled events. Section 4 expands this in full, but at the lifecycle stage profile captures the agent's declared purpose and bounded scope, its initial capability set (which tools and which APIs it has been authorised to invoke), the rulebooks bound to it (regulatory, contractual and ethical), the residency to which the agent is pinned (which jurisdictions it operates within), the risk classification under EU AI Act framing (limited, high or prohibited), and the liability allocation between operator, provider, integrator and customer. Profile is the answer to "what can this agent do, and on whose authority"</w:t>
      </w:r>
      <w:r w:rsidR="002A1CAA">
        <w:t>,</w:t>
      </w:r>
      <w:r>
        <w:t xml:space="preserve"> a question that recurs in every subsequent layer.</w:t>
      </w:r>
    </w:p>
    <w:p w14:paraId="209C13C6" w14:textId="77777777" w:rsidR="00AA392E" w:rsidRDefault="00000000">
      <w:pPr>
        <w:pStyle w:val="Heading2"/>
      </w:pPr>
      <w:bookmarkStart w:id="6" w:name="_Toc228176324"/>
      <w:r>
        <w:t>2.3  Operate</w:t>
      </w:r>
      <w:bookmarkEnd w:id="6"/>
    </w:p>
    <w:p w14:paraId="1EAF64C1" w14:textId="520A9071" w:rsidR="00AA392E" w:rsidRDefault="00000000">
      <w:pPr>
        <w:spacing w:after="120" w:line="320" w:lineRule="auto"/>
        <w:jc w:val="both"/>
      </w:pPr>
      <w:r>
        <w:t>Operating is where most of the lifecycle's clock time is spent. In each session, the agent presents a short-lived, scope-bound credential to the policy enforcement plane. Each call is policy-checked, scope-bound and audited as it crosses the gateway. Recursive sub-tasks spawn child sessions whose lineage headers preserve the chain of authority back to the originating principal. Mode</w:t>
      </w:r>
      <w:r w:rsidR="002A1CAA">
        <w:t>,</w:t>
      </w:r>
      <w:r>
        <w:t xml:space="preserve"> human-led, human-intervened or autonomous</w:t>
      </w:r>
      <w:r w:rsidR="002A1CAA">
        <w:t>,</w:t>
      </w:r>
      <w:r>
        <w:t xml:space="preserve"> is recorded per action. Cost, latency and policy verdicts feed the visualisation surface in real time, allowing operators to see drift, anomaly or runaway as they begin rather than after they conclude.</w:t>
      </w:r>
    </w:p>
    <w:p w14:paraId="49B90113" w14:textId="77777777" w:rsidR="00AA392E" w:rsidRDefault="00000000">
      <w:pPr>
        <w:pStyle w:val="Heading2"/>
      </w:pPr>
      <w:bookmarkStart w:id="7" w:name="_Toc228176325"/>
      <w:r>
        <w:t>2.4  Evolve</w:t>
      </w:r>
      <w:bookmarkEnd w:id="7"/>
    </w:p>
    <w:p w14:paraId="596B223F" w14:textId="5280324D" w:rsidR="00AA392E" w:rsidRDefault="00000000">
      <w:pPr>
        <w:spacing w:after="120" w:line="320" w:lineRule="auto"/>
        <w:jc w:val="both"/>
      </w:pPr>
      <w:r>
        <w:t>Agents learn. The framework's central discipline is that learning is treated as a credentialled event rather than a silent drift. Every blessing earned</w:t>
      </w:r>
      <w:r w:rsidR="002A1CAA">
        <w:t>,</w:t>
      </w:r>
      <w:r>
        <w:t xml:space="preserve"> every demonstrable instance of a capability successfully exercised, every benchmark passed, every reviewer approval granted</w:t>
      </w:r>
      <w:r w:rsidR="002A1CAA">
        <w:t>,</w:t>
      </w:r>
      <w:r>
        <w:t xml:space="preserve"> is signed by an attesting authority and recorded in the system of record. Material changes (a model upgrade, a prompt revision, the binding of a new tool) trigger re-attestation: the agent passes back through ethics review at a level proportional to its risk class. Drift detection runs continuously and is not a quarterly project. Capability misuse, output anomaly, cost spike and refusal-rate change are all monitored. Drift exceeding a threshold triggers a forced re-attestation gate; the agent does not continue to operate at full scope until the gate is cleared.</w:t>
      </w:r>
    </w:p>
    <w:p w14:paraId="7E0DBDC0" w14:textId="77777777" w:rsidR="00AA392E" w:rsidRDefault="00000000">
      <w:pPr>
        <w:pStyle w:val="Heading2"/>
      </w:pPr>
      <w:bookmarkStart w:id="8" w:name="_Toc228176326"/>
      <w:r>
        <w:t>2.5  Retire</w:t>
      </w:r>
      <w:bookmarkEnd w:id="8"/>
    </w:p>
    <w:p w14:paraId="70355A0B" w14:textId="77777777" w:rsidR="00AA392E" w:rsidRDefault="00000000">
      <w:pPr>
        <w:spacing w:after="120" w:line="320" w:lineRule="auto"/>
        <w:jc w:val="both"/>
      </w:pPr>
      <w:r>
        <w:t xml:space="preserve">Retirement is not deletion. An agent in retirement has had all credentials revoked at the policy enforcement plane and across federated trust roots. Its private key has been destroyed, with the destruction itself attested by the hardware security module so that revival is cryptographically </w:t>
      </w:r>
      <w:r>
        <w:lastRenderedPageBreak/>
        <w:t>impossible. Its trajectory data is archived per the retention policy of every rulebook to which it was bound, because litigation may arrive years after the agent has ceased operation and the framework's defence rests on the audit trail surviving.</w:t>
      </w:r>
    </w:p>
    <w:p w14:paraId="49CC5C65" w14:textId="4D3F5FBB" w:rsidR="00AA392E" w:rsidRDefault="00000000">
      <w:pPr>
        <w:spacing w:after="120" w:line="320" w:lineRule="auto"/>
        <w:jc w:val="both"/>
      </w:pPr>
      <w:r>
        <w:t>Retirement may include a succession ceremony</w:t>
      </w:r>
      <w:r w:rsidR="002A1CAA">
        <w:t>,</w:t>
      </w:r>
      <w:r>
        <w:t xml:space="preserve"> a signed handover to a successor agent of skill bindings, retained memories (with the consent of any data subjects whose data underlies those memories), open delegations and customer relationships. Succession events are themselves audited; the successor agent's birth attestation references the predecessor's retirement attestation, and the lineage graph makes the continuity discoverable. Retirement is durable: the system of record persists indefinitely (or per legal retention), not as a live identity but as evidentiary history. An agent that has been retired and whose record has subsequently been deleted is an agent that cannot be defended in litigation; the framework therefore declines to support such deletion outside of structured legal-hold release.</w:t>
      </w:r>
    </w:p>
    <w:p w14:paraId="40016708" w14:textId="5CB703F1" w:rsidR="00AA392E" w:rsidRDefault="00000000">
      <w:pPr>
        <w:pStyle w:val="Heading1"/>
        <w:pageBreakBefore/>
      </w:pPr>
      <w:bookmarkStart w:id="9" w:name="_Toc228176327"/>
      <w:r>
        <w:lastRenderedPageBreak/>
        <w:t xml:space="preserve">3.  Master System of Record </w:t>
      </w:r>
      <w:r w:rsidR="002A1CAA">
        <w:t>,</w:t>
      </w:r>
      <w:r>
        <w:t xml:space="preserve">  the Agent Identity Provider</w:t>
      </w:r>
      <w:bookmarkEnd w:id="9"/>
    </w:p>
    <w:p w14:paraId="10DA7DAB" w14:textId="77777777" w:rsidR="00AA392E" w:rsidRDefault="00000000">
      <w:pPr>
        <w:spacing w:after="120" w:line="320" w:lineRule="auto"/>
        <w:jc w:val="both"/>
      </w:pPr>
      <w:r>
        <w:t>The Agent Identity Provider is the master record. It is the canonical answer to the question "who is this agent, and on whose authority". Everything else in the framework hangs off it: capabilities are defined relative to it, audit events reference it, ethics reviews attest to it, federation requires its DIDs to be resolvable. An organisation that does not have a master record for its agents has no foundation on which to build the rest of the framework, no matter how sophisticated its other tooling.</w:t>
      </w:r>
    </w:p>
    <w:p w14:paraId="2913C1D8" w14:textId="77777777" w:rsidR="00AA392E" w:rsidRDefault="00000000">
      <w:pPr>
        <w:pStyle w:val="Heading2"/>
      </w:pPr>
      <w:bookmarkStart w:id="10" w:name="_Toc228176328"/>
      <w:r>
        <w:t>3.1  The core schema</w:t>
      </w:r>
      <w:bookmarkEnd w:id="10"/>
    </w:p>
    <w:p w14:paraId="76004233" w14:textId="469F87B1" w:rsidR="00AA392E" w:rsidRDefault="00000000">
      <w:pPr>
        <w:spacing w:after="120" w:line="320" w:lineRule="auto"/>
        <w:jc w:val="both"/>
      </w:pPr>
      <w:r>
        <w:t>Each agent's record carries, at minimum, the following fields. A globally unique agent identifier, expressed as a Decentralized Identifier in a namespace that the issuing organisation controls. The issuing authority</w:t>
      </w:r>
      <w:r w:rsidR="002A1CAA">
        <w:t>,</w:t>
      </w:r>
      <w:r>
        <w:t xml:space="preserve"> the organisation, expressed as its own DID. The creation timestamp and the principal that authorised creation, with a reference to the change-management ticket or workflow that records the authorisation. The agent's status, drawn from a controlled vocabulary of provisioned, active, suspended and retired. The model in use</w:t>
      </w:r>
      <w:r w:rsidR="002A1CAA">
        <w:t>,</w:t>
      </w:r>
      <w:r>
        <w:t xml:space="preserve"> its provider, family, version and a fingerprint by which a specific deployment can be uniquely identified. The system prompt's hash and version chain, so that prompt drift is detectable. The agent's declared purpose, expressed in human-readable form because it must be reviewable by humans. The risk classification under EU AI Act framing. The residency to which the agent is pinned. The parent agent and child agents, where the agent has been spawned by or has spawned others. The set of granted capabilities. The set of bound rulebooks. The liability allocation between operator, provider, integrator and customer. A reference to the agent's bill of materials. References to the signing and encryption keys held in the hardware security module. The chain of attestations</w:t>
      </w:r>
      <w:r w:rsidR="002A1CAA">
        <w:t>,</w:t>
      </w:r>
      <w:r>
        <w:t xml:space="preserve"> birth, ethics review, blessings</w:t>
      </w:r>
      <w:r w:rsidR="002A1CAA">
        <w:t>,</w:t>
      </w:r>
      <w:r>
        <w:t xml:space="preserve"> each signed by its issuing authority and time-stamped.</w:t>
      </w:r>
    </w:p>
    <w:p w14:paraId="02F88A5A" w14:textId="77777777" w:rsidR="00AA392E" w:rsidRDefault="00000000">
      <w:pPr>
        <w:spacing w:after="120" w:line="320" w:lineRule="auto"/>
        <w:jc w:val="both"/>
      </w:pPr>
      <w:r>
        <w:t>This schema is not exhaustive; it is the floor. Specific deployments will extend it with sector-specific fields (clinical credentialling, financial-services attestations, public-sector security clearances). The framework's contribution is the requirement that the schema exists, that it is canonical, and that every other system in the agent ecosystem treats it as the source of truth rather than maintaining parallel records that drift.</w:t>
      </w:r>
    </w:p>
    <w:p w14:paraId="13E060DC" w14:textId="77777777" w:rsidR="00AA392E" w:rsidRDefault="00000000">
      <w:pPr>
        <w:pStyle w:val="Heading2"/>
      </w:pPr>
      <w:bookmarkStart w:id="11" w:name="_Toc228176329"/>
      <w:r>
        <w:t>3.2  The Agent Bill of Materials</w:t>
      </w:r>
      <w:bookmarkEnd w:id="11"/>
    </w:p>
    <w:p w14:paraId="21F09A50" w14:textId="21D8A848" w:rsidR="00AA392E" w:rsidRDefault="00000000">
      <w:pPr>
        <w:spacing w:after="120" w:line="320" w:lineRule="auto"/>
        <w:jc w:val="both"/>
      </w:pPr>
      <w:r>
        <w:t>Every agent has an immutable, signed bill of materials. The construct is the agent equivalent of the software bill of materials that has become standard in regulated software supply chains, and it serves the same purpose: producing a single artefact that names every component of which the system is composed, so that downstream parties</w:t>
      </w:r>
      <w:r w:rsidR="002A1CAA">
        <w:t>,</w:t>
      </w:r>
      <w:r>
        <w:t xml:space="preserve"> auditors, regulators, customers</w:t>
      </w:r>
      <w:r w:rsidR="002A1CAA">
        <w:t>,</w:t>
      </w:r>
      <w:r>
        <w:t xml:space="preserve"> can verify integrity and trace provenance.</w:t>
      </w:r>
    </w:p>
    <w:p w14:paraId="265CB6FF" w14:textId="77777777" w:rsidR="00AA392E" w:rsidRDefault="00000000">
      <w:pPr>
        <w:spacing w:after="120" w:line="320" w:lineRule="auto"/>
        <w:jc w:val="both"/>
      </w:pPr>
      <w:r>
        <w:lastRenderedPageBreak/>
        <w:t>The Agent Bill of Materials names the model provider, family, version and fingerprint; the system prompt's hash and the prompt's version chain; the tool list with versions and integration provenance; the skill bindings with their versions; the training-data summaries for any fine-tuned components; the third-party dependencies; and the bound rulebooks. It is signed by the issuing authority and stored alongside the agent's record, indexed by content hash so that any tampering is detectable.</w:t>
      </w:r>
    </w:p>
    <w:p w14:paraId="4DE51680" w14:textId="528CB96A" w:rsidR="00AA392E" w:rsidRDefault="00000000">
      <w:pPr>
        <w:spacing w:after="120" w:line="320" w:lineRule="auto"/>
        <w:jc w:val="both"/>
      </w:pPr>
      <w:r>
        <w:t>The bill of materials is the artefact that regulators, auditors and downstream customers will request. It is also the input to deterministic replay</w:t>
      </w:r>
      <w:r w:rsidR="002A1CAA">
        <w:t>,</w:t>
      </w:r>
      <w:r>
        <w:t xml:space="preserve"> the property described in section 7.3 by which a past session can be reconstructed faithfully enough to answer the question "what would a reasonable agent have done under those conditions". Without the bill of materials, replay is fiction, and the litigation defence the framework promises collapses. Replay without the bill of materials is reconstruction from imperfect memory, which is not a defence at all.</w:t>
      </w:r>
    </w:p>
    <w:p w14:paraId="689CF960" w14:textId="77777777" w:rsidR="00AA392E" w:rsidRDefault="00000000">
      <w:pPr>
        <w:pStyle w:val="Heading2"/>
      </w:pPr>
      <w:bookmarkStart w:id="12" w:name="_Toc228176330"/>
      <w:r>
        <w:t>3.3  Lineage as a first-class graph</w:t>
      </w:r>
      <w:bookmarkEnd w:id="12"/>
    </w:p>
    <w:p w14:paraId="6917BFA6" w14:textId="74ACF331" w:rsidR="00AA392E" w:rsidRDefault="00000000">
      <w:pPr>
        <w:spacing w:after="120" w:line="320" w:lineRule="auto"/>
        <w:jc w:val="both"/>
      </w:pPr>
      <w:r>
        <w:t xml:space="preserve">Agents spawn agents. The identity provider therefore maintains the lineage graph as a primary data structure, not as a side-effect of audit log analysis. Every node in the graph knows its parent (who spawned this agent, on what authority), its children (which agents this one has spawned), its mentors (which agents have trained or attested to it), and its delegators (which humans or agents currently delegate to it). The graph is </w:t>
      </w:r>
      <w:proofErr w:type="spellStart"/>
      <w:r>
        <w:t>queryable</w:t>
      </w:r>
      <w:proofErr w:type="spellEnd"/>
      <w:r>
        <w:t xml:space="preserve"> in both directions and at depth: "show me every agent descended from agent X in the last twenty-four hours" is a single graph traversal</w:t>
      </w:r>
      <w:r w:rsidR="002A1CAA">
        <w:t>,</w:t>
      </w:r>
      <w:r>
        <w:t xml:space="preserve"> and it is exactly the question that gets asked in incident response, in legal discovery and in regulator inbound.</w:t>
      </w:r>
    </w:p>
    <w:p w14:paraId="4F203319" w14:textId="77777777" w:rsidR="00AA392E" w:rsidRDefault="00000000">
      <w:pPr>
        <w:spacing w:after="120" w:line="320" w:lineRule="auto"/>
        <w:jc w:val="both"/>
      </w:pPr>
      <w:r>
        <w:t>The framework's insistence on lineage as a first-class structure reflects a hard-won lesson from distributed systems: that information which is implicit in event logs is information which is unavailable in practice. By the time an investigation is under way, the latency of reconstructing lineage from raw events is incompatible with the operational tempo of the response. The graph must exist before it is needed.</w:t>
      </w:r>
    </w:p>
    <w:p w14:paraId="21552039" w14:textId="77777777" w:rsidR="00AA392E" w:rsidRDefault="00000000">
      <w:pPr>
        <w:pStyle w:val="Heading2"/>
      </w:pPr>
      <w:bookmarkStart w:id="13" w:name="_Toc228176331"/>
      <w:r>
        <w:t>3.4  Federation</w:t>
      </w:r>
      <w:bookmarkEnd w:id="13"/>
    </w:p>
    <w:p w14:paraId="59C1F1E3" w14:textId="15B1D2FC" w:rsidR="00AA392E" w:rsidRDefault="00000000">
      <w:pPr>
        <w:spacing w:after="120" w:line="320" w:lineRule="auto"/>
        <w:jc w:val="both"/>
      </w:pPr>
      <w:r>
        <w:t>The agent identity provider must federate. An agent born in one organisation must be presentable to customer agents, to third-party APIs, to regulators and to other agent ecosystems. Federation is not optional: an agent that cannot present its identity outside its home organisation is not a citizen of the agent economy but a cul-de-sac, and the value of the framework's other properties</w:t>
      </w:r>
      <w:r w:rsidR="002A1CAA">
        <w:t>,</w:t>
      </w:r>
      <w:r>
        <w:t xml:space="preserve"> capability, blessing, ethics review</w:t>
      </w:r>
      <w:r w:rsidR="002A1CAA">
        <w:t>,</w:t>
      </w:r>
      <w:r>
        <w:t xml:space="preserve"> is forgone at the boundary.</w:t>
      </w:r>
    </w:p>
    <w:p w14:paraId="006980BD" w14:textId="44F06C3C" w:rsidR="00AA392E" w:rsidRDefault="00000000">
      <w:pPr>
        <w:spacing w:after="120" w:line="320" w:lineRule="auto"/>
        <w:jc w:val="both"/>
      </w:pPr>
      <w:r>
        <w:t>Federation rests on four established standards. Decentralized Identifiers (W3C DID Core 1.0) provide portable identifiers that any party can resolve to a public key without requiring a contract with the originating organisation. Verifiable Credentials (W3C VC 2.0) provide portable, signed, selectively-disclosed attestations of capability, blessing and ethics review</w:t>
      </w:r>
      <w:r w:rsidR="002A1CAA">
        <w:t>,</w:t>
      </w:r>
      <w:r>
        <w:t xml:space="preserve"> a customer can verify "this agent has been ethics-reviewed by Verax under Rulebook X" without needing to trust Verax's web service </w:t>
      </w:r>
      <w:r>
        <w:lastRenderedPageBreak/>
        <w:t>uptime. SPIFFE and SPIRE provide workload identity at the infrastructure layer, complementing DIDs at the application layer. Cross-organisation trust roots are governed by mutual recognition agreements</w:t>
      </w:r>
      <w:r w:rsidR="002A1CAA">
        <w:t>,</w:t>
      </w:r>
      <w:r>
        <w:t xml:space="preserve"> the agent peering model</w:t>
      </w:r>
      <w:r w:rsidR="002A1CAA">
        <w:t>,</w:t>
      </w:r>
      <w:r>
        <w:t xml:space="preserve"> which make explicit which credential issuers each organisation accepts and under what conditions. Section 12 sets out the federation model in detail.</w:t>
      </w:r>
    </w:p>
    <w:p w14:paraId="6A7C7C05" w14:textId="77777777" w:rsidR="00AA392E" w:rsidRDefault="00000000">
      <w:pPr>
        <w:pStyle w:val="Heading1"/>
        <w:pageBreakBefore/>
      </w:pPr>
      <w:bookmarkStart w:id="14" w:name="_Toc228176332"/>
      <w:r>
        <w:lastRenderedPageBreak/>
        <w:t>4.  Profile, Skills and Blessings</w:t>
      </w:r>
      <w:bookmarkEnd w:id="14"/>
    </w:p>
    <w:p w14:paraId="44AEAFD9" w14:textId="278752F7" w:rsidR="00AA392E" w:rsidRDefault="00000000">
      <w:pPr>
        <w:spacing w:after="120" w:line="320" w:lineRule="auto"/>
        <w:jc w:val="both"/>
      </w:pPr>
      <w:r>
        <w:t>Identity tells you who an agent is. Profile tells you what the agent can do, what it knows, and what it has earned the right to attempt. The framework distinguishes three components</w:t>
      </w:r>
      <w:r w:rsidR="002A1CAA">
        <w:t>,</w:t>
      </w:r>
      <w:r>
        <w:t xml:space="preserve"> capabilities, skills and blessings</w:t>
      </w:r>
      <w:r w:rsidR="002A1CAA">
        <w:t>,</w:t>
      </w:r>
      <w:r>
        <w:t xml:space="preserve"> because each is governed differently and each fails differently.</w:t>
      </w:r>
    </w:p>
    <w:p w14:paraId="7C9CEC7F" w14:textId="77777777" w:rsidR="00AA392E" w:rsidRDefault="00000000">
      <w:pPr>
        <w:pStyle w:val="Heading2"/>
      </w:pPr>
      <w:bookmarkStart w:id="15" w:name="_Toc228176333"/>
      <w:r>
        <w:t>4.1  The three components</w:t>
      </w:r>
      <w:bookmarkEnd w:id="15"/>
    </w:p>
    <w:p w14:paraId="2B29CE15" w14:textId="17AE4AF8" w:rsidR="00AA392E" w:rsidRDefault="00000000">
      <w:pPr>
        <w:spacing w:after="120" w:line="320" w:lineRule="auto"/>
        <w:jc w:val="both"/>
      </w:pPr>
      <w:r>
        <w:t>Capabilities are declared up front. They are the set of things the agent is permitted to attempt, expressed as narrow, composable permissions. Capabilities are enforced at the policy enforcement plane: an agent cannot exceed its declared capabilities at runtime, regardless of what its skills or its model might suggest. Skills are modular, versioned, attested units of operational know-how</w:t>
      </w:r>
      <w:r w:rsidR="002A1CAA">
        <w:t>,</w:t>
      </w:r>
      <w:r>
        <w:t xml:space="preserve"> workflows, domain models, interaction patterns</w:t>
      </w:r>
      <w:r w:rsidR="002A1CAA">
        <w:t>,</w:t>
      </w:r>
      <w:r>
        <w:t xml:space="preserve"> loaded per session and composable across agents. Skills declare the capabilities they require; an agent must hold those capabilities for the skill to be loaded. Blessings are earned over time. They are evidence of demonstrated competence</w:t>
      </w:r>
      <w:r w:rsidR="002A1CAA">
        <w:t>,</w:t>
      </w:r>
      <w:r>
        <w:t xml:space="preserve"> passed benchmarks, completed runs without incident, human approval on a class of action, ethics review for a specific deployment. Blessings are expirable and revocable; a blessing earned by an agent under one configuration is forfeit when the configuration materially changes.</w:t>
      </w:r>
    </w:p>
    <w:p w14:paraId="7DD3BE89" w14:textId="77777777" w:rsidR="00AA392E" w:rsidRDefault="00000000">
      <w:pPr>
        <w:pStyle w:val="Heading2"/>
      </w:pPr>
      <w:bookmarkStart w:id="16" w:name="_Toc228176334"/>
      <w:r>
        <w:t>4.2  Skills as versioned, signed artefacts</w:t>
      </w:r>
      <w:bookmarkEnd w:id="16"/>
    </w:p>
    <w:p w14:paraId="3F4195D7" w14:textId="77777777" w:rsidR="00AA392E" w:rsidRDefault="00000000">
      <w:pPr>
        <w:spacing w:after="120" w:line="320" w:lineRule="auto"/>
        <w:jc w:val="both"/>
      </w:pPr>
      <w:r>
        <w:t>A skill is a unit of operational know-how. Verax's working studio operates with a catalogue of approximately forty-four skills today, ranging from procurement-document drafting through to operational handover sequences for smart-city deployments. In the framework, each skill is a signed artefact with a content hash, a semantic version, and a dependency graph that names every other skill or capability it requires. Skills are content-addressable, meaning that the assertion "agent X bound skill agent-sales-proposal at version 1.4.2" is a verifiable claim, not a vibe. Skill updates that introduce new tools, new capabilities or new external calls require re-attestation, because the change is material to the agent's risk profile. Updates that adjust prose, refactor logic without expanding scope, or fix bugs do not require re-attestation but are still version-tracked so that drift can be reconstructed.</w:t>
      </w:r>
    </w:p>
    <w:p w14:paraId="521E2D8D" w14:textId="5CE9FCD3" w:rsidR="00AA392E" w:rsidRDefault="00000000">
      <w:pPr>
        <w:pStyle w:val="Heading2"/>
      </w:pPr>
      <w:bookmarkStart w:id="17" w:name="_Toc228176335"/>
      <w:r>
        <w:t>4.3  Blessings</w:t>
      </w:r>
      <w:r w:rsidR="002A1CAA">
        <w:t>,</w:t>
      </w:r>
      <w:r>
        <w:t xml:space="preserve"> earned credentials</w:t>
      </w:r>
      <w:bookmarkEnd w:id="17"/>
    </w:p>
    <w:p w14:paraId="6AC648E5" w14:textId="24A62751" w:rsidR="00AA392E" w:rsidRDefault="00000000">
      <w:pPr>
        <w:spacing w:after="120" w:line="320" w:lineRule="auto"/>
        <w:jc w:val="both"/>
      </w:pPr>
      <w:r>
        <w:t>A blessing is what an agent has earned. It is issued by an attesting authority</w:t>
      </w:r>
      <w:r w:rsidR="002A1CAA">
        <w:t>,</w:t>
      </w:r>
      <w:r>
        <w:t xml:space="preserve"> a reviewer agent, a human approver, an automated benchmark suite, or an ethics committee</w:t>
      </w:r>
      <w:r w:rsidR="002A1CAA">
        <w:t>,</w:t>
      </w:r>
      <w:r>
        <w:t xml:space="preserve"> and it is signed as a Verifiable Credential so that it survives federation. Blessings are scoped: a blessing for "draft contracts in the United Kingdom" does not transfer to "draft contracts in Germany" without further attestation, because the underlying competence is not the same. Blessings are expirable: most expire on a fixed schedule or upon a material change to the agent (model upgrade, prompt revision). Blessings are revocable: a blessing can be withdrawn after an incident, after detected drift, or after a policy change that invalidates the original attestation. The audit log records every blessing earned, every blessing </w:t>
      </w:r>
      <w:r>
        <w:lastRenderedPageBreak/>
        <w:t>exercised, and every blessing revoked. The system of record is the directory; the audit log is the journal.</w:t>
      </w:r>
    </w:p>
    <w:p w14:paraId="53E76EC1" w14:textId="77777777" w:rsidR="00AA392E" w:rsidRDefault="00000000">
      <w:pPr>
        <w:pStyle w:val="Heading2"/>
      </w:pPr>
      <w:bookmarkStart w:id="18" w:name="_Toc228176336"/>
      <w:r>
        <w:t>4.4  Memory hygiene</w:t>
      </w:r>
      <w:bookmarkEnd w:id="18"/>
    </w:p>
    <w:p w14:paraId="7090BBCD" w14:textId="77777777" w:rsidR="00AA392E" w:rsidRDefault="00000000">
      <w:pPr>
        <w:spacing w:after="120" w:line="320" w:lineRule="auto"/>
        <w:jc w:val="both"/>
      </w:pPr>
      <w:r>
        <w:t>Agents accumulate context. They build vector stores, summaries, learned facts, retrieved snippets. This accumulated context is data, governed by the data compliance section that follows, but it has dynamics specific to learning systems that warrant explicit treatment in the profile section.</w:t>
      </w:r>
    </w:p>
    <w:p w14:paraId="7B819191" w14:textId="77777777" w:rsidR="00AA392E" w:rsidRDefault="00000000">
      <w:pPr>
        <w:spacing w:after="120" w:line="320" w:lineRule="auto"/>
        <w:jc w:val="both"/>
      </w:pPr>
      <w:r>
        <w:t>Contamination is the first risk. A single bad embedding can poison retrieval for every subsequent call, because retrieval surfaces the closest match by similarity rather than by trust. The framework therefore requires that memory ingestion is checked at the boundary and that memory writes are reversible. Drift is the second risk. Memories diverge from primary sources over time as the underlying facts change but the embeddings do not. Memory entries must therefore carry source-of-truth references and re-validation schedules; an embedding more than ninety days from its source is, by default, treated as suspect.</w:t>
      </w:r>
    </w:p>
    <w:p w14:paraId="34BA6FAC" w14:textId="5DF50100" w:rsidR="00AA392E" w:rsidRDefault="00000000">
      <w:pPr>
        <w:spacing w:after="120" w:line="320" w:lineRule="auto"/>
        <w:jc w:val="both"/>
      </w:pPr>
      <w:r>
        <w:t>Per-tenant isolation is the third risk. In multi-tenant deployments, memories must never cross tenants</w:t>
      </w:r>
      <w:r w:rsidR="002A1CAA">
        <w:t>,</w:t>
      </w:r>
      <w:r>
        <w:t xml:space="preserve"> a memory generated in the course of serving Customer A must never surface in a session serving Customer B. The framework requires this isolation to be enforced at the vector store, not at the agent, because application-layer isolation has the shelf-life of the developer who wrote it. Forgetting is the fourth risk: erasure of memory is operationally harder than erasure of primary data, because embeddings, summaries and derived insights must all be reachable. Crypto-shredding</w:t>
      </w:r>
      <w:r w:rsidR="002A1CAA">
        <w:t>,</w:t>
      </w:r>
      <w:r>
        <w:t xml:space="preserve"> the technique covered in section 10.4</w:t>
      </w:r>
      <w:r w:rsidR="002A1CAA">
        <w:t>,</w:t>
      </w:r>
      <w:r>
        <w:t xml:space="preserve"> is the operational answer. Catastrophic forgetting versus intentional forgetting is the fifth risk: model fine-tuning can inadvertently erase prior capabilities, and the framework treats this as a material change requiring re-attestation rather than as an internal model concern.</w:t>
      </w:r>
    </w:p>
    <w:p w14:paraId="6F5AE708" w14:textId="77777777" w:rsidR="00AA392E" w:rsidRDefault="00000000">
      <w:pPr>
        <w:pStyle w:val="Heading1"/>
        <w:pageBreakBefore/>
      </w:pPr>
      <w:bookmarkStart w:id="19" w:name="_Toc228176337"/>
      <w:r>
        <w:lastRenderedPageBreak/>
        <w:t xml:space="preserve">5.  Fine-Grained </w:t>
      </w:r>
      <w:proofErr w:type="spellStart"/>
      <w:r>
        <w:t>Permissioning</w:t>
      </w:r>
      <w:bookmarkEnd w:id="19"/>
      <w:proofErr w:type="spellEnd"/>
    </w:p>
    <w:p w14:paraId="0D5E1E09" w14:textId="77777777" w:rsidR="00AA392E" w:rsidRDefault="00000000">
      <w:pPr>
        <w:spacing w:after="120" w:line="320" w:lineRule="auto"/>
        <w:jc w:val="both"/>
      </w:pPr>
      <w:r>
        <w:t>Roles do not work for agents. The role abstraction was developed for organisations of humans whose jobs change rarely; it assumes a stable set of personas to which permissions can be attached and which then mediate access to systems. Agents have generative scope: their permissions need to compose dynamically, expand on legitimate need, and contract on completion. The framework therefore uses capability-based authorisation throughout, and treats the role construct as an antipattern when applied to agents.</w:t>
      </w:r>
    </w:p>
    <w:p w14:paraId="6EB30A1F" w14:textId="77777777" w:rsidR="00AA392E" w:rsidRDefault="00000000">
      <w:pPr>
        <w:pStyle w:val="Heading2"/>
      </w:pPr>
      <w:bookmarkStart w:id="20" w:name="_Toc228176338"/>
      <w:r>
        <w:t>5.1  Capabilities, not roles</w:t>
      </w:r>
      <w:bookmarkEnd w:id="20"/>
    </w:p>
    <w:p w14:paraId="659832B5" w14:textId="40CEDDBF" w:rsidR="00AA392E" w:rsidRDefault="00000000">
      <w:pPr>
        <w:spacing w:after="120" w:line="320" w:lineRule="auto"/>
        <w:jc w:val="both"/>
      </w:pPr>
      <w:r>
        <w:t xml:space="preserve">A capability is a single, narrow permission. The naming convention is hierarchical and dotted, expressing the resource, the action, and the scope. The Verax reference uses identifiers such as </w:t>
      </w:r>
      <w:proofErr w:type="spellStart"/>
      <w:r>
        <w:t>cap.attio.people.read</w:t>
      </w:r>
      <w:proofErr w:type="spellEnd"/>
      <w:r>
        <w:t xml:space="preserve">, </w:t>
      </w:r>
      <w:proofErr w:type="spellStart"/>
      <w:r>
        <w:t>cap.attio.people.write</w:t>
      </w:r>
      <w:proofErr w:type="spellEnd"/>
      <w:r>
        <w:t>, cap.ms365.mail.send.internal and cap.ms365.mail.send.external.gated</w:t>
      </w:r>
      <w:r w:rsidR="002A1CAA">
        <w:t>,</w:t>
      </w:r>
      <w:r>
        <w:t xml:space="preserve"> the last of which expresses both the action and the requirement for a human gate before the action commits. Capabilities compose: a skill declares the capabilities it requires and an agent's profile declares which capabilities it has been granted. The policy enforcement plane enforces the intersection: a skill can only execute the capabilities granted to the agent that has bound it.</w:t>
      </w:r>
    </w:p>
    <w:p w14:paraId="1ADE35E1" w14:textId="77777777" w:rsidR="00AA392E" w:rsidRDefault="00000000">
      <w:pPr>
        <w:pStyle w:val="Heading2"/>
      </w:pPr>
      <w:bookmarkStart w:id="21" w:name="_Toc228176339"/>
      <w:r>
        <w:t>5.2  Scope-bound tokens</w:t>
      </w:r>
      <w:bookmarkEnd w:id="21"/>
    </w:p>
    <w:p w14:paraId="59C5B055" w14:textId="202117B3" w:rsidR="00AA392E" w:rsidRDefault="00000000">
      <w:pPr>
        <w:spacing w:after="120" w:line="320" w:lineRule="auto"/>
        <w:jc w:val="both"/>
      </w:pPr>
      <w:r>
        <w:t>Authorisation is carried by short-lived, scope-bound credentials</w:t>
      </w:r>
      <w:r w:rsidR="002A1CAA">
        <w:t>,</w:t>
      </w:r>
      <w:r>
        <w:t xml:space="preserve"> JSON Web Tokens with proof-of-possession binding, or mutual TLS-bound credentials. Tokens carry the calling agent's identifier, the principal chain (the human or agent on whose behalf the call is being made), the subset of capabilities granted for this specific token (always less than or equal to the agent's profile capabilities), the declared purpose of the call (forming the lawful basis for any data processing), the consent receipt identifier where customer data is involved, the tenant scoping for multi-tenant operation, the operating mode, a short time-to-live measured in minutes, and a parent run identifier so that recursive sub-calls preserve trace continuity.</w:t>
      </w:r>
    </w:p>
    <w:p w14:paraId="100AA48B" w14:textId="77777777" w:rsidR="00AA392E" w:rsidRDefault="00000000">
      <w:pPr>
        <w:spacing w:after="120" w:line="320" w:lineRule="auto"/>
        <w:jc w:val="both"/>
      </w:pPr>
      <w:r>
        <w:t>Tokens are minted by the identity provider, never issued long-lived, and never carried in environment variables, file system credentials or other persistent storage that an agent might inadvertently log. The framework treats credential persistence outside the gateway-mediated path as an antipattern; brokered credentials, described later in section 6, are the recommended pattern for third-party API access.</w:t>
      </w:r>
    </w:p>
    <w:p w14:paraId="03571F0C" w14:textId="77777777" w:rsidR="00AA392E" w:rsidRDefault="00000000">
      <w:pPr>
        <w:pStyle w:val="Heading2"/>
      </w:pPr>
      <w:bookmarkStart w:id="22" w:name="_Toc228176340"/>
      <w:r>
        <w:t>5.3  Just-in-time elevation</w:t>
      </w:r>
      <w:bookmarkEnd w:id="22"/>
    </w:p>
    <w:p w14:paraId="404ECBD4" w14:textId="77777777" w:rsidR="00AA392E" w:rsidRDefault="00000000">
      <w:pPr>
        <w:spacing w:after="120" w:line="320" w:lineRule="auto"/>
        <w:jc w:val="both"/>
      </w:pPr>
      <w:r>
        <w:t xml:space="preserve">When an agent requires a capability outside its baseline grant, it does not silently acquire it. It emits an elevation request naming the capability, the reason, and the scope. The policy engine evaluates </w:t>
      </w:r>
      <w:r>
        <w:lastRenderedPageBreak/>
        <w:t>the request: low-risk requests within rulebook are auto-approved, medium-risk requests are escalated to a human, and prohibited requests are denied at the gateway. Approved elevations mint a fresh, narrow, expiring token rather than amending the agent's baseline profile, and the elevation, the reason and the human approval (where any) are logged. Just-in-time elevation defeats capability creep, which is the most common failure mode in long-lived agents and the failure mode least likely to be detected by point-in-time audit.</w:t>
      </w:r>
    </w:p>
    <w:p w14:paraId="29EE4DE6" w14:textId="77777777" w:rsidR="00AA392E" w:rsidRDefault="00000000">
      <w:pPr>
        <w:pStyle w:val="Heading2"/>
      </w:pPr>
      <w:bookmarkStart w:id="23" w:name="_Toc228176341"/>
      <w:r>
        <w:t>5.4  Consent receipts</w:t>
      </w:r>
      <w:bookmarkEnd w:id="23"/>
    </w:p>
    <w:p w14:paraId="362F27C7" w14:textId="77777777" w:rsidR="00AA392E" w:rsidRDefault="00000000">
      <w:pPr>
        <w:spacing w:after="120" w:line="320" w:lineRule="auto"/>
        <w:jc w:val="both"/>
      </w:pPr>
      <w:r>
        <w:t>Where customer data is involved, every session is bound to a consent receipt: a signed, machine-readable artefact that names the data subject, the lawful basis under which their data is being processed, the purposes consented to, the retention period, and the right of withdrawal. Receipts are issued by the customer's identity domain, presented at session start, and referenced in every subsequent audit event. Without a valid receipt in scope, the policy enforcement plane rejects the call. This treatment of consent as a first-class artefact rather than a checkbox in a privacy policy is what allows the framework to satisfy GDPR Article 5 purpose-limitation obligations at the level of individual API calls rather than at the level of broad system documentation.</w:t>
      </w:r>
    </w:p>
    <w:p w14:paraId="4A15D21D" w14:textId="77777777" w:rsidR="00AA392E" w:rsidRDefault="00000000">
      <w:pPr>
        <w:pStyle w:val="Heading2"/>
      </w:pPr>
      <w:bookmarkStart w:id="24" w:name="_Toc228176342"/>
      <w:r>
        <w:t>5.5  Human-in-loop gates</w:t>
      </w:r>
      <w:bookmarkEnd w:id="24"/>
    </w:p>
    <w:p w14:paraId="422A6DB0" w14:textId="578B8E0D" w:rsidR="00AA392E" w:rsidRDefault="00000000">
      <w:pPr>
        <w:spacing w:after="120" w:line="320" w:lineRule="auto"/>
        <w:jc w:val="both"/>
      </w:pPr>
      <w:r>
        <w:t>Capabilities can be configured to require a human gate even when the agent holds the relevant scope. Gates are defined by a combination of conditions: a capability pattern (any external-communication capability, for example), a data class (any call carrying personal information or payment card data), a risk score (an anomaly threshold drawn from the visualisation surface), a cost threshold (any single call exceeding a stated dollar amount, or any session whose cumulative cost exceeds a different threshold), and a rulebook clause (a specific regulatory rulebook may mandate a human gate on all autonomous external communications). Gated calls pause at the gateway, surface in the operator console, and proceed only after a signed approval from an authorised human reviewer. The approval, the approver and the timing are all logged. Documented refusals</w:t>
      </w:r>
      <w:r w:rsidR="002A1CAA">
        <w:t>,</w:t>
      </w:r>
      <w:r>
        <w:t xml:space="preserve"> calls that the agent itself declines, or that the human reviewer declines</w:t>
      </w:r>
      <w:r w:rsidR="002A1CAA">
        <w:t>,</w:t>
      </w:r>
      <w:r>
        <w:t xml:space="preserve"> are also logged, because the refusal and its reason are often more defensible in litigation than the action itself.</w:t>
      </w:r>
    </w:p>
    <w:p w14:paraId="70BED9E4" w14:textId="77777777" w:rsidR="00AA392E" w:rsidRDefault="00000000">
      <w:pPr>
        <w:pStyle w:val="Heading1"/>
        <w:pageBreakBefore/>
      </w:pPr>
      <w:bookmarkStart w:id="25" w:name="_Toc228176343"/>
      <w:r>
        <w:lastRenderedPageBreak/>
        <w:t>6.  The Policy Enforcement Plane</w:t>
      </w:r>
      <w:bookmarkEnd w:id="25"/>
    </w:p>
    <w:p w14:paraId="64BA01AD" w14:textId="3B72C18A" w:rsidR="00AA392E" w:rsidRDefault="00000000">
      <w:pPr>
        <w:spacing w:after="120" w:line="320" w:lineRule="auto"/>
        <w:jc w:val="both"/>
      </w:pPr>
      <w:r>
        <w:t>If the identity provider is the foundation, the policy enforcement plane is the load-bearing wall. Without a gateway in the path of every call</w:t>
      </w:r>
      <w:r w:rsidR="002A1CAA">
        <w:t>,</w:t>
      </w:r>
      <w:r>
        <w:t xml:space="preserve"> inbound, outbound, peer-to-peer</w:t>
      </w:r>
      <w:r w:rsidR="002A1CAA">
        <w:t>,</w:t>
      </w:r>
      <w:r>
        <w:t xml:space="preserve"> identity, scope and audit are advisory. With a gateway, they become non-</w:t>
      </w:r>
      <w:proofErr w:type="spellStart"/>
      <w:r>
        <w:t>bypassable</w:t>
      </w:r>
      <w:proofErr w:type="spellEnd"/>
      <w:r>
        <w:t>. The framework's most important architectural decision is therefore not which identity provider to use but where the gateway sits and what it enforces. The gateway plane is referred to throughout this paper as the policy enforcement plane, or simply APIM (API Management), reflecting the commercial category in which it is most easily procured; readers should understand the term to mean any equivalent gateway, mesh or sidecar that holds the same architectural position.</w:t>
      </w:r>
    </w:p>
    <w:p w14:paraId="4EDF41CF" w14:textId="77777777" w:rsidR="00AA392E" w:rsidRDefault="00000000">
      <w:pPr>
        <w:spacing w:before="240" w:after="240"/>
        <w:jc w:val="center"/>
      </w:pPr>
      <w:r>
        <w:rPr>
          <w:noProof/>
        </w:rPr>
        <w:drawing>
          <wp:inline distT="0" distB="0" distL="0" distR="0" wp14:anchorId="163546B7" wp14:editId="050EF588">
            <wp:extent cx="6037783" cy="4528337"/>
            <wp:effectExtent l="0" t="0" r="1270" b="5715"/>
            <wp:docPr id="521488019" name="Picture 52148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40449" cy="4530337"/>
                    </a:xfrm>
                    <a:prstGeom prst="rect">
                      <a:avLst/>
                    </a:prstGeom>
                  </pic:spPr>
                </pic:pic>
              </a:graphicData>
            </a:graphic>
          </wp:inline>
        </w:drawing>
      </w:r>
    </w:p>
    <w:p w14:paraId="65EC749E" w14:textId="77777777" w:rsidR="00AA392E" w:rsidRDefault="00000000">
      <w:pPr>
        <w:pStyle w:val="Heading2"/>
      </w:pPr>
      <w:bookmarkStart w:id="26" w:name="_Toc228176344"/>
      <w:r>
        <w:t>6.1  What the enforcement plane enforces</w:t>
      </w:r>
      <w:bookmarkEnd w:id="26"/>
    </w:p>
    <w:p w14:paraId="3B42CA1C" w14:textId="77777777" w:rsidR="00AA392E" w:rsidRDefault="00000000">
      <w:pPr>
        <w:spacing w:after="120" w:line="320" w:lineRule="auto"/>
        <w:jc w:val="both"/>
      </w:pPr>
      <w:r>
        <w:t xml:space="preserve">The enforcement plane is a composition of nine policy primitives. The first is identity binding: the gateway resolves the presented token to a system-of-record entry and attaches the agent identifier, principal chain, capability set, consent receipt identifier and tenant identifier to every downstream call as canonical headers. The second is the capability allow-list: a call is permitted only if the requested capability matches the agent's profile and the current token's scope. The third is quota and rate per identity: recursion guards, fan-out caps, calls per minute and maximum recursive depth limits. These </w:t>
      </w:r>
      <w:r>
        <w:lastRenderedPageBreak/>
        <w:t>are not ergonomic conveniences; they are the framework's defence against runaway agents at the wire. The fourth is cost capping per session and per agent. Cost is a behavioural risk indicator equal in significance to security risk: a session whose cost trajectory diverges from the established baseline is, by definition, doing something it has not done before. The framework requires session-level kill switches that trigger on cost threshold breach, the same as on security policy breach.</w:t>
      </w:r>
    </w:p>
    <w:p w14:paraId="0C505F8E" w14:textId="77777777" w:rsidR="00AA392E" w:rsidRDefault="00000000">
      <w:pPr>
        <w:spacing w:after="120" w:line="320" w:lineRule="auto"/>
        <w:jc w:val="both"/>
      </w:pPr>
      <w:r>
        <w:t>The fifth primitive is geographical and data-residency pinning. The agent's residency must match the endpoint's residency; cross-border calls require an authorised transfer mechanism (Standard Contractual Clauses, an International Data Transfer Agreement, an adequacy decision, or a sector equivalence such as DIFC or ADGM). The sixth is schema and personally-identifiable-information inspection: payload validation, secret detection, redaction of personal data into hash-referenced encrypted storage, and classification tagging. The seventh is purpose binding: the token's declared purpose must match the endpoint's declared purposes, an enforcement that maps directly to GDPR Article 5(1)(b) purpose limitation. The eighth is the human-gate trigger described in section 5.5. The ninth is brokered credentials to third parties: the agent never sees the raw API key for an external service. The gateway holds the credential and signs requests on behalf of the agent identity, which means that an agent compromise does not leak vendor credentials and that vendor-credential rotation does not require touching every agent.</w:t>
      </w:r>
    </w:p>
    <w:p w14:paraId="026E73BA" w14:textId="77777777" w:rsidR="00AA392E" w:rsidRDefault="00000000">
      <w:pPr>
        <w:pStyle w:val="Heading2"/>
      </w:pPr>
      <w:bookmarkStart w:id="27" w:name="_Toc228176345"/>
      <w:r>
        <w:t>6.2  Trace propagation for recursive and multi-agent calls</w:t>
      </w:r>
      <w:bookmarkEnd w:id="27"/>
    </w:p>
    <w:p w14:paraId="625A4F54" w14:textId="77777777" w:rsidR="00AA392E" w:rsidRDefault="00000000">
      <w:pPr>
        <w:spacing w:after="120" w:line="320" w:lineRule="auto"/>
        <w:jc w:val="both"/>
      </w:pPr>
      <w:r>
        <w:t xml:space="preserve">Every call carries a structured set of headers that allow the call tree to be reconstructed. The W3C Trace Context standard provides the baseline </w:t>
      </w:r>
      <w:proofErr w:type="spellStart"/>
      <w:r>
        <w:t>traceparent</w:t>
      </w:r>
      <w:proofErr w:type="spellEnd"/>
      <w:r>
        <w:t xml:space="preserve"> header. Beyond the standard, the framework requires an agent-lineage header listing the ordered set of agent identifiers in the current call tree, a parent run identifier pointing to the orchestrating run, a principal chain naming the humans or agents whose authority underlies the call, and a tenant identifier for multi-tenant scoping. Headers are signed or </w:t>
      </w:r>
      <w:proofErr w:type="spellStart"/>
      <w:r>
        <w:t>HMAC'd</w:t>
      </w:r>
      <w:proofErr w:type="spellEnd"/>
      <w:r>
        <w:t xml:space="preserve"> at issue so that a downstream agent cannot fabricate a lineage by mutating in-flight headers; the gateway verifies signatures on receipt. Depth and fan-out bounds are enforced across the whole call tree, not per hop, because per-hop limits do not constrain the total cost or risk of a recursive operation.</w:t>
      </w:r>
    </w:p>
    <w:p w14:paraId="3DA24287" w14:textId="77777777" w:rsidR="00AA392E" w:rsidRDefault="00000000">
      <w:pPr>
        <w:pStyle w:val="Heading2"/>
      </w:pPr>
      <w:bookmarkStart w:id="28" w:name="_Toc228176346"/>
      <w:r>
        <w:t>6.3  Audit emission as a first-class output</w:t>
      </w:r>
      <w:bookmarkEnd w:id="28"/>
    </w:p>
    <w:p w14:paraId="14DF0CF0" w14:textId="599D18C2" w:rsidR="00AA392E" w:rsidRDefault="00000000">
      <w:pPr>
        <w:spacing w:after="120" w:line="320" w:lineRule="auto"/>
        <w:jc w:val="both"/>
      </w:pPr>
      <w:r>
        <w:t>Every call through the enforcement plane emits a canonical audit event capturing the request hash, the response hash, the latency, the cost, the policy verdict, the identity context, the headers and the classification tags. The event is signed at source and appended to the hash-chained audit log described in section 7. Crucially, no agent code needs to remember to log: the gateway is the source of truth, and the audit emission is a property of crossing the gateway rather than a property of agent virtue. This single architectural commitment</w:t>
      </w:r>
      <w:r w:rsidR="002A1CAA">
        <w:t>,</w:t>
      </w:r>
      <w:r>
        <w:t xml:space="preserve"> that audit is gateway-emitted rather than agent-emitted</w:t>
      </w:r>
      <w:r w:rsidR="002A1CAA">
        <w:t>,</w:t>
      </w:r>
      <w:r>
        <w:t xml:space="preserve"> is what makes audit reliable in the presence of buggy or malicious agents.</w:t>
      </w:r>
    </w:p>
    <w:p w14:paraId="4C000923" w14:textId="77777777" w:rsidR="00AA392E" w:rsidRDefault="00000000">
      <w:pPr>
        <w:pStyle w:val="Heading2"/>
      </w:pPr>
      <w:bookmarkStart w:id="29" w:name="_Toc228176347"/>
      <w:r>
        <w:lastRenderedPageBreak/>
        <w:t>6.4  FinOps as a control surface</w:t>
      </w:r>
      <w:bookmarkEnd w:id="29"/>
    </w:p>
    <w:p w14:paraId="386B552A" w14:textId="77777777" w:rsidR="00AA392E" w:rsidRDefault="00000000">
      <w:pPr>
        <w:spacing w:after="120" w:line="320" w:lineRule="auto"/>
        <w:jc w:val="both"/>
      </w:pPr>
      <w:r>
        <w:t>Cost is not solely an accountant's concern. In the framework, every agent carries a per-session budget envelope (with automatic kill on breach), a per-day envelope (with alarm thresholds before kill), a per-month operator envelope (used for chargeback and budget allocation), and cost-per-outcome attribution. Cost-per-outcome is a more useful metric than cost-per-token because it ties spend to the business decision the agent has been retained to support: a closed deal, an enriched record, a generated proposal. Underwriters of AI liability cover increasingly require this evidence to bind the policy at favourable terms. Cost discipline and security discipline are the same discipline at the gateway.</w:t>
      </w:r>
    </w:p>
    <w:p w14:paraId="08AEF0BF" w14:textId="77777777" w:rsidR="00AA392E" w:rsidRDefault="00000000">
      <w:pPr>
        <w:pStyle w:val="Heading2"/>
      </w:pPr>
      <w:bookmarkStart w:id="30" w:name="_Toc228176348"/>
      <w:r>
        <w:t>6.5  Multi-tenant policy partition</w:t>
      </w:r>
      <w:bookmarkEnd w:id="30"/>
    </w:p>
    <w:p w14:paraId="3A56839D" w14:textId="77777777" w:rsidR="00AA392E" w:rsidRDefault="00000000">
      <w:pPr>
        <w:spacing w:after="120" w:line="320" w:lineRule="auto"/>
        <w:jc w:val="both"/>
      </w:pPr>
      <w:r>
        <w:t>Where the platform serves many customers, the enforcement plane partitions per tenant across four dimensions. The identity namespace is partitioned so that no agent identifiers collide across tenants. The policy partition is enforced so that one tenant's permissions never bleed into another's evaluation. The quota partition is enforced so that one tenant's runaway agent cannot starve another tenant's legitimate operations. The audit partition is enforced so that no tenant can query another tenant's events. The partition is enforced at the gateway, not in application code, because the gateway is the only layer that is non-</w:t>
      </w:r>
      <w:proofErr w:type="spellStart"/>
      <w:r>
        <w:t>bypassable</w:t>
      </w:r>
      <w:proofErr w:type="spellEnd"/>
      <w:r>
        <w:t>. Application-layer multi-tenancy is, in the long run, fiction.</w:t>
      </w:r>
    </w:p>
    <w:p w14:paraId="2403E8AA" w14:textId="77777777" w:rsidR="00AA392E" w:rsidRDefault="00000000">
      <w:pPr>
        <w:pStyle w:val="Heading2"/>
      </w:pPr>
      <w:bookmarkStart w:id="31" w:name="_Toc228176349"/>
      <w:r>
        <w:t>6.6  Reference stacks</w:t>
      </w:r>
      <w:bookmarkEnd w:id="31"/>
    </w:p>
    <w:p w14:paraId="4501984D" w14:textId="77777777" w:rsidR="00AA392E" w:rsidRDefault="00000000">
      <w:pPr>
        <w:spacing w:after="120" w:line="320" w:lineRule="auto"/>
        <w:jc w:val="both"/>
      </w:pPr>
      <w:r>
        <w:t>The framework is gateway-agnostic at the level of specification. Several commercial and open-source stacks satisfy the requirements; the table below characterises the leading options at the time of writing. The Verax reference deployment uses Azure API Management with an Open Policy Agent sidecar for declarative rulebook enforcement, chosen for adjacency to Microsoft 365 and Microsoft Graph, EU residency support, and procurement maturity in the markets Verax serves.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159"/>
        <w:gridCol w:w="3160"/>
      </w:tblGrid>
      <w:tr w:rsidR="00AA392E" w14:paraId="1039E160" w14:textId="77777777">
        <w:tblPrEx>
          <w:tblCellMar>
            <w:top w:w="0" w:type="dxa"/>
            <w:bottom w:w="0" w:type="dxa"/>
          </w:tblCellMar>
        </w:tblPrEx>
        <w:trPr>
          <w:tblHeader/>
        </w:trPr>
        <w:tc>
          <w:tcPr>
            <w:tcW w:w="2707"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693C93F1" w14:textId="77777777" w:rsidR="00AA392E" w:rsidRDefault="00000000">
            <w:r>
              <w:rPr>
                <w:b/>
                <w:bCs/>
                <w:color w:val="FFFFFF"/>
              </w:rPr>
              <w:t>Stack</w:t>
            </w:r>
          </w:p>
        </w:tc>
        <w:tc>
          <w:tcPr>
            <w:tcW w:w="3159"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540479D0" w14:textId="77777777" w:rsidR="00AA392E" w:rsidRDefault="00000000">
            <w:r>
              <w:rPr>
                <w:b/>
                <w:bCs/>
                <w:color w:val="FFFFFF"/>
              </w:rPr>
              <w:t>Strengths</w:t>
            </w:r>
          </w:p>
        </w:tc>
        <w:tc>
          <w:tcPr>
            <w:tcW w:w="3160"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4AC204AB" w14:textId="77777777" w:rsidR="00AA392E" w:rsidRDefault="00000000">
            <w:r>
              <w:rPr>
                <w:b/>
                <w:bCs/>
                <w:color w:val="FFFFFF"/>
              </w:rPr>
              <w:t>Weaknesses</w:t>
            </w:r>
          </w:p>
        </w:tc>
      </w:tr>
      <w:tr w:rsidR="00AA392E" w14:paraId="1E90388B"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787DDC5" w14:textId="77777777" w:rsidR="00AA392E" w:rsidRDefault="00000000">
            <w:pPr>
              <w:spacing w:line="280" w:lineRule="auto"/>
            </w:pPr>
            <w:r>
              <w:rPr>
                <w:sz w:val="21"/>
                <w:szCs w:val="21"/>
              </w:rPr>
              <w:t>Azure API Management with Functions</w:t>
            </w:r>
          </w:p>
        </w:tc>
        <w:tc>
          <w:tcPr>
            <w:tcW w:w="315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2538364" w14:textId="77777777" w:rsidR="00AA392E" w:rsidRDefault="00000000">
            <w:pPr>
              <w:spacing w:line="280" w:lineRule="auto"/>
            </w:pPr>
            <w:r>
              <w:rPr>
                <w:sz w:val="21"/>
                <w:szCs w:val="21"/>
              </w:rPr>
              <w:t>Strong policy engine; native Microsoft 365 and Graph adjacency; mature enterprise procurement</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8E46F57" w14:textId="77777777" w:rsidR="00AA392E" w:rsidRDefault="00000000">
            <w:pPr>
              <w:spacing w:line="280" w:lineRule="auto"/>
            </w:pPr>
            <w:r>
              <w:rPr>
                <w:sz w:val="21"/>
                <w:szCs w:val="21"/>
              </w:rPr>
              <w:t>Latency on cold paths; cost at high query rates</w:t>
            </w:r>
          </w:p>
        </w:tc>
      </w:tr>
      <w:tr w:rsidR="00AA392E" w14:paraId="0AD02E1B"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DD60178" w14:textId="77777777" w:rsidR="00AA392E" w:rsidRDefault="00000000">
            <w:pPr>
              <w:spacing w:line="280" w:lineRule="auto"/>
            </w:pPr>
            <w:r>
              <w:rPr>
                <w:sz w:val="21"/>
                <w:szCs w:val="21"/>
              </w:rPr>
              <w:t>Kong with Open Policy Agent</w:t>
            </w:r>
          </w:p>
        </w:tc>
        <w:tc>
          <w:tcPr>
            <w:tcW w:w="315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36030B52" w14:textId="77777777" w:rsidR="00AA392E" w:rsidRDefault="00000000">
            <w:pPr>
              <w:spacing w:line="280" w:lineRule="auto"/>
            </w:pPr>
            <w:r>
              <w:rPr>
                <w:sz w:val="21"/>
                <w:szCs w:val="21"/>
              </w:rPr>
              <w:t>Open source; rich plugin ecosystem; OPA enables declarative policy</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DD62181" w14:textId="77777777" w:rsidR="00AA392E" w:rsidRDefault="00000000">
            <w:pPr>
              <w:spacing w:line="280" w:lineRule="auto"/>
            </w:pPr>
            <w:r>
              <w:rPr>
                <w:sz w:val="21"/>
                <w:szCs w:val="21"/>
              </w:rPr>
              <w:t>Operator burden; OPA learning curve for policy authors</w:t>
            </w:r>
          </w:p>
        </w:tc>
      </w:tr>
      <w:tr w:rsidR="00AA392E" w14:paraId="3A7B3468"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F8565EC" w14:textId="77777777" w:rsidR="00AA392E" w:rsidRDefault="00000000">
            <w:pPr>
              <w:spacing w:line="280" w:lineRule="auto"/>
            </w:pPr>
            <w:r>
              <w:rPr>
                <w:sz w:val="21"/>
                <w:szCs w:val="21"/>
              </w:rPr>
              <w:t>AWS API Gateway with Lambda Authorizer and WAF</w:t>
            </w:r>
          </w:p>
        </w:tc>
        <w:tc>
          <w:tcPr>
            <w:tcW w:w="315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BA3FDB3" w14:textId="77777777" w:rsidR="00AA392E" w:rsidRDefault="00000000">
            <w:pPr>
              <w:spacing w:line="280" w:lineRule="auto"/>
            </w:pPr>
            <w:r>
              <w:rPr>
                <w:sz w:val="21"/>
                <w:szCs w:val="21"/>
              </w:rPr>
              <w:t>Tight AWS integration; mature in regulated workloads</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D48BCAF" w14:textId="77777777" w:rsidR="00AA392E" w:rsidRDefault="00000000">
            <w:pPr>
              <w:spacing w:line="280" w:lineRule="auto"/>
            </w:pPr>
            <w:r>
              <w:rPr>
                <w:sz w:val="21"/>
                <w:szCs w:val="21"/>
              </w:rPr>
              <w:t>Vendor lock-in; cross-cloud patterns harder to express</w:t>
            </w:r>
          </w:p>
        </w:tc>
      </w:tr>
      <w:tr w:rsidR="00AA392E" w14:paraId="380DF46F"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396416A" w14:textId="77777777" w:rsidR="00AA392E" w:rsidRDefault="00000000">
            <w:pPr>
              <w:spacing w:line="280" w:lineRule="auto"/>
            </w:pPr>
            <w:r>
              <w:rPr>
                <w:sz w:val="21"/>
                <w:szCs w:val="21"/>
              </w:rPr>
              <w:lastRenderedPageBreak/>
              <w:t xml:space="preserve">Envoy with OPA via the </w:t>
            </w:r>
            <w:proofErr w:type="spellStart"/>
            <w:r>
              <w:rPr>
                <w:sz w:val="21"/>
                <w:szCs w:val="21"/>
              </w:rPr>
              <w:t>ext_authz</w:t>
            </w:r>
            <w:proofErr w:type="spellEnd"/>
            <w:r>
              <w:rPr>
                <w:sz w:val="21"/>
                <w:szCs w:val="21"/>
              </w:rPr>
              <w:t xml:space="preserve"> interface</w:t>
            </w:r>
          </w:p>
        </w:tc>
        <w:tc>
          <w:tcPr>
            <w:tcW w:w="315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6584BDC" w14:textId="77777777" w:rsidR="00AA392E" w:rsidRDefault="00000000">
            <w:pPr>
              <w:spacing w:line="280" w:lineRule="auto"/>
            </w:pPr>
            <w:r>
              <w:rPr>
                <w:sz w:val="21"/>
                <w:szCs w:val="21"/>
              </w:rPr>
              <w:t>Mesh-native; finest-grained control available; cloud-portable</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4631449" w14:textId="77777777" w:rsidR="00AA392E" w:rsidRDefault="00000000">
            <w:pPr>
              <w:spacing w:line="280" w:lineRule="auto"/>
            </w:pPr>
            <w:r>
              <w:rPr>
                <w:sz w:val="21"/>
                <w:szCs w:val="21"/>
              </w:rPr>
              <w:t>Highest operator complexity; strong platform team required</w:t>
            </w:r>
          </w:p>
        </w:tc>
      </w:tr>
      <w:tr w:rsidR="00AA392E" w14:paraId="2FB1F623"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A671DD8" w14:textId="77777777" w:rsidR="00AA392E" w:rsidRDefault="00000000">
            <w:pPr>
              <w:spacing w:line="280" w:lineRule="auto"/>
            </w:pPr>
            <w:proofErr w:type="spellStart"/>
            <w:r>
              <w:rPr>
                <w:sz w:val="21"/>
                <w:szCs w:val="21"/>
              </w:rPr>
              <w:t>Tyk</w:t>
            </w:r>
            <w:proofErr w:type="spellEnd"/>
          </w:p>
        </w:tc>
        <w:tc>
          <w:tcPr>
            <w:tcW w:w="315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0F0A0F1" w14:textId="77777777" w:rsidR="00AA392E" w:rsidRDefault="00000000">
            <w:pPr>
              <w:spacing w:line="280" w:lineRule="auto"/>
            </w:pPr>
            <w:r>
              <w:rPr>
                <w:sz w:val="21"/>
                <w:szCs w:val="21"/>
              </w:rPr>
              <w:t>Multi-cloud; open-source core; strong analytics</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A5AFD3E" w14:textId="77777777" w:rsidR="00AA392E" w:rsidRDefault="00000000">
            <w:pPr>
              <w:spacing w:line="280" w:lineRule="auto"/>
            </w:pPr>
            <w:r>
              <w:rPr>
                <w:sz w:val="21"/>
                <w:szCs w:val="21"/>
              </w:rPr>
              <w:t>Smaller community than Kong; fewer third-party integrations</w:t>
            </w:r>
          </w:p>
        </w:tc>
      </w:tr>
    </w:tbl>
    <w:p w14:paraId="593C628C" w14:textId="77777777" w:rsidR="00AA392E" w:rsidRDefault="00AA392E">
      <w:pPr>
        <w:spacing w:after="160"/>
      </w:pPr>
    </w:p>
    <w:p w14:paraId="7C9D79C9" w14:textId="77777777" w:rsidR="00AA392E" w:rsidRDefault="00000000">
      <w:pPr>
        <w:pStyle w:val="Heading1"/>
        <w:pageBreakBefore/>
      </w:pPr>
      <w:bookmarkStart w:id="32" w:name="_Toc228176350"/>
      <w:r>
        <w:lastRenderedPageBreak/>
        <w:t>7.  The Auditory Layer</w:t>
      </w:r>
      <w:bookmarkEnd w:id="32"/>
    </w:p>
    <w:p w14:paraId="4056078F" w14:textId="77777777" w:rsidR="00AA392E" w:rsidRDefault="00000000">
      <w:pPr>
        <w:spacing w:after="120" w:line="320" w:lineRule="auto"/>
        <w:jc w:val="both"/>
      </w:pPr>
      <w:r>
        <w:t>The auditory layer is the single source of evidentiary truth about what agents did, on whose authority, with what data, under what policy. It is the layer at which the framework either holds up under regulator inspection, customer audit and litigation discovery, or collapses. It is also the layer at which the most expensive shortcuts are taken in practice: organisations adopt identity, deploy a gateway, and then either skip the audit layer entirely or implement it with insufficient rigour to be admissible. The framework therefore treats audit as a first-class layer with its own design discipline, its own storage tiering, and its own admissibility requirements.</w:t>
      </w:r>
    </w:p>
    <w:p w14:paraId="3F6CD663" w14:textId="77777777" w:rsidR="00AA392E" w:rsidRDefault="00000000">
      <w:pPr>
        <w:pStyle w:val="Heading2"/>
      </w:pPr>
      <w:bookmarkStart w:id="33" w:name="_Toc228176351"/>
      <w:r>
        <w:t>7.1  What gets logged</w:t>
      </w:r>
      <w:bookmarkEnd w:id="33"/>
    </w:p>
    <w:p w14:paraId="4D695AD9" w14:textId="77777777" w:rsidR="00AA392E" w:rsidRDefault="00000000">
      <w:pPr>
        <w:spacing w:after="120" w:line="320" w:lineRule="auto"/>
        <w:jc w:val="both"/>
      </w:pPr>
      <w:r>
        <w:t>Every event captures, at minimum, a globally unique event identifier; a monotonic sequence number scoped to the tenant; the hash of the previous event, forming the chain that gives the log its tamper-evidence; the agent identifier and the parent run identifier; the principal chain and the tenant; the operating mode at the time of the action; the capability invoked and the endpoint addressed; the data class of the payload; the residency of the call; the declared purpose and the consent receipt identifier where applicable; the request and response hashes; the policy verdict; any guardrails triggered; the latency and the cost; any self-learning delta produced by the call; the human-gate state, including whether a gate was required and whether it was approved; and the event signature applied at the gateway. This schema is canonical: every event in every tenant of every deployment shares the same field set, allowing cross-tenant analytics, cross-deployment comparison, and uniform regulator response.</w:t>
      </w:r>
    </w:p>
    <w:p w14:paraId="5DCF0A3A" w14:textId="77777777" w:rsidR="00AA392E" w:rsidRDefault="00000000">
      <w:pPr>
        <w:pStyle w:val="Heading2"/>
      </w:pPr>
      <w:bookmarkStart w:id="34" w:name="_Toc228176352"/>
      <w:r>
        <w:t>7.2  Tamper evidence and admissibility</w:t>
      </w:r>
      <w:bookmarkEnd w:id="34"/>
    </w:p>
    <w:p w14:paraId="6AC83347" w14:textId="77777777" w:rsidR="00AA392E" w:rsidRDefault="00000000">
      <w:pPr>
        <w:spacing w:after="120" w:line="320" w:lineRule="auto"/>
        <w:jc w:val="both"/>
      </w:pPr>
      <w:r>
        <w:t>The audit log is append-only and hash-chained. Each event's record of the previous event's hash forms a Merkle-style transparency log structure: tampering with any event invalidates every subsequent hash, and the invalidation is detectable by any party in possession of the chain. Periodic checkpoints are signed by an external timestamp authority and, optionally, anchored to a public ledger or transparency log so that even the issuing organisation cannot retrospectively rewrite history without detection.</w:t>
      </w:r>
    </w:p>
    <w:p w14:paraId="1D640D53" w14:textId="77777777" w:rsidR="00AA392E" w:rsidRDefault="00000000">
      <w:pPr>
        <w:spacing w:after="120" w:line="320" w:lineRule="auto"/>
        <w:jc w:val="both"/>
      </w:pPr>
      <w:r>
        <w:t xml:space="preserve">The combination of hash chaining, signed checkpoints, monotonic sequence numbers and gap detection at ingest constitutes the ingredients of admissibility under the rules of evidence in the major common-law and civil-law jurisdictions. In US federal practice, Federal Rules of Evidence 901 and 902 govern authentication and self-authentication of records; in English civil practice, Civil Procedure Rules Part 31 governs disclosure; equivalent provisions exist across the European Union. The framework's audit structure is designed to satisfy all three. Admissibility is not a property that emerges by accident from a well-engineered logging system; it is a property that is designed in from the outset, and the </w:t>
      </w:r>
      <w:r>
        <w:lastRenderedPageBreak/>
        <w:t>cost of retrofitting it after a regulator inbound is substantially higher than the cost of building it correctly the first time.</w:t>
      </w:r>
    </w:p>
    <w:p w14:paraId="225FFD99" w14:textId="77777777" w:rsidR="00AA392E" w:rsidRDefault="00000000">
      <w:pPr>
        <w:pStyle w:val="Heading2"/>
      </w:pPr>
      <w:bookmarkStart w:id="35" w:name="_Toc228176353"/>
      <w:r>
        <w:t>7.3  Replay</w:t>
      </w:r>
      <w:bookmarkEnd w:id="35"/>
    </w:p>
    <w:p w14:paraId="5790A541" w14:textId="77777777" w:rsidR="00AA392E" w:rsidRDefault="00000000">
      <w:pPr>
        <w:spacing w:after="120" w:line="320" w:lineRule="auto"/>
        <w:jc w:val="both"/>
      </w:pPr>
      <w:r>
        <w:t>The framework's most valuable property in litigation is deterministic replay. Given an audit trace plus the Agent Bill of Materials, any past session can be reconstructed: the original inputs from the logged request hashes (with payloads recoverable from encrypted storage), the original model, prompt and tool versions from the bill of materials, the original policy state from the rulebook version snapshot taken at session start, and the original learned state from the blessing snapshot at session start. Replay answers the question that the emerging legal doctrine of the reasonable agent will turn on: "would any reasonably configured agent have done the same thing under those conditions?" Without replay, this question is debated; with replay, it is answered.</w:t>
      </w:r>
    </w:p>
    <w:p w14:paraId="6320A42D" w14:textId="77777777" w:rsidR="00AA392E" w:rsidRDefault="00000000">
      <w:pPr>
        <w:spacing w:before="240" w:after="240"/>
        <w:jc w:val="center"/>
      </w:pPr>
      <w:r>
        <w:rPr>
          <w:noProof/>
        </w:rPr>
        <w:drawing>
          <wp:inline distT="0" distB="0" distL="0" distR="0" wp14:anchorId="6AD84D92" wp14:editId="7A787524">
            <wp:extent cx="5766705" cy="3599078"/>
            <wp:effectExtent l="0" t="0" r="5715" b="1905"/>
            <wp:docPr id="1020130226" name="Picture 102013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74897" cy="3604191"/>
                    </a:xfrm>
                    <a:prstGeom prst="rect">
                      <a:avLst/>
                    </a:prstGeom>
                  </pic:spPr>
                </pic:pic>
              </a:graphicData>
            </a:graphic>
          </wp:inline>
        </w:drawing>
      </w:r>
    </w:p>
    <w:p w14:paraId="76472BF5" w14:textId="77777777" w:rsidR="00AA392E" w:rsidRDefault="00000000">
      <w:pPr>
        <w:pStyle w:val="Heading2"/>
      </w:pPr>
      <w:bookmarkStart w:id="36" w:name="_Toc228176354"/>
      <w:r>
        <w:t>7.4  Storage tiers</w:t>
      </w:r>
      <w:bookmarkEnd w:id="36"/>
    </w:p>
    <w:p w14:paraId="236E5F80" w14:textId="3E156C6E" w:rsidR="00AA392E" w:rsidRDefault="00000000">
      <w:pPr>
        <w:spacing w:after="120" w:line="320" w:lineRule="auto"/>
        <w:jc w:val="both"/>
      </w:pPr>
      <w:r>
        <w:t xml:space="preserve">The audit log is too large and too long-lived to keep entirely on the hot path, and too important to store in a single tier. The framework specifies four tiers. The hot tier holds the last thirty days of events, </w:t>
      </w:r>
      <w:proofErr w:type="spellStart"/>
      <w:r>
        <w:t>queryable</w:t>
      </w:r>
      <w:proofErr w:type="spellEnd"/>
      <w:r>
        <w:t xml:space="preserve"> by live operations and feeding the visualisation surface. The warm tier holds thirteen months of events, indexed for regulator response</w:t>
      </w:r>
      <w:r w:rsidR="002A1CAA">
        <w:t>,</w:t>
      </w:r>
      <w:r>
        <w:t xml:space="preserve"> a regulator who arrives requesting twelve months of activity should be served from the warm tier directly. The cold tier holds the full retention period, encrypted with per-subject keys to support crypto-shredding (described in section 10.4) and stored in object storage at low marginal cost. The privileged tier is a separate partition for events containing legal advice or attorney work product, with controlled access maintained throughout the discovery </w:t>
      </w:r>
      <w:r>
        <w:lastRenderedPageBreak/>
        <w:t>process so that legitimate legal-professional privilege is not entangled with general audit material and inadvertently waived.</w:t>
      </w:r>
    </w:p>
    <w:p w14:paraId="5C5270F6" w14:textId="77777777" w:rsidR="00AA392E" w:rsidRDefault="00000000">
      <w:pPr>
        <w:pStyle w:val="Heading2"/>
      </w:pPr>
      <w:bookmarkStart w:id="37" w:name="_Toc228176355"/>
      <w:r>
        <w:t>7.5  What never goes in the audit log</w:t>
      </w:r>
      <w:bookmarkEnd w:id="37"/>
    </w:p>
    <w:p w14:paraId="61C487CC" w14:textId="427C426A" w:rsidR="00AA392E" w:rsidRDefault="00000000">
      <w:pPr>
        <w:spacing w:after="120" w:line="320" w:lineRule="auto"/>
        <w:jc w:val="both"/>
      </w:pPr>
      <w:r>
        <w:t>Three categories of content are excluded from the log itself, even though their presence would be operationally convenient. The first is raw secrets</w:t>
      </w:r>
      <w:r w:rsidR="002A1CAA">
        <w:t>,</w:t>
      </w:r>
      <w:r>
        <w:t xml:space="preserve"> API keys, passwords, tokens</w:t>
      </w:r>
      <w:r w:rsidR="002A1CAA">
        <w:t>,</w:t>
      </w:r>
      <w:r>
        <w:t xml:space="preserve"> which are redacted at the gateway before any event is emitted. The second is raw personally-identifiable information payloads, which are replaced in the log by hash references to encrypted storage; the full payload remains recoverable through a controlled access path, but the audit log itself does not constitute a personal-data lake. The third is anything that would compromise legal-professional privilege if produced verbatim in discovery. Logs are evidentiary; they are also discoverable. Both must be true simultaneously, and the exclusions above are the price of preserving both properties.</w:t>
      </w:r>
    </w:p>
    <w:p w14:paraId="4B9A95AB" w14:textId="77777777" w:rsidR="00AA392E" w:rsidRDefault="00000000">
      <w:pPr>
        <w:pStyle w:val="Heading1"/>
        <w:pageBreakBefore/>
      </w:pPr>
      <w:bookmarkStart w:id="38" w:name="_Toc228176356"/>
      <w:r>
        <w:lastRenderedPageBreak/>
        <w:t>8.  Self-Learning Provenance</w:t>
      </w:r>
      <w:bookmarkEnd w:id="38"/>
    </w:p>
    <w:p w14:paraId="046CA4EE" w14:textId="77777777" w:rsidR="00AA392E" w:rsidRDefault="00000000">
      <w:pPr>
        <w:spacing w:after="120" w:line="320" w:lineRule="auto"/>
        <w:jc w:val="both"/>
      </w:pPr>
      <w:r>
        <w:t>Agents that learn need their learning audited. Otherwise self-learning becomes laundering: an agent quietly absorbs capabilities that the framework did not authorise, the system of record no longer reflects reality, and the audit logs no longer mean what they appear to mean. The risk is not theoretical. Long-lived agents in production environments routinely accumulate context, prompt revisions, fine-tuning increments and tool integrations that, taken together, transform the agent into a system materially different from the one originally attested. Without provenance discipline, the agent ends up operating outside its ethics-reviewed envelope without any single change having appeared significant in isolation.</w:t>
      </w:r>
    </w:p>
    <w:p w14:paraId="56FFEFD6" w14:textId="77777777" w:rsidR="00AA392E" w:rsidRDefault="00000000">
      <w:pPr>
        <w:pStyle w:val="Heading2"/>
      </w:pPr>
      <w:bookmarkStart w:id="39" w:name="_Toc228176357"/>
      <w:r>
        <w:t>8.1  What counts as learning</w:t>
      </w:r>
      <w:bookmarkEnd w:id="39"/>
    </w:p>
    <w:p w14:paraId="33A0D97B" w14:textId="200DA1E2" w:rsidR="00AA392E" w:rsidRDefault="00000000">
      <w:pPr>
        <w:spacing w:after="120" w:line="320" w:lineRule="auto"/>
        <w:jc w:val="both"/>
      </w:pPr>
      <w:r>
        <w:t>The framework defines learning broadly. An updated system prompt or material change to in-context guidance counts as learning. The binding of a new skill, the addition of a new tool, or the grant of a new capability counts as learning. A new blessing earned counts as learning. Any change to model weights through fine-tuning counts as learning. A material update to the vector store</w:t>
      </w:r>
      <w:r w:rsidR="002A1CAA">
        <w:t>,</w:t>
      </w:r>
      <w:r>
        <w:t xml:space="preserve"> a new long-term memory of a kind not previously present</w:t>
      </w:r>
      <w:r w:rsidR="002A1CAA">
        <w:t>,</w:t>
      </w:r>
      <w:r>
        <w:t xml:space="preserve"> counts as learning. An updated rulebook binding counts as learning. Each of these is a material change event, and each requires re-attestation proportional to the agent's risk class. The threshold for materiality is deliberately low; the cost of treating a change as material when it was not is administrative, while the cost of treating a material change as immaterial is the loss of the audit trail's integrity.</w:t>
      </w:r>
    </w:p>
    <w:p w14:paraId="3CC41D60" w14:textId="77777777" w:rsidR="00AA392E" w:rsidRDefault="00000000">
      <w:pPr>
        <w:pStyle w:val="Heading2"/>
      </w:pPr>
      <w:bookmarkStart w:id="40" w:name="_Toc228176358"/>
      <w:r>
        <w:t>8.2  The provenance chain</w:t>
      </w:r>
      <w:bookmarkEnd w:id="40"/>
    </w:p>
    <w:p w14:paraId="4AA7AF9C" w14:textId="71806BB0" w:rsidR="00AA392E" w:rsidRDefault="00000000">
      <w:pPr>
        <w:spacing w:after="120" w:line="320" w:lineRule="auto"/>
        <w:jc w:val="both"/>
      </w:pPr>
      <w:r>
        <w:t>For every learning event, the framework requires six artefacts to be captured. The source: what evidence justifies the change</w:t>
      </w:r>
      <w:r w:rsidR="002A1CAA">
        <w:t>,</w:t>
      </w:r>
      <w:r>
        <w:t xml:space="preserve"> a run trajectory, a benchmark result, a human approval, a regulator update? The attester: who signs off on the change</w:t>
      </w:r>
      <w:r w:rsidR="002A1CAA">
        <w:t>,</w:t>
      </w:r>
      <w:r>
        <w:t xml:space="preserve"> a reviewer agent, a human approver, the ethics committee, an automated benchmark? The scope: what does the change apply to</w:t>
      </w:r>
      <w:r w:rsidR="002A1CAA">
        <w:t>,</w:t>
      </w:r>
      <w:r>
        <w:t xml:space="preserve"> this agent only, all of its descendants, the entire tenant? The diff: what is the precise before-and-after, expressed in a form a future auditor can read? The validation: what regression and red-team evidence accompanies the change, so that the change is not just attested but tested? The effective date and expiry: when is the change live, when does it expire, and when does it require review even before expiry? The provenance chain is itself stored as a signed sub-graph in the system of record, not buried in commit messages or version-control history that can be rewritten.</w:t>
      </w:r>
    </w:p>
    <w:p w14:paraId="1E08D54E" w14:textId="77777777" w:rsidR="00AA392E" w:rsidRDefault="00000000">
      <w:pPr>
        <w:pStyle w:val="Heading2"/>
      </w:pPr>
      <w:bookmarkStart w:id="41" w:name="_Toc228176359"/>
      <w:r>
        <w:t>8.3  Preventing capability drift</w:t>
      </w:r>
      <w:bookmarkEnd w:id="41"/>
    </w:p>
    <w:p w14:paraId="53EBDED0" w14:textId="77777777" w:rsidR="00AA392E" w:rsidRDefault="00000000">
      <w:pPr>
        <w:spacing w:after="120" w:line="320" w:lineRule="auto"/>
        <w:jc w:val="both"/>
      </w:pPr>
      <w:r>
        <w:t xml:space="preserve">Drift is the silent enemy. The framework specifies four mitigations. The first is periodic capability audits: does the agent still use what it has been granted? Capabilities not exercised within a defined window are revoked, on the principle that an unexercised capability is a latent attack surface rather </w:t>
      </w:r>
      <w:r>
        <w:lastRenderedPageBreak/>
        <w:t>than a useful contingency. The second is behavioural shadow testing: a subset of live traffic is replayed against canary versions of the agent, and outputs are compared. Divergence between the canary and the production version is a signal that requires investigation. The third is adversarial probing: automated red-team agents continuously test the production agents' guardrails for prompt injection, capability misuse and data leakage. The fourth is the drift dashboard surfaced in the visualisation layer, rendering capability heatmaps and refusal-rate trends so that operators can see drift in motion rather than only in retrospect.</w:t>
      </w:r>
    </w:p>
    <w:p w14:paraId="1ACFA45C" w14:textId="77777777" w:rsidR="00AA392E" w:rsidRDefault="00000000">
      <w:pPr>
        <w:pStyle w:val="Heading2"/>
      </w:pPr>
      <w:bookmarkStart w:id="42" w:name="_Toc228176360"/>
      <w:r>
        <w:t>8.4  Preventing compliance laundering via fine-tuning</w:t>
      </w:r>
      <w:bookmarkEnd w:id="42"/>
    </w:p>
    <w:p w14:paraId="2AE12C40" w14:textId="77777777" w:rsidR="00AA392E" w:rsidRDefault="00000000">
      <w:pPr>
        <w:spacing w:after="120" w:line="320" w:lineRule="auto"/>
        <w:jc w:val="both"/>
      </w:pPr>
      <w:r>
        <w:t>Fine-tuning is the most dangerous form of learning because it can erase or reshape behaviour without producing any prompt-level change visible to the operator. The framework therefore treats any fine-tune as the birth of a new agent, with a parent lineage edge to the prior version, rather than as an in-place update. This treatment preserves three properties that an in-place update would destroy: the integrity of the pre-fine-tune audit history (because the original agent's record is not retroactively edited), the ability to roll back (because the predecessor agent's configuration is fully preserved), and the obligation to re-attest (because the fine-tuned agent is, formally, a new entity that has not yet earned blessings). The discipline is administratively heavy and therefore tempting to short-circuit; the framework's experience is that organisations which short-circuit it produce audit records they cannot defend.</w:t>
      </w:r>
    </w:p>
    <w:p w14:paraId="1B6B4A06" w14:textId="77777777" w:rsidR="00AA392E" w:rsidRDefault="00000000">
      <w:pPr>
        <w:pStyle w:val="Heading1"/>
        <w:pageBreakBefore/>
      </w:pPr>
      <w:bookmarkStart w:id="43" w:name="_Toc228176361"/>
      <w:r>
        <w:lastRenderedPageBreak/>
        <w:t>9.  Visualisation and Operator Surfaces</w:t>
      </w:r>
      <w:bookmarkEnd w:id="43"/>
    </w:p>
    <w:p w14:paraId="7E03998C" w14:textId="10878FDE" w:rsidR="00AA392E" w:rsidRDefault="00000000">
      <w:pPr>
        <w:spacing w:after="120" w:line="320" w:lineRule="auto"/>
        <w:jc w:val="both"/>
      </w:pPr>
      <w:r>
        <w:t>You cannot govern what you cannot see. Without a visualisation layer, the auditory data is forensic-only</w:t>
      </w:r>
      <w:r w:rsidR="002A1CAA">
        <w:t>,</w:t>
      </w:r>
      <w:r>
        <w:t xml:space="preserve"> useful after incidents but invisible to the operators whose decisions create the conditions for incidents in the first place. The framework therefore treats visualisation as a first-class deliverable rather than a user-interface convenience layered on at the end of a project. Visualisation is the surface at which operators detect drift, customers see compliance, regulators receive responses to inbound enquiry, and auditors find what they need without recourse to engineering teams. It is, in commercial terms, the layer at which the framework converts from a cost centre into a differentiator.</w:t>
      </w:r>
    </w:p>
    <w:p w14:paraId="6B269A1A" w14:textId="77777777" w:rsidR="00AA392E" w:rsidRDefault="00000000">
      <w:pPr>
        <w:pStyle w:val="Heading2"/>
      </w:pPr>
      <w:bookmarkStart w:id="44" w:name="_Toc228176362"/>
      <w:r>
        <w:t>9.1  The four canonical views</w:t>
      </w:r>
      <w:bookmarkEnd w:id="44"/>
    </w:p>
    <w:p w14:paraId="42F2B63B" w14:textId="77777777" w:rsidR="00AA392E" w:rsidRDefault="00000000">
      <w:pPr>
        <w:spacing w:after="120" w:line="320" w:lineRule="auto"/>
        <w:jc w:val="both"/>
      </w:pPr>
      <w:r>
        <w:t>The framework specifies four views, each addressing a distinct operator question and each backed by the same underlying event log.</w:t>
      </w:r>
    </w:p>
    <w:p w14:paraId="7445C6BA" w14:textId="77777777" w:rsidR="00AA392E" w:rsidRDefault="00000000">
      <w:pPr>
        <w:spacing w:after="120" w:line="320" w:lineRule="auto"/>
        <w:jc w:val="both"/>
      </w:pPr>
      <w:r>
        <w:rPr>
          <w:b/>
          <w:bCs/>
          <w:color w:val="1E3A8A"/>
        </w:rPr>
        <w:t xml:space="preserve">The Identity Graph </w:t>
      </w:r>
      <w:r>
        <w:t>answers the question "who exists, and how are they related?". It renders every agent in the system, its parent and child lineage, the model and skill versions in use, and the blessings each holds. The view is largely static, navigated like an organisational chart with depth controls; it is the view a regulator opens first when asking "who are your agents?".</w:t>
      </w:r>
    </w:p>
    <w:p w14:paraId="33E5D0D9" w14:textId="77777777" w:rsidR="00AA392E" w:rsidRDefault="00000000">
      <w:pPr>
        <w:spacing w:after="120" w:line="320" w:lineRule="auto"/>
        <w:jc w:val="both"/>
      </w:pPr>
      <w:r>
        <w:rPr>
          <w:b/>
          <w:bCs/>
          <w:color w:val="1E3A8A"/>
        </w:rPr>
        <w:t xml:space="preserve">The Interaction Graph </w:t>
      </w:r>
      <w:r>
        <w:t xml:space="preserve">answers the question "what is happening right now?". It renders the live network of calls between agents, humans and systems, with edges weighted by call volume, cost or risk score. </w:t>
      </w:r>
      <w:proofErr w:type="spellStart"/>
      <w:r>
        <w:t>Graphistry's</w:t>
      </w:r>
      <w:proofErr w:type="spellEnd"/>
      <w:r>
        <w:t xml:space="preserve"> GPU-accelerated graph rendering is the reference renderer at scales above one hundred thousand edges, with Neo4j Bloom for narrative drill-down and Cytoscape.js for embedded views. The interaction graph is where runaway recursion becomes visible as a spike in fan-out, and where capability exfiltration becomes visible as an unexpected edge to an external endpoint.</w:t>
      </w:r>
    </w:p>
    <w:p w14:paraId="1289D14D" w14:textId="77777777" w:rsidR="00AA392E" w:rsidRDefault="00000000">
      <w:pPr>
        <w:spacing w:after="120" w:line="320" w:lineRule="auto"/>
        <w:jc w:val="both"/>
      </w:pPr>
      <w:r>
        <w:rPr>
          <w:b/>
          <w:bCs/>
          <w:color w:val="1E3A8A"/>
        </w:rPr>
        <w:t xml:space="preserve">The Trajectory or Trace View </w:t>
      </w:r>
      <w:r>
        <w:t xml:space="preserve">answers the question "what did this agent do in this session?". It renders a single run as a call tree with timeline, recursion depth, tool-use markers, human-gate pauses, and self-learning deltas. It is built on </w:t>
      </w:r>
      <w:proofErr w:type="spellStart"/>
      <w:r>
        <w:t>OpenTelemetry</w:t>
      </w:r>
      <w:proofErr w:type="spellEnd"/>
      <w:r>
        <w:t xml:space="preserve"> waterfall conventions augmented with agent-aware annotations, and it is the view incident responders open first.</w:t>
      </w:r>
    </w:p>
    <w:p w14:paraId="4C2F40DA" w14:textId="77777777" w:rsidR="00AA392E" w:rsidRDefault="00000000">
      <w:pPr>
        <w:spacing w:after="120" w:line="320" w:lineRule="auto"/>
        <w:jc w:val="both"/>
      </w:pPr>
      <w:r>
        <w:rPr>
          <w:b/>
          <w:bCs/>
          <w:color w:val="1E3A8A"/>
        </w:rPr>
        <w:t xml:space="preserve">The Capability Heatmap </w:t>
      </w:r>
      <w:r>
        <w:t>answers the question "which agents are over-permissioned?". It renders a per-agent skill matrix crossed with usage frequency and policy verdicts. It is the view that surfaces capability drift, dormant blessings and over-permissioned identities, and it drives the periodic capability-revocation cycle described in section 8.3.</w:t>
      </w:r>
    </w:p>
    <w:p w14:paraId="4BD7C8C8" w14:textId="77777777" w:rsidR="00AA392E" w:rsidRDefault="00000000">
      <w:pPr>
        <w:pStyle w:val="Heading2"/>
      </w:pPr>
      <w:bookmarkStart w:id="45" w:name="_Toc228176363"/>
      <w:r>
        <w:t>9.2  The data pipeline</w:t>
      </w:r>
      <w:bookmarkEnd w:id="45"/>
    </w:p>
    <w:p w14:paraId="303E757A" w14:textId="77777777" w:rsidR="00AA392E" w:rsidRDefault="00000000">
      <w:pPr>
        <w:spacing w:after="120" w:line="320" w:lineRule="auto"/>
        <w:jc w:val="both"/>
      </w:pPr>
      <w:r>
        <w:t xml:space="preserve">The visualisation surface reads from materialised projections of the canonical event log; it never blocks the gateway and never operates as a primary store. Events flow from the policy enforcement plane onto an event bus (Kafka or </w:t>
      </w:r>
      <w:proofErr w:type="spellStart"/>
      <w:r>
        <w:t>EventHubs</w:t>
      </w:r>
      <w:proofErr w:type="spellEnd"/>
      <w:r>
        <w:t xml:space="preserve">), and from there into four downstream systems in parallel: a graph store (Neo4j or </w:t>
      </w:r>
      <w:proofErr w:type="spellStart"/>
      <w:r>
        <w:t>Memgraph</w:t>
      </w:r>
      <w:proofErr w:type="spellEnd"/>
      <w:r>
        <w:t xml:space="preserve">) for the identity and interaction graphs, a trace store (Tempo or </w:t>
      </w:r>
      <w:r>
        <w:lastRenderedPageBreak/>
        <w:t>Jaeger) for trajectory views, an analytics store (</w:t>
      </w:r>
      <w:proofErr w:type="spellStart"/>
      <w:r>
        <w:t>ClickHouse</w:t>
      </w:r>
      <w:proofErr w:type="spellEnd"/>
      <w:r>
        <w:t xml:space="preserve"> or </w:t>
      </w:r>
      <w:proofErr w:type="spellStart"/>
      <w:r>
        <w:t>BigQuery</w:t>
      </w:r>
      <w:proofErr w:type="spellEnd"/>
      <w:r>
        <w:t>) for heatmaps and aggregate analytics, and an object archive for the cold tier described in section 7.4. The design is event-sourced and append-only; every projection is reproducible from the canonical log, which means that visualisations can be re-shaped or extended without re-instrumenting the gateway.</w:t>
      </w:r>
    </w:p>
    <w:p w14:paraId="672D9479" w14:textId="77777777" w:rsidR="00AA392E" w:rsidRDefault="00000000">
      <w:pPr>
        <w:pStyle w:val="Heading2"/>
      </w:pPr>
      <w:bookmarkStart w:id="46" w:name="_Toc228176364"/>
      <w:r>
        <w:t>9.3  Operator workflows</w:t>
      </w:r>
      <w:bookmarkEnd w:id="46"/>
    </w:p>
    <w:p w14:paraId="5AA5C6EA" w14:textId="77777777" w:rsidR="00AA392E" w:rsidRDefault="00000000">
      <w:pPr>
        <w:spacing w:after="120" w:line="320" w:lineRule="auto"/>
        <w:jc w:val="both"/>
      </w:pPr>
      <w:r>
        <w:t>The visualisation surface enables a distinct set of operator workflows that are difficult or impossible without it. These include: showing every agent that touched a specified client's data within a stated window; explaining why a specific agent escalated to a human at a specific point in a session; identifying agents holding capabilities they have not exercised within a defined window, ahead of the periodic revocation cycle; finding rogue recursion as graph anomalies (depth above N, fan-out above M); replaying a session with full fidelity to the conditions at the time; and simulating the impact of revoking a specific blessing across the population of agents that hold it. Each of these workflows is a question that is asked weekly in a mature operations function, and each becomes tractable only when the visualisation layer is properly co-designed with the audit and identity layers below it.</w:t>
      </w:r>
    </w:p>
    <w:p w14:paraId="24CCDA7F" w14:textId="77777777" w:rsidR="00AA392E" w:rsidRDefault="00000000">
      <w:pPr>
        <w:pStyle w:val="Heading2"/>
      </w:pPr>
      <w:bookmarkStart w:id="47" w:name="_Toc228176365"/>
      <w:r>
        <w:t>9.4  Public-facing transparency surfaces</w:t>
      </w:r>
      <w:bookmarkEnd w:id="47"/>
    </w:p>
    <w:p w14:paraId="61E70BA8" w14:textId="77777777" w:rsidR="00AA392E" w:rsidRDefault="00000000">
      <w:pPr>
        <w:spacing w:after="120" w:line="320" w:lineRule="auto"/>
        <w:jc w:val="both"/>
      </w:pPr>
      <w:r>
        <w:t>The same data, scoped and redacted, becomes a customer-facing trust product. A customer can be presented with the precise list of agents that touched their account in a stated window, the authority on which each touched it, the lawful basis under which the data was processed, and the consent receipts that govern the processing. The customer can be presented with their data-processing record, downloadable on demand. The customer can review the agents on the framework's maturity ladder and see which controls are operational. Audit becomes a sales surface; compliance becomes a procurement differentiator. The same regulator-ready evidence base, surfaced through different access controls and visualisation conventions, becomes the trust portal that closes the deal.</w:t>
      </w:r>
    </w:p>
    <w:p w14:paraId="77B71DD8" w14:textId="77777777" w:rsidR="00AA392E" w:rsidRDefault="00000000">
      <w:pPr>
        <w:pStyle w:val="Heading1"/>
        <w:pageBreakBefore/>
      </w:pPr>
      <w:bookmarkStart w:id="48" w:name="_Toc228176366"/>
      <w:r>
        <w:lastRenderedPageBreak/>
        <w:t>10.  Data Compliance, Sovereignty and Regulatory Alignment</w:t>
      </w:r>
      <w:bookmarkEnd w:id="48"/>
    </w:p>
    <w:p w14:paraId="4700E44D" w14:textId="77777777" w:rsidR="00AA392E" w:rsidRDefault="00000000">
      <w:pPr>
        <w:spacing w:after="120" w:line="320" w:lineRule="auto"/>
        <w:jc w:val="both"/>
      </w:pPr>
      <w:r>
        <w:t>Compliance is not bolted on. It is the property that emerges when identity, the policy enforcement plane, audit and visualisation are correctly co-designed. Treat compliance as a separate workstream and it becomes a perpetual catch-up project against shifting regulatory requirements; design it into the layers above and it becomes an operational property that requires only periodic review. The framework treats every audit event as the answer to a single composite question: who, acting for whom, under what lawful basis, on what data class, in what jurisdiction.</w:t>
      </w:r>
    </w:p>
    <w:p w14:paraId="08432921" w14:textId="77777777" w:rsidR="00AA392E" w:rsidRDefault="00000000">
      <w:pPr>
        <w:pStyle w:val="Heading2"/>
      </w:pPr>
      <w:bookmarkStart w:id="49" w:name="_Toc228176367"/>
      <w:r>
        <w:t>10.1  Data classification at the gateway</w:t>
      </w:r>
      <w:bookmarkEnd w:id="49"/>
    </w:p>
    <w:p w14:paraId="138D9196" w14:textId="77777777" w:rsidR="00AA392E" w:rsidRDefault="00000000">
      <w:pPr>
        <w:spacing w:after="120" w:line="320" w:lineRule="auto"/>
        <w:jc w:val="both"/>
      </w:pPr>
      <w:r>
        <w:t>Every payload is tagged at the policy enforcement plane with a classification drawn from a controlled vocabulary that runs from public through internal, confidential, personally-identifiable information, and finally to the most-sensitive categories such as protected health information, payment card data and intellectual-property secrets. Tags drive policy: protected health information never leaves its region of origin without explicit transfer authorisation, payment card data never reaches a generative model, intellectual-property secrets block third-party model egress entirely. Tags are captured in the audit event so that the visualisation layer can render data-class heatmaps and so that regulators can be answered in seconds rather than weeks: the question "did any protected health information leave the tenant in the last quarter?" becomes a query rather than a forensic project.</w:t>
      </w:r>
    </w:p>
    <w:p w14:paraId="3916DC9E" w14:textId="77777777" w:rsidR="00AA392E" w:rsidRDefault="00000000">
      <w:pPr>
        <w:pStyle w:val="Heading2"/>
      </w:pPr>
      <w:bookmarkStart w:id="50" w:name="_Toc228176368"/>
      <w:r>
        <w:t>10.2  Lawful basis and purpose limitation</w:t>
      </w:r>
      <w:bookmarkEnd w:id="50"/>
    </w:p>
    <w:p w14:paraId="3D1A6AEC" w14:textId="0F0E2856" w:rsidR="00AA392E" w:rsidRDefault="00000000">
      <w:pPr>
        <w:spacing w:after="120" w:line="320" w:lineRule="auto"/>
        <w:jc w:val="both"/>
      </w:pPr>
      <w:r>
        <w:t>Every capability is bound to a declared lawful basis under the regime that applies to the processing</w:t>
      </w:r>
      <w:r w:rsidR="002A1CAA">
        <w:t>,</w:t>
      </w:r>
      <w:r>
        <w:t xml:space="preserve"> GDPR Articles 6 and 9, the UK Data Protection Act, the UAE Personal Data Protection Law, HIPAA's treatment-payment-operations framing, or the equivalent in other jurisdictions. Capability scope equals purpose: the same operation under a different lawful basis is, formally, a different capability. The policy enforcement plane rejects calls that fall outside the declared purpose of the issued token</w:t>
      </w:r>
      <w:r w:rsidR="002A1CAA">
        <w:t>,</w:t>
      </w:r>
      <w:r>
        <w:t xml:space="preserve"> the property the framework refers to as purpose-binding tokens. Consent receipts are signed, machine-readable artefacts referenced in every audit event that involves consent-based processing. The combination of purpose-bound tokens and consent receipts is what permits the framework to satisfy GDPR Article 5(1)(b) at the resolution of individual API calls.</w:t>
      </w:r>
    </w:p>
    <w:p w14:paraId="3984AB30" w14:textId="77777777" w:rsidR="00AA392E" w:rsidRDefault="00000000">
      <w:pPr>
        <w:pStyle w:val="Heading2"/>
      </w:pPr>
      <w:bookmarkStart w:id="51" w:name="_Toc228176369"/>
      <w:r>
        <w:t>10.3  Data residency and sovereignty</w:t>
      </w:r>
      <w:bookmarkEnd w:id="51"/>
    </w:p>
    <w:p w14:paraId="31A826E8" w14:textId="77777777" w:rsidR="00AA392E" w:rsidRDefault="00000000">
      <w:pPr>
        <w:spacing w:after="120" w:line="320" w:lineRule="auto"/>
        <w:jc w:val="both"/>
      </w:pPr>
      <w:r>
        <w:t xml:space="preserve">Agents are pinned to a residency at the level of the system of record (the </w:t>
      </w:r>
      <w:proofErr w:type="spellStart"/>
      <w:r>
        <w:t>agent.residency</w:t>
      </w:r>
      <w:proofErr w:type="spellEnd"/>
      <w:r>
        <w:t xml:space="preserve"> field). The policy enforcement plane blocks cross-border egress unless an authorised transfer mechanism is present in the call's metadata: Standard Contractual Clauses, an International Data Transfer Agreement, an adequacy decision, or sector equivalence regimes such as DIFC or ADGM. Vector </w:t>
      </w:r>
      <w:r>
        <w:lastRenderedPageBreak/>
        <w:t>stores, audit logs, model endpoints and key material are all region-pinned. A sovereign deployment profile exists for government and regulated clients in domains such as smart-city infrastructure, defence-adjacent operations and sovereign healthcare. The sovereign profile comprises an air-gapped agent identity provider together with on-soil policy enforcement plane and audit, and it is offered explicitly to clients whose regulatory or political environment requires that no agent operating on their data, and no record of that operation, ever crosses a border.</w:t>
      </w:r>
    </w:p>
    <w:p w14:paraId="1AE95D49" w14:textId="77777777" w:rsidR="00AA392E" w:rsidRDefault="00000000">
      <w:pPr>
        <w:pStyle w:val="Heading2"/>
      </w:pPr>
      <w:bookmarkStart w:id="52" w:name="_Toc228176370"/>
      <w:r>
        <w:t>10.4  The retention–erasure paradox and crypto-shredding</w:t>
      </w:r>
      <w:bookmarkEnd w:id="52"/>
    </w:p>
    <w:p w14:paraId="05AC8C8B" w14:textId="1964F3F6" w:rsidR="00AA392E" w:rsidRDefault="00000000">
      <w:pPr>
        <w:spacing w:after="120" w:line="320" w:lineRule="auto"/>
        <w:jc w:val="both"/>
      </w:pPr>
      <w:r>
        <w:t>There is a structural tension between the right of erasure under GDPR Article 17 and the audit-log retention obligations under the EU AI Act, which require retention of at least six months for high-risk systems and substantially longer in sectoral overlays. Naive implementations pick one side of the tension and breach the other. The framework's answer is crypto-shredding: data is encrypted at rest with per-subject keys (one key per data subject, per tenant, per data class), and erasure is performed by destroying the relevant key rather than by deleting the underlying ciphertext. The audit metadata</w:t>
      </w:r>
      <w:r w:rsidR="002A1CAA">
        <w:t>,</w:t>
      </w:r>
      <w:r>
        <w:t xml:space="preserve"> who acted, when, under what verdict</w:t>
      </w:r>
      <w:r w:rsidR="002A1CAA">
        <w:t>,</w:t>
      </w:r>
      <w:r>
        <w:t xml:space="preserve"> survives, while the payload becomes unreadable forever. Per-data-class retention policies are enforced by the audit sink rather than by ad-hoc cleanup jobs, which would otherwise be a perennial source of audit-log integrity failures. Crypto-shredding is also the operational answer to memory-hygiene erasure described in section 4.4.</w:t>
      </w:r>
    </w:p>
    <w:p w14:paraId="47986DDD" w14:textId="77777777" w:rsidR="00AA392E" w:rsidRDefault="00000000">
      <w:pPr>
        <w:pStyle w:val="Heading2"/>
      </w:pPr>
      <w:bookmarkStart w:id="53" w:name="_Toc228176371"/>
      <w:r>
        <w:t>10.5  EU AI Act alignment</w:t>
      </w:r>
      <w:bookmarkEnd w:id="53"/>
    </w:p>
    <w:p w14:paraId="3DBB880F" w14:textId="77777777" w:rsidR="00AA392E" w:rsidRDefault="00000000">
      <w:pPr>
        <w:spacing w:after="120" w:line="320" w:lineRule="auto"/>
        <w:jc w:val="both"/>
      </w:pPr>
      <w:r>
        <w:t>For most agent products operating in or serving the European Union, the EU AI Act is the binding regulator. The table below maps the Act's principal obligations to the framework sections that satisfy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1"/>
        <w:gridCol w:w="4965"/>
      </w:tblGrid>
      <w:tr w:rsidR="00AA392E" w14:paraId="228628B1" w14:textId="77777777">
        <w:tblPrEx>
          <w:tblCellMar>
            <w:top w:w="0" w:type="dxa"/>
            <w:bottom w:w="0" w:type="dxa"/>
          </w:tblCellMar>
        </w:tblPrEx>
        <w:trPr>
          <w:tblHeader/>
        </w:trPr>
        <w:tc>
          <w:tcPr>
            <w:tcW w:w="4061"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5E5F79F2" w14:textId="77777777" w:rsidR="00AA392E" w:rsidRDefault="00000000">
            <w:r>
              <w:rPr>
                <w:b/>
                <w:bCs/>
                <w:color w:val="FFFFFF"/>
              </w:rPr>
              <w:t>AI Act obligation</w:t>
            </w:r>
          </w:p>
        </w:tc>
        <w:tc>
          <w:tcPr>
            <w:tcW w:w="4965"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0FD6123B" w14:textId="77777777" w:rsidR="00AA392E" w:rsidRDefault="00000000">
            <w:r>
              <w:rPr>
                <w:b/>
                <w:bCs/>
                <w:color w:val="FFFFFF"/>
              </w:rPr>
              <w:t>Framework section satisfying it</w:t>
            </w:r>
          </w:p>
        </w:tc>
      </w:tr>
      <w:tr w:rsidR="00AA392E" w14:paraId="51DF61AE"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FD3DE2D" w14:textId="77777777" w:rsidR="00AA392E" w:rsidRDefault="00000000">
            <w:pPr>
              <w:spacing w:line="280" w:lineRule="auto"/>
            </w:pPr>
            <w:r>
              <w:rPr>
                <w:sz w:val="21"/>
                <w:szCs w:val="21"/>
              </w:rPr>
              <w:t>Risk classification (limited, high, prohibited)</w:t>
            </w:r>
          </w:p>
        </w:tc>
        <w:tc>
          <w:tcPr>
            <w:tcW w:w="49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DFF2FF3" w14:textId="1EB94E4E" w:rsidR="00AA392E" w:rsidRDefault="00000000">
            <w:pPr>
              <w:spacing w:line="280" w:lineRule="auto"/>
            </w:pPr>
            <w:r>
              <w:rPr>
                <w:sz w:val="21"/>
                <w:szCs w:val="21"/>
              </w:rPr>
              <w:t>Section 3</w:t>
            </w:r>
            <w:r w:rsidR="002A1CAA">
              <w:rPr>
                <w:sz w:val="21"/>
                <w:szCs w:val="21"/>
              </w:rPr>
              <w:t>,</w:t>
            </w:r>
            <w:r>
              <w:rPr>
                <w:sz w:val="21"/>
                <w:szCs w:val="21"/>
              </w:rPr>
              <w:t xml:space="preserve"> system of record field </w:t>
            </w:r>
            <w:proofErr w:type="spellStart"/>
            <w:r>
              <w:rPr>
                <w:sz w:val="21"/>
                <w:szCs w:val="21"/>
              </w:rPr>
              <w:t>risk_class</w:t>
            </w:r>
            <w:proofErr w:type="spellEnd"/>
          </w:p>
        </w:tc>
      </w:tr>
      <w:tr w:rsidR="00AA392E" w14:paraId="725B8BC7"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01B33957" w14:textId="77777777" w:rsidR="00AA392E" w:rsidRDefault="00000000">
            <w:pPr>
              <w:spacing w:line="280" w:lineRule="auto"/>
            </w:pPr>
            <w:r>
              <w:rPr>
                <w:sz w:val="21"/>
                <w:szCs w:val="21"/>
              </w:rPr>
              <w:t>Technical documentation</w:t>
            </w:r>
          </w:p>
        </w:tc>
        <w:tc>
          <w:tcPr>
            <w:tcW w:w="496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3AB6C03" w14:textId="77777777" w:rsidR="00AA392E" w:rsidRDefault="00000000">
            <w:pPr>
              <w:spacing w:line="280" w:lineRule="auto"/>
            </w:pPr>
            <w:r>
              <w:rPr>
                <w:sz w:val="21"/>
                <w:szCs w:val="21"/>
              </w:rPr>
              <w:t>Section 3 system of record together with the Agent Bill of Materials in section 3.2</w:t>
            </w:r>
          </w:p>
        </w:tc>
      </w:tr>
      <w:tr w:rsidR="00AA392E" w14:paraId="54E29C42"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D0E3639" w14:textId="77777777" w:rsidR="00AA392E" w:rsidRDefault="00000000">
            <w:pPr>
              <w:spacing w:line="280" w:lineRule="auto"/>
            </w:pPr>
            <w:r>
              <w:rPr>
                <w:sz w:val="21"/>
                <w:szCs w:val="21"/>
              </w:rPr>
              <w:t>Log retention of at least six months</w:t>
            </w:r>
          </w:p>
        </w:tc>
        <w:tc>
          <w:tcPr>
            <w:tcW w:w="49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542F5F5" w14:textId="77777777" w:rsidR="00AA392E" w:rsidRDefault="00000000">
            <w:pPr>
              <w:spacing w:line="280" w:lineRule="auto"/>
            </w:pPr>
            <w:r>
              <w:rPr>
                <w:sz w:val="21"/>
                <w:szCs w:val="21"/>
              </w:rPr>
              <w:t>Section 7 audit layer with the storage tiering described in section 7.4</w:t>
            </w:r>
          </w:p>
        </w:tc>
      </w:tr>
      <w:tr w:rsidR="00AA392E" w14:paraId="20026101"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4916B2B" w14:textId="77777777" w:rsidR="00AA392E" w:rsidRDefault="00000000">
            <w:pPr>
              <w:spacing w:line="280" w:lineRule="auto"/>
            </w:pPr>
            <w:r>
              <w:rPr>
                <w:sz w:val="21"/>
                <w:szCs w:val="21"/>
              </w:rPr>
              <w:t>Human oversight</w:t>
            </w:r>
          </w:p>
        </w:tc>
        <w:tc>
          <w:tcPr>
            <w:tcW w:w="496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9C90645" w14:textId="77777777" w:rsidR="00AA392E" w:rsidRDefault="00000000">
            <w:pPr>
              <w:spacing w:line="280" w:lineRule="auto"/>
            </w:pPr>
            <w:r>
              <w:rPr>
                <w:sz w:val="21"/>
                <w:szCs w:val="21"/>
              </w:rPr>
              <w:t>Section 1.1 modes, section 5.5 gates, and section 11.4 ethics governance</w:t>
            </w:r>
          </w:p>
        </w:tc>
      </w:tr>
      <w:tr w:rsidR="00AA392E" w14:paraId="45EF1BCF"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6503856" w14:textId="77777777" w:rsidR="00AA392E" w:rsidRDefault="00000000">
            <w:pPr>
              <w:spacing w:line="280" w:lineRule="auto"/>
            </w:pPr>
            <w:r>
              <w:rPr>
                <w:sz w:val="21"/>
                <w:szCs w:val="21"/>
              </w:rPr>
              <w:t>Accuracy, robustness and cybersecurity metrics</w:t>
            </w:r>
          </w:p>
        </w:tc>
        <w:tc>
          <w:tcPr>
            <w:tcW w:w="49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E8DEDF9" w14:textId="77777777" w:rsidR="00AA392E" w:rsidRDefault="00000000">
            <w:pPr>
              <w:spacing w:line="280" w:lineRule="auto"/>
            </w:pPr>
            <w:r>
              <w:rPr>
                <w:sz w:val="21"/>
                <w:szCs w:val="21"/>
              </w:rPr>
              <w:t>Section 8 self-learning provenance and section 11.2 guardrail layers</w:t>
            </w:r>
          </w:p>
        </w:tc>
      </w:tr>
      <w:tr w:rsidR="00AA392E" w14:paraId="5DF7D13A"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010AB071" w14:textId="77777777" w:rsidR="00AA392E" w:rsidRDefault="00000000">
            <w:pPr>
              <w:spacing w:line="280" w:lineRule="auto"/>
            </w:pPr>
            <w:r>
              <w:rPr>
                <w:sz w:val="21"/>
                <w:szCs w:val="21"/>
              </w:rPr>
              <w:t>Post-market monitoring</w:t>
            </w:r>
          </w:p>
        </w:tc>
        <w:tc>
          <w:tcPr>
            <w:tcW w:w="496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21F832B" w14:textId="77777777" w:rsidR="00AA392E" w:rsidRDefault="00000000">
            <w:pPr>
              <w:spacing w:line="280" w:lineRule="auto"/>
            </w:pPr>
            <w:r>
              <w:rPr>
                <w:sz w:val="21"/>
                <w:szCs w:val="21"/>
              </w:rPr>
              <w:t>Section 9 visualisation and section 8 drift detection</w:t>
            </w:r>
          </w:p>
        </w:tc>
      </w:tr>
      <w:tr w:rsidR="00AA392E" w14:paraId="2CD9D78D" w14:textId="77777777">
        <w:tblPrEx>
          <w:tblCellMar>
            <w:top w:w="0" w:type="dxa"/>
            <w:bottom w:w="0" w:type="dxa"/>
          </w:tblCellMar>
        </w:tblPrEx>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72283CA" w14:textId="77777777" w:rsidR="00AA392E" w:rsidRDefault="00000000">
            <w:pPr>
              <w:spacing w:line="280" w:lineRule="auto"/>
            </w:pPr>
            <w:r>
              <w:rPr>
                <w:sz w:val="21"/>
                <w:szCs w:val="21"/>
              </w:rPr>
              <w:lastRenderedPageBreak/>
              <w:t>General-purpose AI obligations (training data summary, copyright, evaluation)</w:t>
            </w:r>
          </w:p>
        </w:tc>
        <w:tc>
          <w:tcPr>
            <w:tcW w:w="496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22692C8" w14:textId="77777777" w:rsidR="00AA392E" w:rsidRDefault="00000000">
            <w:pPr>
              <w:spacing w:line="280" w:lineRule="auto"/>
            </w:pPr>
            <w:r>
              <w:rPr>
                <w:sz w:val="21"/>
                <w:szCs w:val="21"/>
              </w:rPr>
              <w:t>Section 3.2 Agent Bill of Materials</w:t>
            </w:r>
          </w:p>
        </w:tc>
      </w:tr>
    </w:tbl>
    <w:p w14:paraId="3C2F0E58" w14:textId="77777777" w:rsidR="00AA392E" w:rsidRDefault="00AA392E">
      <w:pPr>
        <w:spacing w:after="160"/>
      </w:pPr>
    </w:p>
    <w:p w14:paraId="744622CD" w14:textId="77777777" w:rsidR="00AA392E" w:rsidRDefault="00000000">
      <w:pPr>
        <w:pStyle w:val="Heading2"/>
      </w:pPr>
      <w:bookmarkStart w:id="54" w:name="_Toc228176372"/>
      <w:r>
        <w:t>10.6  Sector overlays</w:t>
      </w:r>
      <w:bookmarkEnd w:id="54"/>
    </w:p>
    <w:p w14:paraId="41B214B3" w14:textId="0BCDB01D" w:rsidR="00AA392E" w:rsidRDefault="00000000">
      <w:pPr>
        <w:spacing w:after="120" w:line="320" w:lineRule="auto"/>
        <w:jc w:val="both"/>
      </w:pPr>
      <w:r>
        <w:t>Sectors layer additional obligations onto the baseline. In healthcare, HIPAA, the NHS Data Security and Protection Toolkit, and equivalents such as the UAE Department of Health requirements add classification of protected health information at the gateway, restriction of vendor relationships to those bound by Business Associate Agreements (or local equivalents), and enforcement of the minimum-necessary rule as a capability scope rather than as a documentation exercise. In financial services, the Financial Conduct Authority's senior management arrangements, systems and controls handbook, the Monetary Authority of Singapore's regulatory expectations, ADGM and DIFC requirements, PCI-DSS, and SR 11-7 model risk management require operational-resilience treatment of agents and the recognition that the model itself is a fourth-party risk. In public sector and smart-city contexts, procurement-transparency rules, Algorithmic Impact Assessments, and public registers of automated decisions create additional disclosure obligations that the framework's visualisation surface is designed to satisfy. Cross-cutting frameworks</w:t>
      </w:r>
      <w:r w:rsidR="002A1CAA">
        <w:t>,</w:t>
      </w:r>
      <w:r>
        <w:t xml:space="preserve"> SOC 2, ISO/IEC 27001, ISO/IEC 27701, ISO/IEC 42001 and the NIST AI Risk Management Framework</w:t>
      </w:r>
      <w:r w:rsidR="002A1CAA">
        <w:t>,</w:t>
      </w:r>
      <w:r>
        <w:t xml:space="preserve"> map directly to controls in the framework, with the audit log providing the evidence base.</w:t>
      </w:r>
    </w:p>
    <w:p w14:paraId="67D0E52D" w14:textId="77777777" w:rsidR="00AA392E" w:rsidRDefault="00000000">
      <w:pPr>
        <w:pStyle w:val="Heading2"/>
      </w:pPr>
      <w:bookmarkStart w:id="55" w:name="_Toc228176373"/>
      <w:r>
        <w:t>10.7  DPIA and Algorithmic Impact Assessment per agent class</w:t>
      </w:r>
      <w:bookmarkEnd w:id="55"/>
    </w:p>
    <w:p w14:paraId="53F4DA7F" w14:textId="1824F709" w:rsidR="00AA392E" w:rsidRDefault="00000000">
      <w:pPr>
        <w:spacing w:after="120" w:line="320" w:lineRule="auto"/>
        <w:jc w:val="both"/>
      </w:pPr>
      <w:r>
        <w:t>The framework provides template Data Protection Impact Assessments and Algorithmic Impact Assessments per agent archetype</w:t>
      </w:r>
      <w:r w:rsidR="002A1CAA">
        <w:t>,</w:t>
      </w:r>
      <w:r>
        <w:t xml:space="preserve"> autonomous, human-intervened, human-led</w:t>
      </w:r>
      <w:r w:rsidR="002A1CAA">
        <w:t>,</w:t>
      </w:r>
      <w:r>
        <w:t xml:space="preserve"> that are regenerated automatically on material model or capability change. The assessments are stored against the agent's record in the system of record, where they live alongside the agent rather than in a separate compliance repository that drifts out of date. A DPIA in the framework is not a one-off project artefact but a living document with an explicit re-validation trigger; the framework's experience is that DPIAs treated as project artefacts have a half-life of approximately one year in a moving regulatory environment.</w:t>
      </w:r>
    </w:p>
    <w:p w14:paraId="736F0A3B" w14:textId="77777777" w:rsidR="00AA392E" w:rsidRDefault="00000000">
      <w:pPr>
        <w:pStyle w:val="Heading2"/>
      </w:pPr>
      <w:bookmarkStart w:id="56" w:name="_Toc228176374"/>
      <w:r>
        <w:t>10.8  Compliance as a product surface</w:t>
      </w:r>
      <w:bookmarkEnd w:id="56"/>
    </w:p>
    <w:p w14:paraId="05E8804F" w14:textId="0E2A7387" w:rsidR="00AA392E" w:rsidRDefault="00000000">
      <w:pPr>
        <w:spacing w:after="120" w:line="320" w:lineRule="auto"/>
        <w:jc w:val="both"/>
      </w:pPr>
      <w:r>
        <w:t xml:space="preserve">The customer-facing transparency portal extends to a downloadable data-processing record, the agent inventory, audit excerpts within the customer's authorised scope, retention status across the data-class spectrum, and erasure receipts for any erasure request the customer has made. Regulatory burden becomes a trust differentiator. The argument made to the executive sponsor is that compliance investment funded as a defensive cost yields ongoing operational returns when the same </w:t>
      </w:r>
      <w:r>
        <w:lastRenderedPageBreak/>
        <w:t>investment is exposed as a customer-facing capability</w:t>
      </w:r>
      <w:r w:rsidR="002A1CAA">
        <w:t>,</w:t>
      </w:r>
      <w:r>
        <w:t xml:space="preserve"> and that the marginal cost of doing so is small once the underlying audit and visualisation layers are correctly built.</w:t>
      </w:r>
    </w:p>
    <w:p w14:paraId="438F0860" w14:textId="77777777" w:rsidR="00AA392E" w:rsidRDefault="00000000">
      <w:pPr>
        <w:pStyle w:val="Heading1"/>
        <w:pageBreakBefore/>
      </w:pPr>
      <w:bookmarkStart w:id="57" w:name="_Toc228176375"/>
      <w:r>
        <w:lastRenderedPageBreak/>
        <w:t>11.  Risk, Ethics, Guardrails and Litigation Defence</w:t>
      </w:r>
      <w:bookmarkEnd w:id="57"/>
    </w:p>
    <w:p w14:paraId="6141351F" w14:textId="77777777" w:rsidR="00AA392E" w:rsidRDefault="00000000">
      <w:pPr>
        <w:spacing w:after="120" w:line="320" w:lineRule="auto"/>
        <w:jc w:val="both"/>
      </w:pPr>
      <w:r>
        <w:t>The framework set out so far is necessary but not sufficient. Identity, enforcement, audit, visualisation and compliance produce the conditions for governable agent operation, but they do not, by themselves, constitute a posture on risk. Without a deliberate position on risk taxonomy, ethical governance, guardrail layering, continuous adversarial testing and litigation readiness, the identity and audit machinery is ornamental when subpoenas arrive. This section sets out the framework's posture on each.</w:t>
      </w:r>
    </w:p>
    <w:p w14:paraId="1D9FD5D5" w14:textId="77777777" w:rsidR="00AA392E" w:rsidRDefault="00000000">
      <w:pPr>
        <w:pStyle w:val="Heading2"/>
      </w:pPr>
      <w:bookmarkStart w:id="58" w:name="_Toc228176376"/>
      <w:r>
        <w:t>11.1  Risk taxonomy</w:t>
      </w:r>
      <w:bookmarkEnd w:id="58"/>
    </w:p>
    <w:p w14:paraId="17DB119E" w14:textId="77777777" w:rsidR="00AA392E" w:rsidRDefault="00000000">
      <w:pPr>
        <w:spacing w:after="120" w:line="320" w:lineRule="auto"/>
        <w:jc w:val="both"/>
      </w:pPr>
      <w:r>
        <w:t>The framework operates a single risk register with six classes; parallel registers fragment the risk picture and create gaps at the boundaries.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AA392E" w14:paraId="187E92F0" w14:textId="77777777">
        <w:tblPrEx>
          <w:tblCellMar>
            <w:top w:w="0" w:type="dxa"/>
            <w:bottom w:w="0" w:type="dxa"/>
          </w:tblCellMar>
        </w:tblPrEx>
        <w:trPr>
          <w:tblHeader/>
        </w:trPr>
        <w:tc>
          <w:tcPr>
            <w:tcW w:w="2707"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4A3F8794" w14:textId="77777777" w:rsidR="00AA392E" w:rsidRDefault="00000000">
            <w:r>
              <w:rPr>
                <w:b/>
                <w:bCs/>
                <w:color w:val="FFFFFF"/>
              </w:rPr>
              <w:t>Risk class</w:t>
            </w:r>
          </w:p>
        </w:tc>
        <w:tc>
          <w:tcPr>
            <w:tcW w:w="6319"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024126EA" w14:textId="77777777" w:rsidR="00AA392E" w:rsidRDefault="00000000">
            <w:r>
              <w:rPr>
                <w:b/>
                <w:bCs/>
                <w:color w:val="FFFFFF"/>
              </w:rPr>
              <w:t>Representative examples</w:t>
            </w:r>
          </w:p>
        </w:tc>
      </w:tr>
      <w:tr w:rsidR="00AA392E" w14:paraId="56875189"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AD7AFF2" w14:textId="77777777" w:rsidR="00AA392E" w:rsidRDefault="00000000">
            <w:pPr>
              <w:spacing w:line="280" w:lineRule="auto"/>
            </w:pPr>
            <w:r>
              <w:rPr>
                <w:sz w:val="21"/>
                <w:szCs w:val="21"/>
              </w:rPr>
              <w:t>Behavioural</w:t>
            </w:r>
          </w:p>
        </w:tc>
        <w:tc>
          <w:tcPr>
            <w:tcW w:w="631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F85AE94" w14:textId="77777777" w:rsidR="00AA392E" w:rsidRDefault="00000000">
            <w:pPr>
              <w:spacing w:line="280" w:lineRule="auto"/>
            </w:pPr>
            <w:r>
              <w:rPr>
                <w:sz w:val="21"/>
                <w:szCs w:val="21"/>
              </w:rPr>
              <w:t>Hallucination; prompt injection; goal drift; sycophancy; tool misuse; recursive runaway</w:t>
            </w:r>
          </w:p>
        </w:tc>
      </w:tr>
      <w:tr w:rsidR="00AA392E" w14:paraId="26FEDD91"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04FD295" w14:textId="77777777" w:rsidR="00AA392E" w:rsidRDefault="00000000">
            <w:pPr>
              <w:spacing w:line="280" w:lineRule="auto"/>
            </w:pPr>
            <w:r>
              <w:rPr>
                <w:sz w:val="21"/>
                <w:szCs w:val="21"/>
              </w:rPr>
              <w:t>Identity</w:t>
            </w:r>
          </w:p>
        </w:tc>
        <w:tc>
          <w:tcPr>
            <w:tcW w:w="63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314E617E" w14:textId="77777777" w:rsidR="00AA392E" w:rsidRDefault="00000000">
            <w:pPr>
              <w:spacing w:line="280" w:lineRule="auto"/>
            </w:pPr>
            <w:r>
              <w:rPr>
                <w:sz w:val="21"/>
                <w:szCs w:val="21"/>
              </w:rPr>
              <w:t>Stolen tokens; agent impersonation; capability creep; lineage forgery</w:t>
            </w:r>
          </w:p>
        </w:tc>
      </w:tr>
      <w:tr w:rsidR="00AA392E" w14:paraId="6A2CA577"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A86BF65" w14:textId="77777777" w:rsidR="00AA392E" w:rsidRDefault="00000000">
            <w:pPr>
              <w:spacing w:line="280" w:lineRule="auto"/>
            </w:pPr>
            <w:r>
              <w:rPr>
                <w:sz w:val="21"/>
                <w:szCs w:val="21"/>
              </w:rPr>
              <w:t>Data</w:t>
            </w:r>
          </w:p>
        </w:tc>
        <w:tc>
          <w:tcPr>
            <w:tcW w:w="631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E69569D" w14:textId="77777777" w:rsidR="00AA392E" w:rsidRDefault="00000000">
            <w:pPr>
              <w:spacing w:line="280" w:lineRule="auto"/>
            </w:pPr>
            <w:r>
              <w:rPr>
                <w:sz w:val="21"/>
                <w:szCs w:val="21"/>
              </w:rPr>
              <w:t>Leakage; contamination of training or memory; training-data poisoning; learned-secret retention</w:t>
            </w:r>
          </w:p>
        </w:tc>
      </w:tr>
      <w:tr w:rsidR="00AA392E" w14:paraId="5A06E7D1"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4DD4BDAA" w14:textId="77777777" w:rsidR="00AA392E" w:rsidRDefault="00000000">
            <w:pPr>
              <w:spacing w:line="280" w:lineRule="auto"/>
            </w:pPr>
            <w:r>
              <w:rPr>
                <w:sz w:val="21"/>
                <w:szCs w:val="21"/>
              </w:rPr>
              <w:t>Operational</w:t>
            </w:r>
          </w:p>
        </w:tc>
        <w:tc>
          <w:tcPr>
            <w:tcW w:w="63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57D1120" w14:textId="77777777" w:rsidR="00AA392E" w:rsidRDefault="00000000">
            <w:pPr>
              <w:spacing w:line="280" w:lineRule="auto"/>
            </w:pPr>
            <w:r>
              <w:rPr>
                <w:sz w:val="21"/>
                <w:szCs w:val="21"/>
              </w:rPr>
              <w:t>Cost runaway; cascading failures across delegated agents; third-party model outage</w:t>
            </w:r>
          </w:p>
        </w:tc>
      </w:tr>
      <w:tr w:rsidR="00AA392E" w14:paraId="24C699B7"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5F82C0B" w14:textId="77777777" w:rsidR="00AA392E" w:rsidRDefault="00000000">
            <w:pPr>
              <w:spacing w:line="280" w:lineRule="auto"/>
            </w:pPr>
            <w:r>
              <w:rPr>
                <w:sz w:val="21"/>
                <w:szCs w:val="21"/>
              </w:rPr>
              <w:t>Legal and regulatory</w:t>
            </w:r>
          </w:p>
        </w:tc>
        <w:tc>
          <w:tcPr>
            <w:tcW w:w="631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CBE8A26" w14:textId="77777777" w:rsidR="00AA392E" w:rsidRDefault="00000000">
            <w:pPr>
              <w:spacing w:line="280" w:lineRule="auto"/>
            </w:pPr>
            <w:r>
              <w:rPr>
                <w:sz w:val="21"/>
                <w:szCs w:val="21"/>
              </w:rPr>
              <w:t>Unlawful processing; automated-decision violations; sectoral breach; intellectual-property infringement in outputs</w:t>
            </w:r>
          </w:p>
        </w:tc>
      </w:tr>
      <w:tr w:rsidR="00AA392E" w14:paraId="336B31F7" w14:textId="77777777">
        <w:tblPrEx>
          <w:tblCellMar>
            <w:top w:w="0" w:type="dxa"/>
            <w:bottom w:w="0" w:type="dxa"/>
          </w:tblCellMar>
        </w:tblPrEx>
        <w:tc>
          <w:tcPr>
            <w:tcW w:w="270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203C703" w14:textId="77777777" w:rsidR="00AA392E" w:rsidRDefault="00000000">
            <w:pPr>
              <w:spacing w:line="280" w:lineRule="auto"/>
            </w:pPr>
            <w:r>
              <w:rPr>
                <w:sz w:val="21"/>
                <w:szCs w:val="21"/>
              </w:rPr>
              <w:t>Reputational and ethical</w:t>
            </w:r>
          </w:p>
        </w:tc>
        <w:tc>
          <w:tcPr>
            <w:tcW w:w="631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5F6AD83" w14:textId="77777777" w:rsidR="00AA392E" w:rsidRDefault="00000000">
            <w:pPr>
              <w:spacing w:line="280" w:lineRule="auto"/>
            </w:pPr>
            <w:r>
              <w:rPr>
                <w:sz w:val="21"/>
                <w:szCs w:val="21"/>
              </w:rPr>
              <w:t>Discriminatory outputs; manipulation; dark patterns</w:t>
            </w:r>
          </w:p>
        </w:tc>
      </w:tr>
    </w:tbl>
    <w:p w14:paraId="32688D20" w14:textId="77777777" w:rsidR="00AA392E" w:rsidRDefault="00AA392E">
      <w:pPr>
        <w:spacing w:after="160"/>
      </w:pPr>
    </w:p>
    <w:p w14:paraId="6FFAC789" w14:textId="77777777" w:rsidR="00AA392E" w:rsidRDefault="00000000">
      <w:pPr>
        <w:spacing w:after="120" w:line="320" w:lineRule="auto"/>
        <w:jc w:val="both"/>
      </w:pPr>
      <w:r>
        <w:t>Each class is mapped to controls in sections 3, 6, 7, 9 and 10. The single-register discipline is what allows risk-acceptance decisions to be made coherently across categories that, in legacy frameworks, are owned by different functions and reconciled only at board level after material exposure.</w:t>
      </w:r>
    </w:p>
    <w:p w14:paraId="02C5B47B" w14:textId="1C1107B7" w:rsidR="00AA392E" w:rsidRDefault="00000000">
      <w:pPr>
        <w:pStyle w:val="Heading2"/>
      </w:pPr>
      <w:bookmarkStart w:id="59" w:name="_Toc228176377"/>
      <w:r>
        <w:t>11.2  Defence in depth</w:t>
      </w:r>
      <w:r w:rsidR="002A1CAA">
        <w:t>,</w:t>
      </w:r>
      <w:r>
        <w:t xml:space="preserve"> six layers of guardrail</w:t>
      </w:r>
      <w:bookmarkEnd w:id="59"/>
    </w:p>
    <w:p w14:paraId="75A980C3" w14:textId="77777777" w:rsidR="00AA392E" w:rsidRDefault="00000000">
      <w:pPr>
        <w:spacing w:after="120" w:line="320" w:lineRule="auto"/>
        <w:jc w:val="both"/>
      </w:pPr>
      <w:r>
        <w:t>No single guardrail layer is reliable on its own. Each will fail, eventually, in one direction or another; the question is whether the stack as a whole still holds when any single layer has failed. The framework specifies six layers.</w:t>
      </w:r>
    </w:p>
    <w:p w14:paraId="02BDADE2" w14:textId="77777777" w:rsidR="00AA392E" w:rsidRDefault="00000000">
      <w:pPr>
        <w:pStyle w:val="ListParagraph"/>
        <w:numPr>
          <w:ilvl w:val="0"/>
          <w:numId w:val="2"/>
        </w:numPr>
        <w:spacing w:before="60" w:after="60" w:line="300" w:lineRule="auto"/>
      </w:pPr>
      <w:r>
        <w:rPr>
          <w:b/>
          <w:bCs/>
        </w:rPr>
        <w:t xml:space="preserve">Input guardrails. </w:t>
      </w:r>
      <w:r>
        <w:t>Prompt-injection and jailbreak detection at the entry of any user-controlled content into the agent's context.</w:t>
      </w:r>
    </w:p>
    <w:p w14:paraId="41C47704" w14:textId="77777777" w:rsidR="00AA392E" w:rsidRDefault="00000000">
      <w:pPr>
        <w:pStyle w:val="ListParagraph"/>
        <w:numPr>
          <w:ilvl w:val="0"/>
          <w:numId w:val="2"/>
        </w:numPr>
        <w:spacing w:before="60" w:after="60" w:line="300" w:lineRule="auto"/>
      </w:pPr>
      <w:r>
        <w:rPr>
          <w:b/>
          <w:bCs/>
        </w:rPr>
        <w:lastRenderedPageBreak/>
        <w:t xml:space="preserve">Model guardrails. </w:t>
      </w:r>
      <w:r>
        <w:t>System prompts, constitutional rules, refusal training built into the model itself or applied at inference time.</w:t>
      </w:r>
    </w:p>
    <w:p w14:paraId="2916ABF9" w14:textId="77777777" w:rsidR="00AA392E" w:rsidRDefault="00000000">
      <w:pPr>
        <w:pStyle w:val="ListParagraph"/>
        <w:numPr>
          <w:ilvl w:val="0"/>
          <w:numId w:val="2"/>
        </w:numPr>
        <w:spacing w:before="60" w:after="60" w:line="300" w:lineRule="auto"/>
      </w:pPr>
      <w:r>
        <w:rPr>
          <w:b/>
          <w:bCs/>
        </w:rPr>
        <w:t xml:space="preserve">Tool guardrails. </w:t>
      </w:r>
      <w:r>
        <w:t>Capability allow-lists, scope-bound tokens, schema validation at the tool boundary.</w:t>
      </w:r>
    </w:p>
    <w:p w14:paraId="65D03FEE" w14:textId="77777777" w:rsidR="00AA392E" w:rsidRDefault="00000000">
      <w:pPr>
        <w:pStyle w:val="ListParagraph"/>
        <w:numPr>
          <w:ilvl w:val="0"/>
          <w:numId w:val="2"/>
        </w:numPr>
        <w:spacing w:before="60" w:after="60" w:line="300" w:lineRule="auto"/>
      </w:pPr>
      <w:r>
        <w:rPr>
          <w:b/>
          <w:bCs/>
        </w:rPr>
        <w:t xml:space="preserve">Output guardrails. </w:t>
      </w:r>
      <w:r>
        <w:t>Personally-identifiable-information redaction, claim-checking, citation enforcement and watermarking applied to model outputs before they leave the agent.</w:t>
      </w:r>
    </w:p>
    <w:p w14:paraId="01316A73" w14:textId="437BCFC9" w:rsidR="00AA392E" w:rsidRDefault="00000000">
      <w:pPr>
        <w:pStyle w:val="ListParagraph"/>
        <w:numPr>
          <w:ilvl w:val="0"/>
          <w:numId w:val="2"/>
        </w:numPr>
        <w:spacing w:before="60" w:after="60" w:line="300" w:lineRule="auto"/>
      </w:pPr>
      <w:r>
        <w:rPr>
          <w:b/>
          <w:bCs/>
        </w:rPr>
        <w:t xml:space="preserve">Gateway guardrails. </w:t>
      </w:r>
      <w:r>
        <w:t>Policy verdicts at the policy enforcement plane</w:t>
      </w:r>
      <w:r w:rsidR="002A1CAA">
        <w:t>,</w:t>
      </w:r>
      <w:r>
        <w:t xml:space="preserve"> the only non-</w:t>
      </w:r>
      <w:proofErr w:type="spellStart"/>
      <w:r>
        <w:t>bypassable</w:t>
      </w:r>
      <w:proofErr w:type="spellEnd"/>
      <w:r>
        <w:t xml:space="preserve"> layer in the stack.</w:t>
      </w:r>
    </w:p>
    <w:p w14:paraId="5FCD8136" w14:textId="77777777" w:rsidR="00AA392E" w:rsidRDefault="00000000">
      <w:pPr>
        <w:pStyle w:val="ListParagraph"/>
        <w:numPr>
          <w:ilvl w:val="0"/>
          <w:numId w:val="2"/>
        </w:numPr>
        <w:spacing w:before="60" w:after="60" w:line="300" w:lineRule="auto"/>
      </w:pPr>
      <w:r>
        <w:rPr>
          <w:b/>
          <w:bCs/>
        </w:rPr>
        <w:t xml:space="preserve">Human guardrails. </w:t>
      </w:r>
      <w:r>
        <w:t>Gates, dual-control approval requirements, and post-action review.</w:t>
      </w:r>
    </w:p>
    <w:p w14:paraId="69E2E0BD" w14:textId="747FEB0F" w:rsidR="00AA392E" w:rsidRDefault="00000000">
      <w:pPr>
        <w:spacing w:after="120" w:line="320" w:lineRule="auto"/>
        <w:jc w:val="both"/>
      </w:pPr>
      <w:r>
        <w:t>Continuous adversarial testing</w:t>
      </w:r>
      <w:r w:rsidR="002A1CAA">
        <w:t>,</w:t>
      </w:r>
      <w:r>
        <w:t xml:space="preserve"> described in section 11.6</w:t>
      </w:r>
      <w:r w:rsidR="002A1CAA">
        <w:t>,</w:t>
      </w:r>
      <w:r>
        <w:t xml:space="preserve"> is what proves the stack still holds in the face of evolving attack patterns. A guardrail stack that has not been </w:t>
      </w:r>
      <w:proofErr w:type="spellStart"/>
      <w:r>
        <w:t>adversarially</w:t>
      </w:r>
      <w:proofErr w:type="spellEnd"/>
      <w:r>
        <w:t xml:space="preserve"> tested in the last quarter is, by working assumption, weaker than its documentation suggests.</w:t>
      </w:r>
    </w:p>
    <w:p w14:paraId="3FD49C16" w14:textId="77777777" w:rsidR="00AA392E" w:rsidRDefault="00000000">
      <w:pPr>
        <w:spacing w:before="240" w:after="240"/>
        <w:jc w:val="center"/>
      </w:pPr>
      <w:r>
        <w:rPr>
          <w:noProof/>
        </w:rPr>
        <w:drawing>
          <wp:inline distT="0" distB="0" distL="0" distR="0" wp14:anchorId="2B1796CF" wp14:editId="12641711">
            <wp:extent cx="5965358" cy="4103828"/>
            <wp:effectExtent l="0" t="0" r="0" b="0"/>
            <wp:docPr id="1440508070" name="Picture 144050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4278" cy="4109965"/>
                    </a:xfrm>
                    <a:prstGeom prst="rect">
                      <a:avLst/>
                    </a:prstGeom>
                  </pic:spPr>
                </pic:pic>
              </a:graphicData>
            </a:graphic>
          </wp:inline>
        </w:drawing>
      </w:r>
    </w:p>
    <w:p w14:paraId="5A74C145" w14:textId="71823834" w:rsidR="00AA392E" w:rsidRDefault="00000000">
      <w:pPr>
        <w:pStyle w:val="Heading2"/>
      </w:pPr>
      <w:bookmarkStart w:id="60" w:name="_Toc228176378"/>
      <w:r>
        <w:t>11.3  Rulebooks</w:t>
      </w:r>
      <w:r w:rsidR="002A1CAA">
        <w:t>,</w:t>
      </w:r>
      <w:r>
        <w:t xml:space="preserve"> codified, versioned, attestable</w:t>
      </w:r>
      <w:bookmarkEnd w:id="60"/>
    </w:p>
    <w:p w14:paraId="4C2766A2" w14:textId="77777777" w:rsidR="00AA392E" w:rsidRDefault="00000000">
      <w:pPr>
        <w:spacing w:after="120" w:line="320" w:lineRule="auto"/>
        <w:jc w:val="both"/>
      </w:pPr>
      <w:r>
        <w:t>Vibes do not survive depositions. Ethical principles expressed as committee-meeting minutes, internal policy documents or values statements provide insufficient grip when an agent's behaviour is being interrogated three years after the fact. The framework therefore introduces the rulebook construct: a codified, versioned, attestable statement of operational rules with enforcement-layer binding and evidence-event binding.</w:t>
      </w:r>
    </w:p>
    <w:p w14:paraId="1E992447" w14:textId="39311A52" w:rsidR="00AA392E" w:rsidRDefault="00000000">
      <w:pPr>
        <w:spacing w:after="120" w:line="320" w:lineRule="auto"/>
        <w:jc w:val="both"/>
      </w:pPr>
      <w:r>
        <w:lastRenderedPageBreak/>
        <w:t>Each rulebook names the source authority on which it rests (a HIPAA section, a GDPR Article, a contractual clause, an internal policy reference), the capabilities to which it applies, the enforcement layer at which it is enforced (the policy enforcement plane, the model layer, the tool layer or the human layer), and a set of assertions. Each assertion is a testable statement</w:t>
      </w:r>
      <w:r w:rsidR="002A1CAA">
        <w:t>,</w:t>
      </w:r>
      <w:r>
        <w:t xml:space="preserve"> "protected health information fields requested must match declared purpose codes", or "protected health information never crosses a tenant boundary"</w:t>
      </w:r>
      <w:r w:rsidR="002A1CAA">
        <w:t>,</w:t>
      </w:r>
      <w:r>
        <w:t xml:space="preserve"> bound to the audit event that constitutes evidence of compliance. Rulebooks declare any human-gate requirements they impose, and they declare a review cycle (typically quarterly for live operational rulebooks). Rulebooks live in the system of record alongside agents; they are not committee minutes.</w:t>
      </w:r>
    </w:p>
    <w:p w14:paraId="74117FF2" w14:textId="38F0B8ED" w:rsidR="00AA392E" w:rsidRDefault="00000000">
      <w:pPr>
        <w:pStyle w:val="Heading2"/>
      </w:pPr>
      <w:bookmarkStart w:id="61" w:name="_Toc228176379"/>
      <w:r>
        <w:t>11.4  Ethics governance</w:t>
      </w:r>
      <w:r w:rsidR="002A1CAA">
        <w:t>,</w:t>
      </w:r>
      <w:r>
        <w:t xml:space="preserve"> three tiers</w:t>
      </w:r>
      <w:bookmarkEnd w:id="61"/>
    </w:p>
    <w:p w14:paraId="5E66640B" w14:textId="19F32400" w:rsidR="00AA392E" w:rsidRDefault="00000000">
      <w:pPr>
        <w:spacing w:after="120" w:line="320" w:lineRule="auto"/>
        <w:jc w:val="both"/>
      </w:pPr>
      <w:r>
        <w:t>The framework specifies three tiers of ethical governance, mapped to the operational tempo at which each tier can usefully act. The Board AI Risk Committee meets quarterly, sets the organisation's risk appetite, approves high-risk deployments, and owns the relationship with the insurance underwriters. The AI Ethics Committee is cross-functional</w:t>
      </w:r>
      <w:r w:rsidR="002A1CAA">
        <w:t>,</w:t>
      </w:r>
      <w:r>
        <w:t xml:space="preserve"> engineering, legal, product, security, customer-facing</w:t>
      </w:r>
      <w:r w:rsidR="002A1CAA">
        <w:t>,</w:t>
      </w:r>
      <w:r>
        <w:t xml:space="preserve"> and meets at the cadence required to review high-risk agents pre-launch and to approve material rulebook updates. The Model Risk Officer is operational and continuous: this role owns the drift dashboards, escalates anomalies, and acts as the standing point of contact between operations and the committees above. The structure maps directly to ISO/IEC 42001, the NIST AI Risk Management Framework, and the EU AI Act's Article 17 governance expectations. Ethics in the framework is procedural rather than aspirational</w:t>
      </w:r>
      <w:r w:rsidR="002A1CAA">
        <w:t>,</w:t>
      </w:r>
      <w:r>
        <w:t xml:space="preserve"> a posture, not a poster.</w:t>
      </w:r>
    </w:p>
    <w:p w14:paraId="1918E106" w14:textId="77777777" w:rsidR="00AA392E" w:rsidRDefault="00000000">
      <w:pPr>
        <w:pStyle w:val="Heading2"/>
      </w:pPr>
      <w:bookmarkStart w:id="62" w:name="_Toc228176380"/>
      <w:r>
        <w:t>11.5  Behavioural defence in litigation</w:t>
      </w:r>
      <w:bookmarkEnd w:id="62"/>
    </w:p>
    <w:p w14:paraId="6A7D73A7" w14:textId="77777777" w:rsidR="00AA392E" w:rsidRDefault="00000000">
      <w:pPr>
        <w:spacing w:after="120" w:line="320" w:lineRule="auto"/>
        <w:jc w:val="both"/>
      </w:pPr>
      <w:r>
        <w:t>Audit logs become discoverable evidence. They will help or hurt; they cannot be neutral. The framework's audit structure is designed to produce evidence that helps when the underlying conduct was sound and that fails gracefully when the underlying conduct was not.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AA392E" w14:paraId="1F286B5B" w14:textId="77777777">
        <w:tblPrEx>
          <w:tblCellMar>
            <w:top w:w="0" w:type="dxa"/>
            <w:bottom w:w="0" w:type="dxa"/>
          </w:tblCellMar>
        </w:tblPrEx>
        <w:trPr>
          <w:tblHeader/>
        </w:trPr>
        <w:tc>
          <w:tcPr>
            <w:tcW w:w="3159"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69CAAAA7" w14:textId="77777777" w:rsidR="00AA392E" w:rsidRDefault="00000000">
            <w:r>
              <w:rPr>
                <w:b/>
                <w:bCs/>
                <w:color w:val="FFFFFF"/>
              </w:rPr>
              <w:t>Admissibility requirement</w:t>
            </w:r>
          </w:p>
        </w:tc>
        <w:tc>
          <w:tcPr>
            <w:tcW w:w="5867"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1F01B278" w14:textId="77777777" w:rsidR="00AA392E" w:rsidRDefault="00000000">
            <w:r>
              <w:rPr>
                <w:b/>
                <w:bCs/>
                <w:color w:val="FFFFFF"/>
              </w:rPr>
              <w:t>Framework satisfaction</w:t>
            </w:r>
          </w:p>
        </w:tc>
      </w:tr>
      <w:tr w:rsidR="00AA392E" w14:paraId="5E1F7A80" w14:textId="77777777">
        <w:tblPrEx>
          <w:tblCellMar>
            <w:top w:w="0" w:type="dxa"/>
            <w:bottom w:w="0" w:type="dxa"/>
          </w:tblCellMar>
        </w:tblPrEx>
        <w:tc>
          <w:tcPr>
            <w:tcW w:w="315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CAB39A7" w14:textId="77777777" w:rsidR="00AA392E" w:rsidRDefault="00000000">
            <w:pPr>
              <w:spacing w:line="280" w:lineRule="auto"/>
            </w:pPr>
            <w:r>
              <w:rPr>
                <w:sz w:val="21"/>
                <w:szCs w:val="21"/>
              </w:rPr>
              <w:t>Authenticity</w:t>
            </w:r>
          </w:p>
        </w:tc>
        <w:tc>
          <w:tcPr>
            <w:tcW w:w="586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FCFB353" w14:textId="77777777" w:rsidR="00AA392E" w:rsidRDefault="00000000">
            <w:pPr>
              <w:spacing w:line="280" w:lineRule="auto"/>
            </w:pPr>
            <w:r>
              <w:rPr>
                <w:sz w:val="21"/>
                <w:szCs w:val="21"/>
              </w:rPr>
              <w:t>Events signed at source; log hash-chained; checkpoints signed by external timestamp authority</w:t>
            </w:r>
          </w:p>
        </w:tc>
      </w:tr>
      <w:tr w:rsidR="00AA392E" w14:paraId="5ED63AC8" w14:textId="77777777">
        <w:tblPrEx>
          <w:tblCellMar>
            <w:top w:w="0" w:type="dxa"/>
            <w:bottom w:w="0" w:type="dxa"/>
          </w:tblCellMar>
        </w:tblPrEx>
        <w:tc>
          <w:tcPr>
            <w:tcW w:w="315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8AB6A5F" w14:textId="77777777" w:rsidR="00AA392E" w:rsidRDefault="00000000">
            <w:pPr>
              <w:spacing w:line="280" w:lineRule="auto"/>
            </w:pPr>
            <w:r>
              <w:rPr>
                <w:sz w:val="21"/>
                <w:szCs w:val="21"/>
              </w:rPr>
              <w:t>Reliability</w:t>
            </w:r>
          </w:p>
        </w:tc>
        <w:tc>
          <w:tcPr>
            <w:tcW w:w="586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31CB19A" w14:textId="77777777" w:rsidR="00AA392E" w:rsidRDefault="00000000">
            <w:pPr>
              <w:spacing w:line="280" w:lineRule="auto"/>
            </w:pPr>
            <w:r>
              <w:rPr>
                <w:sz w:val="21"/>
                <w:szCs w:val="21"/>
              </w:rPr>
              <w:t>Automated capture (no human-edited gaps); trusted timestamps; documented schema with version control</w:t>
            </w:r>
          </w:p>
        </w:tc>
      </w:tr>
      <w:tr w:rsidR="00AA392E" w14:paraId="6DF46986" w14:textId="77777777">
        <w:tblPrEx>
          <w:tblCellMar>
            <w:top w:w="0" w:type="dxa"/>
            <w:bottom w:w="0" w:type="dxa"/>
          </w:tblCellMar>
        </w:tblPrEx>
        <w:tc>
          <w:tcPr>
            <w:tcW w:w="315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B9A02B1" w14:textId="77777777" w:rsidR="00AA392E" w:rsidRDefault="00000000">
            <w:pPr>
              <w:spacing w:line="280" w:lineRule="auto"/>
            </w:pPr>
            <w:r>
              <w:rPr>
                <w:sz w:val="21"/>
                <w:szCs w:val="21"/>
              </w:rPr>
              <w:t>Chain of custody</w:t>
            </w:r>
          </w:p>
        </w:tc>
        <w:tc>
          <w:tcPr>
            <w:tcW w:w="586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E6619B1" w14:textId="12A63882" w:rsidR="00AA392E" w:rsidRDefault="00000000">
            <w:pPr>
              <w:spacing w:line="280" w:lineRule="auto"/>
            </w:pPr>
            <w:r>
              <w:rPr>
                <w:sz w:val="21"/>
                <w:szCs w:val="21"/>
              </w:rPr>
              <w:t>Logs about logs</w:t>
            </w:r>
            <w:r w:rsidR="002A1CAA">
              <w:rPr>
                <w:sz w:val="21"/>
                <w:szCs w:val="21"/>
              </w:rPr>
              <w:t>,</w:t>
            </w:r>
            <w:r>
              <w:rPr>
                <w:sz w:val="21"/>
                <w:szCs w:val="21"/>
              </w:rPr>
              <w:t xml:space="preserve"> every export, access and redaction is itself logged in the privileged audit partition</w:t>
            </w:r>
          </w:p>
        </w:tc>
      </w:tr>
      <w:tr w:rsidR="00AA392E" w14:paraId="34F1F5BF" w14:textId="77777777">
        <w:tblPrEx>
          <w:tblCellMar>
            <w:top w:w="0" w:type="dxa"/>
            <w:bottom w:w="0" w:type="dxa"/>
          </w:tblCellMar>
        </w:tblPrEx>
        <w:tc>
          <w:tcPr>
            <w:tcW w:w="3159"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4812BCB" w14:textId="77777777" w:rsidR="00AA392E" w:rsidRDefault="00000000">
            <w:pPr>
              <w:spacing w:line="280" w:lineRule="auto"/>
            </w:pPr>
            <w:r>
              <w:rPr>
                <w:sz w:val="21"/>
                <w:szCs w:val="21"/>
              </w:rPr>
              <w:t>Completeness</w:t>
            </w:r>
          </w:p>
        </w:tc>
        <w:tc>
          <w:tcPr>
            <w:tcW w:w="5867"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A79FD29" w14:textId="77777777" w:rsidR="00AA392E" w:rsidRDefault="00000000">
            <w:pPr>
              <w:spacing w:line="280" w:lineRule="auto"/>
            </w:pPr>
            <w:r>
              <w:rPr>
                <w:sz w:val="21"/>
                <w:szCs w:val="21"/>
              </w:rPr>
              <w:t>Monotonic sequence numbers; gap detection at ingest; reconciliation alerts on detected gaps</w:t>
            </w:r>
          </w:p>
        </w:tc>
      </w:tr>
      <w:tr w:rsidR="00AA392E" w14:paraId="71310BF8" w14:textId="77777777">
        <w:tblPrEx>
          <w:tblCellMar>
            <w:top w:w="0" w:type="dxa"/>
            <w:bottom w:w="0" w:type="dxa"/>
          </w:tblCellMar>
        </w:tblPrEx>
        <w:tc>
          <w:tcPr>
            <w:tcW w:w="3159"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16D70EF" w14:textId="77777777" w:rsidR="00AA392E" w:rsidRDefault="00000000">
            <w:pPr>
              <w:spacing w:line="280" w:lineRule="auto"/>
            </w:pPr>
            <w:r>
              <w:rPr>
                <w:sz w:val="21"/>
                <w:szCs w:val="21"/>
              </w:rPr>
              <w:lastRenderedPageBreak/>
              <w:t>Determinism</w:t>
            </w:r>
          </w:p>
        </w:tc>
        <w:tc>
          <w:tcPr>
            <w:tcW w:w="5867"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E9264C8" w14:textId="77777777" w:rsidR="00AA392E" w:rsidRDefault="00000000">
            <w:pPr>
              <w:spacing w:line="280" w:lineRule="auto"/>
            </w:pPr>
            <w:r>
              <w:rPr>
                <w:sz w:val="21"/>
                <w:szCs w:val="21"/>
              </w:rPr>
              <w:t>Agent Bill of Materials together with deterministic replay, allowing sessions to be reconstructed faithfully</w:t>
            </w:r>
          </w:p>
        </w:tc>
      </w:tr>
    </w:tbl>
    <w:p w14:paraId="01A51598" w14:textId="77777777" w:rsidR="00AA392E" w:rsidRDefault="00AA392E">
      <w:pPr>
        <w:spacing w:after="160"/>
      </w:pPr>
    </w:p>
    <w:p w14:paraId="353A1C4B" w14:textId="60BA36BC" w:rsidR="00AA392E" w:rsidRDefault="00000000">
      <w:pPr>
        <w:spacing w:after="120" w:line="320" w:lineRule="auto"/>
        <w:jc w:val="both"/>
      </w:pPr>
      <w:r>
        <w:rPr>
          <w:b/>
          <w:bCs/>
          <w:color w:val="1E3A8A"/>
        </w:rPr>
        <w:t xml:space="preserve">The reasonable agent standard. </w:t>
      </w:r>
      <w:r>
        <w:t>An emerging legal doctrine, parallel to the long-established reasonable person doctrine in tort and the reasonable professional standards used in medical and financial litigation. Defence under the reasonable agent standard rests on showing four elements: a declared purpose and lawful basis; documented guardrails appropriate to the risk; human-oversight points actually exercised at the relevant moments; and a record showing that any deviation from policy was anomalous rather than habitual. The framework above produces exactly this evidence</w:t>
      </w:r>
      <w:r w:rsidR="002A1CAA">
        <w:t>,</w:t>
      </w:r>
      <w:r>
        <w:t xml:space="preserve"> but only if it has been operated, not merely deployed. Compliance theatre produces audit trails that fail under cross-examination; operating discipline produces audit trails that close inquiries before they escalate.</w:t>
      </w:r>
    </w:p>
    <w:p w14:paraId="115C4C4E" w14:textId="77777777" w:rsidR="00AA392E" w:rsidRDefault="00000000">
      <w:pPr>
        <w:spacing w:after="120" w:line="320" w:lineRule="auto"/>
        <w:jc w:val="both"/>
      </w:pPr>
      <w:r>
        <w:rPr>
          <w:b/>
          <w:bCs/>
          <w:color w:val="1E3A8A"/>
        </w:rPr>
        <w:t xml:space="preserve">Documented refusal as a shield. </w:t>
      </w:r>
      <w:r>
        <w:t>When an agent declines an action, the refusal and its reason are logged. The refusal is often more defensible than the action: it proves that judgement was exercised, that the guardrail layer functioned as intended, and that the agent acted within its documented constraints. The framework treats refusals as evidence of correct operation rather than as anomalies to be investigated.</w:t>
      </w:r>
    </w:p>
    <w:p w14:paraId="1CE81043" w14:textId="77777777" w:rsidR="00AA392E" w:rsidRDefault="00000000">
      <w:pPr>
        <w:spacing w:after="120" w:line="320" w:lineRule="auto"/>
        <w:jc w:val="both"/>
      </w:pPr>
      <w:r>
        <w:rPr>
          <w:b/>
          <w:bCs/>
          <w:color w:val="1E3A8A"/>
        </w:rPr>
        <w:t xml:space="preserve">Privilege and data-room hygiene. </w:t>
      </w:r>
      <w:r>
        <w:t>Audit logs may be produced in discovery. They must be structured so that legitimate legal-professional privilege is segregated rather than entangled. Privileged events are written to the privileged partition described in section 7.4, with controlled access designed to preserve privilege under the rules of the relevant jurisdiction. Inadvertent waiver of privilege through commingled audit material is a foreseeable failure mode that the framework's storage tiering is specifically designed to prevent.</w:t>
      </w:r>
    </w:p>
    <w:p w14:paraId="0DC493DA" w14:textId="77777777" w:rsidR="00AA392E" w:rsidRDefault="00000000">
      <w:pPr>
        <w:pStyle w:val="Heading2"/>
      </w:pPr>
      <w:bookmarkStart w:id="63" w:name="_Toc228176381"/>
      <w:r>
        <w:t>11.6  Continuous red-teaming</w:t>
      </w:r>
      <w:bookmarkEnd w:id="63"/>
    </w:p>
    <w:p w14:paraId="4968C230" w14:textId="58155B1F" w:rsidR="00AA392E" w:rsidRDefault="00000000">
      <w:pPr>
        <w:spacing w:after="120" w:line="320" w:lineRule="auto"/>
        <w:jc w:val="both"/>
      </w:pPr>
      <w:r>
        <w:t>Pre-launch ethics review is necessary but not sufficient. The framework requires continuous adversarial testing across four modes. Adversarial agents probe live agents for prompt injection, capability misuse and data leakage, with their findings feeding into the rulebook update cycle. Threat models adapted from STRIDE and LINDDUN are extended for agentic contexts: spoofed identity (agent impersonation), tampered tool output, repudiation of recursive calls, information disclosure via memory contamination, denial of service via fan-out, elevation of privilege via capability creep. Bug bounty programmes for agents</w:t>
      </w:r>
      <w:r w:rsidR="002A1CAA">
        <w:t>,</w:t>
      </w:r>
      <w:r>
        <w:t xml:space="preserve"> third-party researchers paid to break them, scoped and rules-of-engagement bound</w:t>
      </w:r>
      <w:r w:rsidR="002A1CAA">
        <w:t>,</w:t>
      </w:r>
      <w:r>
        <w:t xml:space="preserve"> produce findings the internal team will not surface alone. Chaos engineering for agents</w:t>
      </w:r>
      <w:r w:rsidR="002A1CAA">
        <w:t>,</w:t>
      </w:r>
      <w:r>
        <w:t xml:space="preserve"> deliberate injection of tool outages, model outages, policy changes</w:t>
      </w:r>
      <w:r w:rsidR="002A1CAA">
        <w:t>,</w:t>
      </w:r>
      <w:r>
        <w:t xml:space="preserve"> validates that graceful degradation is a property of the system rather than an aspiration. The output of red-teaming feeds </w:t>
      </w:r>
      <w:r>
        <w:lastRenderedPageBreak/>
        <w:t>the self-learning provenance section: every finding becomes either a rulebook update, a guardrail change or an explicit acceptance of residual risk.</w:t>
      </w:r>
    </w:p>
    <w:p w14:paraId="52EE7F2B" w14:textId="77777777" w:rsidR="00AA392E" w:rsidRDefault="00000000">
      <w:pPr>
        <w:pStyle w:val="Heading2"/>
      </w:pPr>
      <w:bookmarkStart w:id="64" w:name="_Toc228176382"/>
      <w:r>
        <w:t>11.7  Liability allocation</w:t>
      </w:r>
      <w:bookmarkEnd w:id="64"/>
    </w:p>
    <w:p w14:paraId="229180F8" w14:textId="7A6ADA4A" w:rsidR="00AA392E" w:rsidRDefault="00000000">
      <w:pPr>
        <w:spacing w:after="120" w:line="320" w:lineRule="auto"/>
        <w:jc w:val="both"/>
      </w:pPr>
      <w:r>
        <w:t>The four parties to an agent deployment</w:t>
      </w:r>
      <w:r w:rsidR="002A1CAA">
        <w:t>,</w:t>
      </w:r>
      <w:r>
        <w:t xml:space="preserve"> operator (the party deploying the agent), provider (the party providing the underlying model), integrator (the party assembling the agent), customer (the party whose data is processed)</w:t>
      </w:r>
      <w:r w:rsidR="002A1CAA">
        <w:t>,</w:t>
      </w:r>
      <w:r>
        <w:t xml:space="preserve"> must have their responsibilities allocated explicitly and recorded in the agent's record. Contracts must mirror the EU AI Act's role definitions, and indemnity clauses should be keyed to which party owns which guardrail layer in the stack described in section 11.2. The framework captures the liability model per agent in the system of record so that the allocation is operationally retrievable rather than buried in the contracts repository.</w:t>
      </w:r>
    </w:p>
    <w:p w14:paraId="430D7698" w14:textId="77777777" w:rsidR="00AA392E" w:rsidRDefault="00000000">
      <w:pPr>
        <w:pStyle w:val="Heading2"/>
      </w:pPr>
      <w:bookmarkStart w:id="65" w:name="_Toc228176383"/>
      <w:r>
        <w:t>11.8  Insurance and risk transfer</w:t>
      </w:r>
      <w:bookmarkEnd w:id="65"/>
    </w:p>
    <w:p w14:paraId="768B9083" w14:textId="0CE49DEE" w:rsidR="00AA392E" w:rsidRDefault="00000000">
      <w:pPr>
        <w:spacing w:after="120" w:line="320" w:lineRule="auto"/>
        <w:jc w:val="both"/>
      </w:pPr>
      <w:r>
        <w:t>The emerging market in AI liability cover</w:t>
      </w:r>
      <w:r w:rsidR="002A1CAA">
        <w:t>,</w:t>
      </w:r>
      <w:r>
        <w:t xml:space="preserve"> Munich Re's offerings, certain Lloyd's syndicates, US-domiciled specialists such as Vouch and Armilla, and others</w:t>
      </w:r>
      <w:r w:rsidR="002A1CAA">
        <w:t>,</w:t>
      </w:r>
      <w:r>
        <w:t xml:space="preserve"> increasingly requires audit-log evidence to bind cover at favourable terms. Premium reductions are tied directly to the maturity of the policy enforcement plane, audit and risk controls described in sections 6, 7 and 11. The framework, in commercial terms, pays for itself: the difference between unbound exposure and bound exposure at favourable terms substantially exceeds the implementation cost of the audit and enforcement layers in nearly every realistic scenario.</w:t>
      </w:r>
    </w:p>
    <w:p w14:paraId="6333F5FC" w14:textId="77777777" w:rsidR="00AA392E" w:rsidRDefault="00000000">
      <w:pPr>
        <w:pStyle w:val="Heading2"/>
      </w:pPr>
      <w:bookmarkStart w:id="66" w:name="_Toc228176384"/>
      <w:r>
        <w:t>11.9  Incident response and forensics</w:t>
      </w:r>
      <w:bookmarkEnd w:id="66"/>
    </w:p>
    <w:p w14:paraId="5B70C340" w14:textId="3277A831" w:rsidR="00AA392E" w:rsidRDefault="00000000">
      <w:pPr>
        <w:spacing w:after="120" w:line="320" w:lineRule="auto"/>
        <w:jc w:val="both"/>
      </w:pPr>
      <w:r>
        <w:t>The framework specifies a five-stage incident response model. Detection is driven by anomaly signals from the visualisation surface, customer reports and regulator inbound. Containment is exercised via the kill-switch at the policy enforcement plane: revoke the agent's token, halt the parent run, freeze the descendant agents, block the tenant if necessary. Forensics rests on the combination of replay, the log timeline and the interaction-graph snapshot at the moment of the incident. Disclosure follows jurisdiction-specific playbooks: GDPR's seventy-two-hour breach notification window, the EU AI Act's serious-incident reporting requirements, customer-contractual obligations, and any voluntary public disclosure decisions. The post-mortem feeds back into the rulebook, the guardrail layer, the model card and (where appropriate) board notification</w:t>
      </w:r>
      <w:r w:rsidR="002A1CAA">
        <w:t>,</w:t>
      </w:r>
      <w:r>
        <w:t xml:space="preserve"> closing the loop that the self-learning provenance section is designed to keep auditable.</w:t>
      </w:r>
    </w:p>
    <w:p w14:paraId="0FFF4E03" w14:textId="3C2FC31E" w:rsidR="00AA392E" w:rsidRDefault="00000000">
      <w:pPr>
        <w:pStyle w:val="Heading2"/>
      </w:pPr>
      <w:bookmarkStart w:id="67" w:name="_Toc228176385"/>
      <w:r>
        <w:t>11.10  Practicalities and realities</w:t>
      </w:r>
      <w:r w:rsidR="002A1CAA">
        <w:t>,</w:t>
      </w:r>
      <w:r>
        <w:t xml:space="preserve"> the maturity ladder</w:t>
      </w:r>
      <w:bookmarkEnd w:id="67"/>
    </w:p>
    <w:p w14:paraId="506081CF" w14:textId="77777777" w:rsidR="00AA392E" w:rsidRDefault="00000000">
      <w:pPr>
        <w:spacing w:after="120" w:line="320" w:lineRule="auto"/>
        <w:jc w:val="both"/>
      </w:pPr>
      <w:r>
        <w:t>Most organisations, including most AI-native start-ups, are at the lower end of the maturity ladder set out below. The framework's commercial argument is that stage four is cheaper than stage one incident response, and that the path between them is incremental rather than monolithic.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4061"/>
        <w:gridCol w:w="3160"/>
      </w:tblGrid>
      <w:tr w:rsidR="00AA392E" w14:paraId="53D33BE8" w14:textId="77777777">
        <w:tblPrEx>
          <w:tblCellMar>
            <w:top w:w="0" w:type="dxa"/>
            <w:bottom w:w="0" w:type="dxa"/>
          </w:tblCellMar>
        </w:tblPrEx>
        <w:trPr>
          <w:tblHeader/>
        </w:trPr>
        <w:tc>
          <w:tcPr>
            <w:tcW w:w="1805"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2160CF4C" w14:textId="77777777" w:rsidR="00AA392E" w:rsidRDefault="00000000">
            <w:r>
              <w:rPr>
                <w:b/>
                <w:bCs/>
                <w:color w:val="FFFFFF"/>
              </w:rPr>
              <w:lastRenderedPageBreak/>
              <w:t>Stage</w:t>
            </w:r>
          </w:p>
        </w:tc>
        <w:tc>
          <w:tcPr>
            <w:tcW w:w="4061"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19FD5C12" w14:textId="77777777" w:rsidR="00AA392E" w:rsidRDefault="00000000">
            <w:r>
              <w:rPr>
                <w:b/>
                <w:bCs/>
                <w:color w:val="FFFFFF"/>
              </w:rPr>
              <w:t>Reality on the ground</w:t>
            </w:r>
          </w:p>
        </w:tc>
        <w:tc>
          <w:tcPr>
            <w:tcW w:w="3160"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27C1E0A1" w14:textId="77777777" w:rsidR="00AA392E" w:rsidRDefault="00000000">
            <w:r>
              <w:rPr>
                <w:b/>
                <w:bCs/>
                <w:color w:val="FFFFFF"/>
              </w:rPr>
              <w:t>What the framework demands</w:t>
            </w:r>
          </w:p>
        </w:tc>
      </w:tr>
      <w:tr w:rsidR="00AA392E" w14:paraId="6AA34976"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9AE0EB1" w14:textId="09BB7387" w:rsidR="00AA392E" w:rsidRDefault="00000000">
            <w:pPr>
              <w:spacing w:line="280" w:lineRule="auto"/>
            </w:pPr>
            <w:r>
              <w:rPr>
                <w:sz w:val="21"/>
                <w:szCs w:val="21"/>
              </w:rPr>
              <w:t xml:space="preserve">0 </w:t>
            </w:r>
            <w:r w:rsidR="002A1CAA">
              <w:rPr>
                <w:sz w:val="21"/>
                <w:szCs w:val="21"/>
              </w:rPr>
              <w:t>,</w:t>
            </w:r>
            <w:r>
              <w:rPr>
                <w:sz w:val="21"/>
                <w:szCs w:val="21"/>
              </w:rPr>
              <w:t xml:space="preserve">  Wild West</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5768D37" w14:textId="77777777" w:rsidR="00AA392E" w:rsidRDefault="00000000">
            <w:pPr>
              <w:spacing w:line="280" w:lineRule="auto"/>
            </w:pPr>
            <w:r>
              <w:rPr>
                <w:sz w:val="21"/>
                <w:szCs w:val="21"/>
              </w:rPr>
              <w:t>Agents in production; no identity, no audit; prompt-engineering as governance</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0146CEB" w14:textId="77777777" w:rsidR="00AA392E" w:rsidRDefault="00000000">
            <w:pPr>
              <w:spacing w:line="280" w:lineRule="auto"/>
            </w:pPr>
            <w:r>
              <w:rPr>
                <w:sz w:val="21"/>
                <w:szCs w:val="21"/>
              </w:rPr>
              <w:t>Stop</w:t>
            </w:r>
          </w:p>
        </w:tc>
      </w:tr>
      <w:tr w:rsidR="00AA392E" w14:paraId="6A0D0155"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54628C2" w14:textId="2FAA738A" w:rsidR="00AA392E" w:rsidRDefault="00000000">
            <w:pPr>
              <w:spacing w:line="280" w:lineRule="auto"/>
            </w:pPr>
            <w:r>
              <w:rPr>
                <w:sz w:val="21"/>
                <w:szCs w:val="21"/>
              </w:rPr>
              <w:t xml:space="preserve">1 </w:t>
            </w:r>
            <w:r w:rsidR="002A1CAA">
              <w:rPr>
                <w:sz w:val="21"/>
                <w:szCs w:val="21"/>
              </w:rPr>
              <w:t>,</w:t>
            </w:r>
            <w:r>
              <w:rPr>
                <w:sz w:val="21"/>
                <w:szCs w:val="21"/>
              </w:rPr>
              <w:t xml:space="preserve">  Awareness</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3F965BBD" w14:textId="77777777" w:rsidR="00AA392E" w:rsidRDefault="00000000">
            <w:pPr>
              <w:spacing w:line="280" w:lineRule="auto"/>
            </w:pPr>
            <w:r>
              <w:rPr>
                <w:sz w:val="21"/>
                <w:szCs w:val="21"/>
              </w:rPr>
              <w:t>Spreadsheet of agents; ad-hoc logs; principle of least surprise as an unwritten rule</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064A4385" w14:textId="77777777" w:rsidR="00AA392E" w:rsidRDefault="00000000">
            <w:pPr>
              <w:spacing w:line="280" w:lineRule="auto"/>
            </w:pPr>
            <w:r>
              <w:rPr>
                <w:sz w:val="21"/>
                <w:szCs w:val="21"/>
              </w:rPr>
              <w:t>Section 3 system of record plus basic logging</w:t>
            </w:r>
          </w:p>
        </w:tc>
      </w:tr>
      <w:tr w:rsidR="00AA392E" w14:paraId="6785017E"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FF906AE" w14:textId="001D0408" w:rsidR="00AA392E" w:rsidRDefault="00000000">
            <w:pPr>
              <w:spacing w:line="280" w:lineRule="auto"/>
            </w:pPr>
            <w:r>
              <w:rPr>
                <w:sz w:val="21"/>
                <w:szCs w:val="21"/>
              </w:rPr>
              <w:t xml:space="preserve">2 </w:t>
            </w:r>
            <w:r w:rsidR="002A1CAA">
              <w:rPr>
                <w:sz w:val="21"/>
                <w:szCs w:val="21"/>
              </w:rPr>
              <w:t>,</w:t>
            </w:r>
            <w:r>
              <w:rPr>
                <w:sz w:val="21"/>
                <w:szCs w:val="21"/>
              </w:rPr>
              <w:t xml:space="preserve">  Controlled</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F81EACB" w14:textId="77777777" w:rsidR="00AA392E" w:rsidRDefault="00000000">
            <w:pPr>
              <w:spacing w:line="280" w:lineRule="auto"/>
            </w:pPr>
            <w:r>
              <w:rPr>
                <w:sz w:val="21"/>
                <w:szCs w:val="21"/>
              </w:rPr>
              <w:t>Identity issued; policy enforcement plane in path for some calls; rulebooks drafted</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61966AF" w14:textId="77777777" w:rsidR="00AA392E" w:rsidRDefault="00000000">
            <w:pPr>
              <w:spacing w:line="280" w:lineRule="auto"/>
            </w:pPr>
            <w:r>
              <w:rPr>
                <w:sz w:val="21"/>
                <w:szCs w:val="21"/>
              </w:rPr>
              <w:t>Sections 3, 5 and 6 partial</w:t>
            </w:r>
          </w:p>
        </w:tc>
      </w:tr>
      <w:tr w:rsidR="00AA392E" w14:paraId="7F12B8E9"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4972845" w14:textId="7D4A7BCF" w:rsidR="00AA392E" w:rsidRDefault="00000000">
            <w:pPr>
              <w:spacing w:line="280" w:lineRule="auto"/>
            </w:pPr>
            <w:r>
              <w:rPr>
                <w:sz w:val="21"/>
                <w:szCs w:val="21"/>
              </w:rPr>
              <w:t xml:space="preserve">3 </w:t>
            </w:r>
            <w:r w:rsidR="002A1CAA">
              <w:rPr>
                <w:sz w:val="21"/>
                <w:szCs w:val="21"/>
              </w:rPr>
              <w:t>,</w:t>
            </w:r>
            <w:r>
              <w:rPr>
                <w:sz w:val="21"/>
                <w:szCs w:val="21"/>
              </w:rPr>
              <w:t xml:space="preserve">  Auditable</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5F0D5AD" w14:textId="77777777" w:rsidR="00AA392E" w:rsidRDefault="00000000">
            <w:pPr>
              <w:spacing w:line="280" w:lineRule="auto"/>
            </w:pPr>
            <w:r>
              <w:rPr>
                <w:sz w:val="21"/>
                <w:szCs w:val="21"/>
              </w:rPr>
              <w:t>All egress through the policy enforcement plane; signed logs; visualisation operational; DPIAs done</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3423C5D" w14:textId="77777777" w:rsidR="00AA392E" w:rsidRDefault="00000000">
            <w:pPr>
              <w:spacing w:line="280" w:lineRule="auto"/>
            </w:pPr>
            <w:r>
              <w:rPr>
                <w:sz w:val="21"/>
                <w:szCs w:val="21"/>
              </w:rPr>
              <w:t>Sections 3 to 10</w:t>
            </w:r>
          </w:p>
        </w:tc>
      </w:tr>
      <w:tr w:rsidR="00AA392E" w14:paraId="7CE67F02"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C4CCFE3" w14:textId="20FCC961" w:rsidR="00AA392E" w:rsidRDefault="00000000">
            <w:pPr>
              <w:spacing w:line="280" w:lineRule="auto"/>
            </w:pPr>
            <w:r>
              <w:rPr>
                <w:sz w:val="21"/>
                <w:szCs w:val="21"/>
              </w:rPr>
              <w:t xml:space="preserve">4 </w:t>
            </w:r>
            <w:r w:rsidR="002A1CAA">
              <w:rPr>
                <w:sz w:val="21"/>
                <w:szCs w:val="21"/>
              </w:rPr>
              <w:t>,</w:t>
            </w:r>
            <w:r>
              <w:rPr>
                <w:sz w:val="21"/>
                <w:szCs w:val="21"/>
              </w:rPr>
              <w:t xml:space="preserve">  Defensible</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9CFFA13" w14:textId="77777777" w:rsidR="00AA392E" w:rsidRDefault="00000000">
            <w:pPr>
              <w:spacing w:line="280" w:lineRule="auto"/>
            </w:pPr>
            <w:r>
              <w:rPr>
                <w:sz w:val="21"/>
                <w:szCs w:val="21"/>
              </w:rPr>
              <w:t>Replay; crypto-shred; ethics committee; insurance bound; regulator-ready</w:t>
            </w:r>
          </w:p>
        </w:tc>
        <w:tc>
          <w:tcPr>
            <w:tcW w:w="316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AB99719" w14:textId="77777777" w:rsidR="00AA392E" w:rsidRDefault="00000000">
            <w:pPr>
              <w:spacing w:line="280" w:lineRule="auto"/>
            </w:pPr>
            <w:r>
              <w:rPr>
                <w:sz w:val="21"/>
                <w:szCs w:val="21"/>
              </w:rPr>
              <w:t>Sections 3 to 11 in full</w:t>
            </w:r>
          </w:p>
        </w:tc>
      </w:tr>
      <w:tr w:rsidR="00AA392E" w14:paraId="16263CC4" w14:textId="77777777">
        <w:tblPrEx>
          <w:tblCellMar>
            <w:top w:w="0" w:type="dxa"/>
            <w:bottom w:w="0" w:type="dxa"/>
          </w:tblCellMar>
        </w:tblPrEx>
        <w:tc>
          <w:tcPr>
            <w:tcW w:w="180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31A36344" w14:textId="7E40EAB9" w:rsidR="00AA392E" w:rsidRDefault="00000000">
            <w:pPr>
              <w:spacing w:line="280" w:lineRule="auto"/>
            </w:pPr>
            <w:r>
              <w:rPr>
                <w:sz w:val="21"/>
                <w:szCs w:val="21"/>
              </w:rPr>
              <w:t xml:space="preserve">5 </w:t>
            </w:r>
            <w:r w:rsidR="002A1CAA">
              <w:rPr>
                <w:sz w:val="21"/>
                <w:szCs w:val="21"/>
              </w:rPr>
              <w:t>,</w:t>
            </w:r>
            <w:r>
              <w:rPr>
                <w:sz w:val="21"/>
                <w:szCs w:val="21"/>
              </w:rPr>
              <w:t xml:space="preserve">  Trust product</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4240523" w14:textId="77777777" w:rsidR="00AA392E" w:rsidRDefault="00000000">
            <w:pPr>
              <w:spacing w:line="280" w:lineRule="auto"/>
            </w:pPr>
            <w:r>
              <w:rPr>
                <w:sz w:val="21"/>
                <w:szCs w:val="21"/>
              </w:rPr>
              <w:t>Customer-facing transparency portals; public model cards; third-party attestations</w:t>
            </w:r>
          </w:p>
        </w:tc>
        <w:tc>
          <w:tcPr>
            <w:tcW w:w="316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4E5FCF6" w14:textId="77777777" w:rsidR="00AA392E" w:rsidRDefault="00000000">
            <w:pPr>
              <w:spacing w:line="280" w:lineRule="auto"/>
            </w:pPr>
            <w:r>
              <w:rPr>
                <w:sz w:val="21"/>
                <w:szCs w:val="21"/>
              </w:rPr>
              <w:t>Sections 3 to 11 plus the ecosystem participation in section 14</w:t>
            </w:r>
          </w:p>
        </w:tc>
      </w:tr>
    </w:tbl>
    <w:p w14:paraId="53F5E50C" w14:textId="77777777" w:rsidR="00AA392E" w:rsidRDefault="00000000">
      <w:pPr>
        <w:spacing w:before="240" w:after="240"/>
        <w:jc w:val="center"/>
      </w:pPr>
      <w:r>
        <w:rPr>
          <w:noProof/>
        </w:rPr>
        <w:drawing>
          <wp:inline distT="0" distB="0" distL="0" distR="0" wp14:anchorId="2219AB52" wp14:editId="4F2AA32B">
            <wp:extent cx="5906110" cy="4063069"/>
            <wp:effectExtent l="0" t="0" r="0" b="0"/>
            <wp:docPr id="2045957455" name="Picture 2045957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9278" cy="4065249"/>
                    </a:xfrm>
                    <a:prstGeom prst="rect">
                      <a:avLst/>
                    </a:prstGeom>
                  </pic:spPr>
                </pic:pic>
              </a:graphicData>
            </a:graphic>
          </wp:inline>
        </w:drawing>
      </w:r>
    </w:p>
    <w:p w14:paraId="1B60DFE5" w14:textId="77777777" w:rsidR="00AA392E" w:rsidRDefault="00AA392E">
      <w:pPr>
        <w:spacing w:after="160"/>
      </w:pPr>
    </w:p>
    <w:p w14:paraId="6E7A0232" w14:textId="77777777" w:rsidR="00AA392E" w:rsidRDefault="00000000">
      <w:pPr>
        <w:spacing w:after="120" w:line="320" w:lineRule="auto"/>
        <w:jc w:val="both"/>
      </w:pPr>
      <w:r>
        <w:rPr>
          <w:b/>
          <w:bCs/>
          <w:color w:val="1E3A8A"/>
        </w:rPr>
        <w:lastRenderedPageBreak/>
        <w:t xml:space="preserve">Pragmatic adoption order. </w:t>
      </w:r>
      <w:r>
        <w:t>Identity (section 3) first. Policy enforcement plane (section 6) second. Audit (section 7) third. Rulebooks (section 11.3) fourth. Compliance (section 10) fifth. Visualisation (section 9) sixth. Ethics committee (section 11.4) seventh. Replay and insurance (sections 11.5 and 11.8) eighth. Each step is independently valuable; each unlocks the next.</w:t>
      </w:r>
    </w:p>
    <w:p w14:paraId="59B3263C" w14:textId="2A1445ED" w:rsidR="00AA392E" w:rsidRDefault="00000000">
      <w:pPr>
        <w:spacing w:after="120" w:line="320" w:lineRule="auto"/>
        <w:jc w:val="both"/>
      </w:pPr>
      <w:r>
        <w:rPr>
          <w:b/>
          <w:bCs/>
          <w:color w:val="1E3A8A"/>
        </w:rPr>
        <w:t xml:space="preserve">Control-effectiveness testing. </w:t>
      </w:r>
      <w:r>
        <w:t>Controls that verify controls</w:t>
      </w:r>
      <w:r w:rsidR="002A1CAA">
        <w:t>,</w:t>
      </w:r>
      <w:r>
        <w:t xml:space="preserve"> red-team agents, audit-log audits, rulebook drift detection. Without this layer, the rulebooks rot, the ethics committees become rubber-stamps, and the audit trails accumulate without ever being interrogated. The discipline is unglamorous and expensive to neglect.</w:t>
      </w:r>
    </w:p>
    <w:p w14:paraId="48CE9F31" w14:textId="77777777" w:rsidR="00AA392E" w:rsidRDefault="00000000">
      <w:pPr>
        <w:pStyle w:val="Heading1"/>
        <w:pageBreakBefore/>
      </w:pPr>
      <w:bookmarkStart w:id="68" w:name="_Toc228176386"/>
      <w:r>
        <w:lastRenderedPageBreak/>
        <w:t>12.  Multi-tenancy, Federation and Cross-Organisation Agent-to-Agent Operation</w:t>
      </w:r>
      <w:bookmarkEnd w:id="68"/>
    </w:p>
    <w:p w14:paraId="39BDFB02" w14:textId="2546608B" w:rsidR="00AA392E" w:rsidRDefault="00000000">
      <w:pPr>
        <w:spacing w:after="120" w:line="320" w:lineRule="auto"/>
        <w:jc w:val="both"/>
      </w:pPr>
      <w:r>
        <w:t>A framework that only works inside a single organisation cannot govern the agent economy. Real ecosystems are multi-tenant inside and federated outside, and increasingly the most valuable interactions are agent-to-agent across trust boundaries</w:t>
      </w:r>
      <w:r w:rsidR="002A1CAA">
        <w:t>,</w:t>
      </w:r>
      <w:r>
        <w:t xml:space="preserve"> a procurement agent at one organisation negotiating with a sales agent at another, a regulatory-reporting agent at a financial institution interacting with a supervisory agent at the regulator. Each of these crossings carries the full weight of identity, scope, audit, compliance and liability concerns that this paper has set out, and the framework's federation model is what allows those concerns to be addressed without re-litigating them at every boundary.</w:t>
      </w:r>
    </w:p>
    <w:p w14:paraId="48535E42" w14:textId="77777777" w:rsidR="00AA392E" w:rsidRDefault="00000000">
      <w:pPr>
        <w:pStyle w:val="Heading2"/>
      </w:pPr>
      <w:bookmarkStart w:id="69" w:name="_Toc228176387"/>
      <w:r>
        <w:t>12.1  Multi-tenancy as a cross-cutting concern</w:t>
      </w:r>
      <w:bookmarkEnd w:id="69"/>
    </w:p>
    <w:p w14:paraId="4153DE59" w14:textId="77777777" w:rsidR="00AA392E" w:rsidRDefault="00000000">
      <w:pPr>
        <w:spacing w:after="120" w:line="320" w:lineRule="auto"/>
        <w:jc w:val="both"/>
      </w:pPr>
      <w:r>
        <w:t>Multi-tenancy is not a section of the framework but a property each layer must hold. The table below summarises the per-layer obligation.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AA392E" w14:paraId="474C17E1" w14:textId="77777777">
        <w:tblPrEx>
          <w:tblCellMar>
            <w:top w:w="0" w:type="dxa"/>
            <w:bottom w:w="0" w:type="dxa"/>
          </w:tblCellMar>
        </w:tblPrEx>
        <w:trPr>
          <w:tblHeader/>
        </w:trPr>
        <w:tc>
          <w:tcPr>
            <w:tcW w:w="2888"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4985C40A" w14:textId="77777777" w:rsidR="00AA392E" w:rsidRDefault="00000000">
            <w:r>
              <w:rPr>
                <w:b/>
                <w:bCs/>
                <w:color w:val="FFFFFF"/>
              </w:rPr>
              <w:t>Layer</w:t>
            </w:r>
          </w:p>
        </w:tc>
        <w:tc>
          <w:tcPr>
            <w:tcW w:w="6138"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2BBE86F4" w14:textId="77777777" w:rsidR="00AA392E" w:rsidRDefault="00000000">
            <w:r>
              <w:rPr>
                <w:b/>
                <w:bCs/>
                <w:color w:val="FFFFFF"/>
              </w:rPr>
              <w:t>Tenant isolation requirement</w:t>
            </w:r>
          </w:p>
        </w:tc>
      </w:tr>
      <w:tr w:rsidR="00AA392E" w14:paraId="04C84C62"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D3CF964" w14:textId="77777777" w:rsidR="00AA392E" w:rsidRDefault="00000000">
            <w:pPr>
              <w:spacing w:line="280" w:lineRule="auto"/>
            </w:pPr>
            <w:r>
              <w:rPr>
                <w:sz w:val="21"/>
                <w:szCs w:val="21"/>
              </w:rPr>
              <w:t>Identity (section 3)</w:t>
            </w:r>
          </w:p>
        </w:tc>
        <w:tc>
          <w:tcPr>
            <w:tcW w:w="613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7384553" w14:textId="77777777" w:rsidR="00AA392E" w:rsidRDefault="00000000">
            <w:pPr>
              <w:spacing w:line="280" w:lineRule="auto"/>
            </w:pPr>
            <w:r>
              <w:rPr>
                <w:sz w:val="21"/>
                <w:szCs w:val="21"/>
              </w:rPr>
              <w:t>Tenant-scoped namespaces; no cross-tenant identifier collision</w:t>
            </w:r>
          </w:p>
        </w:tc>
      </w:tr>
      <w:tr w:rsidR="00AA392E" w14:paraId="59665B05"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3270D2B" w14:textId="77777777" w:rsidR="00AA392E" w:rsidRDefault="00000000">
            <w:pPr>
              <w:spacing w:line="280" w:lineRule="auto"/>
            </w:pPr>
            <w:r>
              <w:rPr>
                <w:sz w:val="21"/>
                <w:szCs w:val="21"/>
              </w:rPr>
              <w:t>Profile (section 4)</w:t>
            </w:r>
          </w:p>
        </w:tc>
        <w:tc>
          <w:tcPr>
            <w:tcW w:w="61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C30DB9F" w14:textId="77777777" w:rsidR="00AA392E" w:rsidRDefault="00000000">
            <w:pPr>
              <w:spacing w:line="280" w:lineRule="auto"/>
            </w:pPr>
            <w:r>
              <w:rPr>
                <w:sz w:val="21"/>
                <w:szCs w:val="21"/>
              </w:rPr>
              <w:t>Memories, blessings and skills scoped per tenant</w:t>
            </w:r>
          </w:p>
        </w:tc>
      </w:tr>
      <w:tr w:rsidR="00AA392E" w14:paraId="5A79ECEE"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6BEBD1C" w14:textId="77777777" w:rsidR="00AA392E" w:rsidRDefault="00000000">
            <w:pPr>
              <w:spacing w:line="280" w:lineRule="auto"/>
            </w:pPr>
            <w:proofErr w:type="spellStart"/>
            <w:r>
              <w:rPr>
                <w:sz w:val="21"/>
                <w:szCs w:val="21"/>
              </w:rPr>
              <w:t>Permissioning</w:t>
            </w:r>
            <w:proofErr w:type="spellEnd"/>
            <w:r>
              <w:rPr>
                <w:sz w:val="21"/>
                <w:szCs w:val="21"/>
              </w:rPr>
              <w:t xml:space="preserve"> (section 5)</w:t>
            </w:r>
          </w:p>
        </w:tc>
        <w:tc>
          <w:tcPr>
            <w:tcW w:w="613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E69C366" w14:textId="77777777" w:rsidR="00AA392E" w:rsidRDefault="00000000">
            <w:pPr>
              <w:spacing w:line="280" w:lineRule="auto"/>
            </w:pPr>
            <w:r>
              <w:rPr>
                <w:sz w:val="21"/>
                <w:szCs w:val="21"/>
              </w:rPr>
              <w:t>Tokens carry the tenant identifier; capabilities never cross tenants</w:t>
            </w:r>
          </w:p>
        </w:tc>
      </w:tr>
      <w:tr w:rsidR="00AA392E" w14:paraId="5EF6D1FE"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2834E3D" w14:textId="77777777" w:rsidR="00AA392E" w:rsidRDefault="00000000">
            <w:pPr>
              <w:spacing w:line="280" w:lineRule="auto"/>
            </w:pPr>
            <w:r>
              <w:rPr>
                <w:sz w:val="21"/>
                <w:szCs w:val="21"/>
              </w:rPr>
              <w:t>Policy enforcement (section 6)</w:t>
            </w:r>
          </w:p>
        </w:tc>
        <w:tc>
          <w:tcPr>
            <w:tcW w:w="61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25D4397" w14:textId="77777777" w:rsidR="00AA392E" w:rsidRDefault="00000000">
            <w:pPr>
              <w:spacing w:line="280" w:lineRule="auto"/>
            </w:pPr>
            <w:r>
              <w:rPr>
                <w:sz w:val="21"/>
                <w:szCs w:val="21"/>
              </w:rPr>
              <w:t>Policy partition; quota partition; routing partition</w:t>
            </w:r>
          </w:p>
        </w:tc>
      </w:tr>
      <w:tr w:rsidR="00AA392E" w14:paraId="3FB9A4E3"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DE2EAD2" w14:textId="77777777" w:rsidR="00AA392E" w:rsidRDefault="00000000">
            <w:pPr>
              <w:spacing w:line="280" w:lineRule="auto"/>
            </w:pPr>
            <w:r>
              <w:rPr>
                <w:sz w:val="21"/>
                <w:szCs w:val="21"/>
              </w:rPr>
              <w:t>Audit (section 7)</w:t>
            </w:r>
          </w:p>
        </w:tc>
        <w:tc>
          <w:tcPr>
            <w:tcW w:w="613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5574332" w14:textId="77777777" w:rsidR="00AA392E" w:rsidRDefault="00000000">
            <w:pPr>
              <w:spacing w:line="280" w:lineRule="auto"/>
            </w:pPr>
            <w:r>
              <w:rPr>
                <w:sz w:val="21"/>
                <w:szCs w:val="21"/>
              </w:rPr>
              <w:t>Per-tenant log streams; no cross-tenant query without explicit cross-tenant authority</w:t>
            </w:r>
          </w:p>
        </w:tc>
      </w:tr>
      <w:tr w:rsidR="00AA392E" w14:paraId="321B233F"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4FF77C7E" w14:textId="77777777" w:rsidR="00AA392E" w:rsidRDefault="00000000">
            <w:pPr>
              <w:spacing w:line="280" w:lineRule="auto"/>
            </w:pPr>
            <w:r>
              <w:rPr>
                <w:sz w:val="21"/>
                <w:szCs w:val="21"/>
              </w:rPr>
              <w:t>Compliance (section 10)</w:t>
            </w:r>
          </w:p>
        </w:tc>
        <w:tc>
          <w:tcPr>
            <w:tcW w:w="6138"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46FDA6B" w14:textId="77777777" w:rsidR="00AA392E" w:rsidRDefault="00000000">
            <w:pPr>
              <w:spacing w:line="280" w:lineRule="auto"/>
            </w:pPr>
            <w:r>
              <w:rPr>
                <w:sz w:val="21"/>
                <w:szCs w:val="21"/>
              </w:rPr>
              <w:t>Per-tenant residency; per-tenant rulebooks; per-tenant crypto-shred keys</w:t>
            </w:r>
          </w:p>
        </w:tc>
      </w:tr>
      <w:tr w:rsidR="00AA392E" w14:paraId="12B99A7F" w14:textId="77777777">
        <w:tblPrEx>
          <w:tblCellMar>
            <w:top w:w="0" w:type="dxa"/>
            <w:bottom w:w="0" w:type="dxa"/>
          </w:tblCellMar>
        </w:tblPrEx>
        <w:tc>
          <w:tcPr>
            <w:tcW w:w="288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62402B3" w14:textId="77777777" w:rsidR="00AA392E" w:rsidRDefault="00000000">
            <w:pPr>
              <w:spacing w:line="280" w:lineRule="auto"/>
            </w:pPr>
            <w:r>
              <w:rPr>
                <w:sz w:val="21"/>
                <w:szCs w:val="21"/>
              </w:rPr>
              <w:t>Visualisation (section 9)</w:t>
            </w:r>
          </w:p>
        </w:tc>
        <w:tc>
          <w:tcPr>
            <w:tcW w:w="6138"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E886C90" w14:textId="77777777" w:rsidR="00AA392E" w:rsidRDefault="00000000">
            <w:pPr>
              <w:spacing w:line="280" w:lineRule="auto"/>
            </w:pPr>
            <w:r>
              <w:rPr>
                <w:sz w:val="21"/>
                <w:szCs w:val="21"/>
              </w:rPr>
              <w:t>Operator scoping; customers see only their own data</w:t>
            </w:r>
          </w:p>
        </w:tc>
      </w:tr>
    </w:tbl>
    <w:p w14:paraId="7568A6DE" w14:textId="77777777" w:rsidR="00AA392E" w:rsidRDefault="00AA392E">
      <w:pPr>
        <w:spacing w:after="160"/>
      </w:pPr>
    </w:p>
    <w:p w14:paraId="4AD67D59" w14:textId="77777777" w:rsidR="00AA392E" w:rsidRDefault="00000000">
      <w:pPr>
        <w:spacing w:after="120" w:line="320" w:lineRule="auto"/>
        <w:jc w:val="both"/>
      </w:pPr>
      <w:r>
        <w:t>Enforcement is at the gateway, not in application code. Application-layer isolation has the same shelf-life as the developer who wrote it; gateway-layer isolation has the shelf-life of the gateway itself, which is substantially longer and substantially more reviewable.</w:t>
      </w:r>
    </w:p>
    <w:p w14:paraId="21938BFC" w14:textId="77777777" w:rsidR="00AA392E" w:rsidRDefault="00000000">
      <w:pPr>
        <w:pStyle w:val="Heading2"/>
      </w:pPr>
      <w:bookmarkStart w:id="70" w:name="_Toc228176388"/>
      <w:r>
        <w:t>12.2  Federation between trust roots</w:t>
      </w:r>
      <w:bookmarkEnd w:id="70"/>
    </w:p>
    <w:p w14:paraId="346E156B" w14:textId="77777777" w:rsidR="00AA392E" w:rsidRDefault="00000000">
      <w:pPr>
        <w:spacing w:after="120" w:line="320" w:lineRule="auto"/>
        <w:jc w:val="both"/>
      </w:pPr>
      <w:r>
        <w:t xml:space="preserve">Cross-organisation operation rests on three primitives, each backed by a mature standard. Decentralized Identifiers, defined by the W3C DID Core 1.0 specification, provide portable identifiers that any party can resolve to a public key without contacting the originating organisation; the </w:t>
      </w:r>
      <w:r>
        <w:lastRenderedPageBreak/>
        <w:t xml:space="preserve">framework's reference DID method is </w:t>
      </w:r>
      <w:proofErr w:type="spellStart"/>
      <w:r>
        <w:t>verax</w:t>
      </w:r>
      <w:proofErr w:type="spellEnd"/>
      <w:r>
        <w:t>, but the construct is method-agnostic. Verifiable Credentials, defined by the W3C VC 2.0 specification, provide portable, signed, selectively-disclosed attestations of capability, blessing and ethics review. A customer can verify the claim "this agent has been ethics-reviewed by Verax under Rulebook 14" without trusting Verax's web service uptime or even Verax's continued existence. SPIFFE and SPIRE provide workload identity at the infrastructure layer, complementing DIDs at the application layer. Together, the three primitives allow an agent to present its identity and its earned credentials to any counterparty in the federation, and they allow any counterparty to verify those presentations without bilateral integration work.</w:t>
      </w:r>
    </w:p>
    <w:p w14:paraId="7E387FA9" w14:textId="77777777" w:rsidR="00AA392E" w:rsidRDefault="00000000">
      <w:pPr>
        <w:pStyle w:val="Heading2"/>
      </w:pPr>
      <w:bookmarkStart w:id="71" w:name="_Toc228176389"/>
      <w:r>
        <w:t>12.3  Agent-to-Agent protocols</w:t>
      </w:r>
      <w:bookmarkEnd w:id="71"/>
    </w:p>
    <w:p w14:paraId="588675C5" w14:textId="77777777" w:rsidR="00AA392E" w:rsidRDefault="00000000">
      <w:pPr>
        <w:spacing w:after="120" w:line="320" w:lineRule="auto"/>
        <w:jc w:val="both"/>
      </w:pPr>
      <w:r>
        <w:t>When an agent at one organisation calls an agent at another, the call is not a normal API call. It is a delegation, with all of the identity, scope, audit and compliance machinery riding on it. The handshake covers five distinct concerns. First, mutual identity verification: each side presents its DID and any required Verifiable Credentials, and each side resolves and verifies the other's. Second, capability negotiation: the calling agent's request is evaluated against the receiving agent's permitted operations on behalf of the caller, and a scope of action is agreed. Third, consent transfer: any consent receipts that bind the calling side's data must be presented and narrowed (not expanded) at the boundary. Fourth, audit continuity: lineage headers are preserved across the trust root, and audit events on the receiving side are linked to the calling side's events through the agent-lineage header so that incident response can reconstruct the full call tree. Fifth, liability allocation: the handshake records, in machine-readable form, which party is the controller of the data, which is the processor, and which indemnifies which under defined incident scenarios.</w:t>
      </w:r>
    </w:p>
    <w:p w14:paraId="3960FEAD" w14:textId="17188369" w:rsidR="00AA392E" w:rsidRDefault="00000000">
      <w:pPr>
        <w:spacing w:after="120" w:line="320" w:lineRule="auto"/>
        <w:jc w:val="both"/>
      </w:pPr>
      <w:r>
        <w:t xml:space="preserve">The wire-level protocols in this space are emerging rapidly. </w:t>
      </w:r>
      <w:proofErr w:type="spellStart"/>
      <w:r>
        <w:t>Anthropic's</w:t>
      </w:r>
      <w:proofErr w:type="spellEnd"/>
      <w:r>
        <w:t xml:space="preserve"> Model Context Protocol, Google's Agent-to-Agent specification, the AGNTCY initiative, the IEEE 7000-series and the W3C Verifiable Credentials working group are all relevant. The framework prescribes the contract</w:t>
      </w:r>
      <w:r w:rsidR="002A1CAA">
        <w:t>,</w:t>
      </w:r>
      <w:r>
        <w:t xml:space="preserve"> what must be exchanged, what must be verified, what must be logged</w:t>
      </w:r>
      <w:r w:rsidR="002A1CAA">
        <w:t>,</w:t>
      </w:r>
      <w:r>
        <w:t xml:space="preserve"> rather than the wire format. Adopters are free to choose the protocol that fits their stack, and the framework's audit and federation requirements are satisfiable across all of them.</w:t>
      </w:r>
    </w:p>
    <w:p w14:paraId="59171334" w14:textId="77777777" w:rsidR="00AA392E" w:rsidRDefault="00000000">
      <w:pPr>
        <w:spacing w:before="240" w:after="240"/>
        <w:jc w:val="center"/>
      </w:pPr>
      <w:r>
        <w:rPr>
          <w:noProof/>
        </w:rPr>
        <w:lastRenderedPageBreak/>
        <w:drawing>
          <wp:inline distT="0" distB="0" distL="0" distR="0" wp14:anchorId="7B271FF2" wp14:editId="0256BB15">
            <wp:extent cx="6007891" cy="4133088"/>
            <wp:effectExtent l="0" t="0" r="0" b="1270"/>
            <wp:docPr id="1790388233" name="Picture 1790388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13779" cy="4137138"/>
                    </a:xfrm>
                    <a:prstGeom prst="rect">
                      <a:avLst/>
                    </a:prstGeom>
                  </pic:spPr>
                </pic:pic>
              </a:graphicData>
            </a:graphic>
          </wp:inline>
        </w:drawing>
      </w:r>
    </w:p>
    <w:p w14:paraId="6548A25B" w14:textId="77777777" w:rsidR="00AA392E" w:rsidRDefault="00000000">
      <w:pPr>
        <w:pStyle w:val="Heading2"/>
      </w:pPr>
      <w:bookmarkStart w:id="72" w:name="_Toc228176390"/>
      <w:r>
        <w:t>12.4  Cross-organisation policy enforcement plane peering</w:t>
      </w:r>
      <w:bookmarkEnd w:id="72"/>
    </w:p>
    <w:p w14:paraId="2E896F8D" w14:textId="3F789DAF" w:rsidR="00AA392E" w:rsidRDefault="00000000">
      <w:pPr>
        <w:spacing w:after="120" w:line="320" w:lineRule="auto"/>
        <w:jc w:val="both"/>
      </w:pPr>
      <w:r>
        <w:t>Policy enforcement planes peer like Border Gateway Protocol routers. Each declares its accepted credential issuers, its accepted DID methods, and the rulebooks under which it operates. A peering agreement between two organisations is the operational manifestation of a contract</w:t>
      </w:r>
      <w:r w:rsidR="002A1CAA">
        <w:t>,</w:t>
      </w:r>
      <w:r>
        <w:t xml:space="preserve"> machine-readable, version-controlled, auditable</w:t>
      </w:r>
      <w:r w:rsidR="002A1CAA">
        <w:t>,</w:t>
      </w:r>
      <w:r>
        <w:t xml:space="preserve"> and the agreement records, at minimum: the identifiers the peering covers, the duration of the peering, the consent-transfer rules at the boundary, the audit-continuity expectations, and the liability allocations. Peering agreements are a form of compliance artefact in their own right; in mature deployments they are reviewed by both organisations' ethics committees before commitment.</w:t>
      </w:r>
    </w:p>
    <w:p w14:paraId="69893CAD" w14:textId="77777777" w:rsidR="00AA392E" w:rsidRDefault="00000000">
      <w:pPr>
        <w:pStyle w:val="Heading2"/>
      </w:pPr>
      <w:bookmarkStart w:id="73" w:name="_Toc228176391"/>
      <w:r>
        <w:t>12.5  Standards and conformance map</w:t>
      </w:r>
      <w:bookmarkEnd w:id="73"/>
    </w:p>
    <w:p w14:paraId="50E9AB7D" w14:textId="77777777" w:rsidR="00AA392E" w:rsidRDefault="00000000">
      <w:pPr>
        <w:spacing w:after="120" w:line="320" w:lineRule="auto"/>
        <w:jc w:val="both"/>
      </w:pPr>
      <w:r>
        <w:t>The framework references and aligns to a substantial set of existing standards rather than reinventing them. The table below summarises the principal mappings.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061"/>
        <w:gridCol w:w="2980"/>
      </w:tblGrid>
      <w:tr w:rsidR="00AA392E" w14:paraId="69005785" w14:textId="77777777">
        <w:tblPrEx>
          <w:tblCellMar>
            <w:top w:w="0" w:type="dxa"/>
            <w:bottom w:w="0" w:type="dxa"/>
          </w:tblCellMar>
        </w:tblPrEx>
        <w:trPr>
          <w:tblHeader/>
        </w:trPr>
        <w:tc>
          <w:tcPr>
            <w:tcW w:w="1985"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2F64B0CE" w14:textId="77777777" w:rsidR="00AA392E" w:rsidRDefault="00000000">
            <w:r>
              <w:rPr>
                <w:b/>
                <w:bCs/>
                <w:color w:val="FFFFFF"/>
              </w:rPr>
              <w:t>Concern</w:t>
            </w:r>
          </w:p>
        </w:tc>
        <w:tc>
          <w:tcPr>
            <w:tcW w:w="4061"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44DF92DF" w14:textId="77777777" w:rsidR="00AA392E" w:rsidRDefault="00000000">
            <w:r>
              <w:rPr>
                <w:b/>
                <w:bCs/>
                <w:color w:val="FFFFFF"/>
              </w:rPr>
              <w:t>Relevant standards</w:t>
            </w:r>
          </w:p>
        </w:tc>
        <w:tc>
          <w:tcPr>
            <w:tcW w:w="2980"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50124C27" w14:textId="77777777" w:rsidR="00AA392E" w:rsidRDefault="00000000">
            <w:r>
              <w:rPr>
                <w:b/>
                <w:bCs/>
                <w:color w:val="FFFFFF"/>
              </w:rPr>
              <w:t>Where in the framework</w:t>
            </w:r>
          </w:p>
        </w:tc>
      </w:tr>
      <w:tr w:rsidR="00AA392E" w14:paraId="3401A445"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D2A83F9" w14:textId="77777777" w:rsidR="00AA392E" w:rsidRDefault="00000000">
            <w:pPr>
              <w:spacing w:line="280" w:lineRule="auto"/>
            </w:pPr>
            <w:r>
              <w:rPr>
                <w:sz w:val="21"/>
                <w:szCs w:val="21"/>
              </w:rPr>
              <w:t>Identity</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315CE8E" w14:textId="77777777" w:rsidR="00AA392E" w:rsidRDefault="00000000">
            <w:pPr>
              <w:spacing w:line="280" w:lineRule="auto"/>
            </w:pPr>
            <w:r>
              <w:rPr>
                <w:sz w:val="21"/>
                <w:szCs w:val="21"/>
              </w:rPr>
              <w:t>W3C DID, OAuth 2.1, OIDC, SPIFFE</w:t>
            </w:r>
          </w:p>
        </w:tc>
        <w:tc>
          <w:tcPr>
            <w:tcW w:w="298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6A21B64" w14:textId="77777777" w:rsidR="00AA392E" w:rsidRDefault="00000000">
            <w:pPr>
              <w:spacing w:line="280" w:lineRule="auto"/>
            </w:pPr>
            <w:r>
              <w:rPr>
                <w:sz w:val="21"/>
                <w:szCs w:val="21"/>
              </w:rPr>
              <w:t>Sections 3 and 5</w:t>
            </w:r>
          </w:p>
        </w:tc>
      </w:tr>
      <w:tr w:rsidR="00AA392E" w14:paraId="32765B60"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3E07B5D8" w14:textId="77777777" w:rsidR="00AA392E" w:rsidRDefault="00000000">
            <w:pPr>
              <w:spacing w:line="280" w:lineRule="auto"/>
            </w:pPr>
            <w:r>
              <w:rPr>
                <w:sz w:val="21"/>
                <w:szCs w:val="21"/>
              </w:rPr>
              <w:t>Credentials</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48D803F3" w14:textId="77777777" w:rsidR="00AA392E" w:rsidRDefault="00000000">
            <w:pPr>
              <w:spacing w:line="280" w:lineRule="auto"/>
            </w:pPr>
            <w:r>
              <w:rPr>
                <w:sz w:val="21"/>
                <w:szCs w:val="21"/>
              </w:rPr>
              <w:t>W3C VC, SD-JWT, OpenID4VC</w:t>
            </w:r>
          </w:p>
        </w:tc>
        <w:tc>
          <w:tcPr>
            <w:tcW w:w="29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21C4B02" w14:textId="77777777" w:rsidR="00AA392E" w:rsidRDefault="00000000">
            <w:pPr>
              <w:spacing w:line="280" w:lineRule="auto"/>
            </w:pPr>
            <w:r>
              <w:rPr>
                <w:sz w:val="21"/>
                <w:szCs w:val="21"/>
              </w:rPr>
              <w:t>Sections 4 and 12</w:t>
            </w:r>
          </w:p>
        </w:tc>
      </w:tr>
      <w:tr w:rsidR="00AA392E" w14:paraId="0308325D"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19C4EF1" w14:textId="77777777" w:rsidR="00AA392E" w:rsidRDefault="00000000">
            <w:pPr>
              <w:spacing w:line="280" w:lineRule="auto"/>
            </w:pPr>
            <w:r>
              <w:rPr>
                <w:sz w:val="21"/>
                <w:szCs w:val="21"/>
              </w:rPr>
              <w:t>Tracing</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48D1797" w14:textId="77777777" w:rsidR="00AA392E" w:rsidRDefault="00000000">
            <w:pPr>
              <w:spacing w:line="280" w:lineRule="auto"/>
            </w:pPr>
            <w:r>
              <w:rPr>
                <w:sz w:val="21"/>
                <w:szCs w:val="21"/>
              </w:rPr>
              <w:t xml:space="preserve">W3C Trace Context, </w:t>
            </w:r>
            <w:proofErr w:type="spellStart"/>
            <w:r>
              <w:rPr>
                <w:sz w:val="21"/>
                <w:szCs w:val="21"/>
              </w:rPr>
              <w:t>OpenTelemetry</w:t>
            </w:r>
            <w:proofErr w:type="spellEnd"/>
          </w:p>
        </w:tc>
        <w:tc>
          <w:tcPr>
            <w:tcW w:w="298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3CEE3DC" w14:textId="77777777" w:rsidR="00AA392E" w:rsidRDefault="00000000">
            <w:pPr>
              <w:spacing w:line="280" w:lineRule="auto"/>
            </w:pPr>
            <w:r>
              <w:rPr>
                <w:sz w:val="21"/>
                <w:szCs w:val="21"/>
              </w:rPr>
              <w:t>Sections 6 and 7</w:t>
            </w:r>
          </w:p>
        </w:tc>
      </w:tr>
      <w:tr w:rsidR="00AA392E" w14:paraId="76D7F7BB"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C80B92D" w14:textId="77777777" w:rsidR="00AA392E" w:rsidRDefault="00000000">
            <w:pPr>
              <w:spacing w:line="280" w:lineRule="auto"/>
            </w:pPr>
            <w:r>
              <w:rPr>
                <w:sz w:val="21"/>
                <w:szCs w:val="21"/>
              </w:rPr>
              <w:lastRenderedPageBreak/>
              <w:t>Audit</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14CF7AD" w14:textId="77777777" w:rsidR="00AA392E" w:rsidRDefault="00000000">
            <w:pPr>
              <w:spacing w:line="280" w:lineRule="auto"/>
            </w:pPr>
            <w:r>
              <w:rPr>
                <w:sz w:val="21"/>
                <w:szCs w:val="21"/>
              </w:rPr>
              <w:t>RFC 8392 CWT, RFC 9162 Transparency Logs</w:t>
            </w:r>
          </w:p>
        </w:tc>
        <w:tc>
          <w:tcPr>
            <w:tcW w:w="29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0C669DD" w14:textId="77777777" w:rsidR="00AA392E" w:rsidRDefault="00000000">
            <w:pPr>
              <w:spacing w:line="280" w:lineRule="auto"/>
            </w:pPr>
            <w:r>
              <w:rPr>
                <w:sz w:val="21"/>
                <w:szCs w:val="21"/>
              </w:rPr>
              <w:t>Section 7</w:t>
            </w:r>
          </w:p>
        </w:tc>
      </w:tr>
      <w:tr w:rsidR="00AA392E" w14:paraId="513E9295"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647C6D4" w14:textId="77777777" w:rsidR="00AA392E" w:rsidRDefault="00000000">
            <w:pPr>
              <w:spacing w:line="280" w:lineRule="auto"/>
            </w:pPr>
            <w:r>
              <w:rPr>
                <w:sz w:val="21"/>
                <w:szCs w:val="21"/>
              </w:rPr>
              <w:t>AI management</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AA3A3A3" w14:textId="77777777" w:rsidR="00AA392E" w:rsidRDefault="00000000">
            <w:pPr>
              <w:spacing w:line="280" w:lineRule="auto"/>
            </w:pPr>
            <w:r>
              <w:rPr>
                <w:sz w:val="21"/>
                <w:szCs w:val="21"/>
              </w:rPr>
              <w:t>ISO/IEC 42001, NIST AI RMF</w:t>
            </w:r>
          </w:p>
        </w:tc>
        <w:tc>
          <w:tcPr>
            <w:tcW w:w="298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2C957EB" w14:textId="77777777" w:rsidR="00AA392E" w:rsidRDefault="00000000">
            <w:pPr>
              <w:spacing w:line="280" w:lineRule="auto"/>
            </w:pPr>
            <w:r>
              <w:rPr>
                <w:sz w:val="21"/>
                <w:szCs w:val="21"/>
              </w:rPr>
              <w:t>Section 11</w:t>
            </w:r>
          </w:p>
        </w:tc>
      </w:tr>
      <w:tr w:rsidR="00AA392E" w14:paraId="02A8E897"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88A5184" w14:textId="77777777" w:rsidR="00AA392E" w:rsidRDefault="00000000">
            <w:pPr>
              <w:spacing w:line="280" w:lineRule="auto"/>
            </w:pPr>
            <w:r>
              <w:rPr>
                <w:sz w:val="21"/>
                <w:szCs w:val="21"/>
              </w:rPr>
              <w:t>Data</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D662AAB" w14:textId="77777777" w:rsidR="00AA392E" w:rsidRDefault="00000000">
            <w:pPr>
              <w:spacing w:line="280" w:lineRule="auto"/>
            </w:pPr>
            <w:r>
              <w:rPr>
                <w:sz w:val="21"/>
                <w:szCs w:val="21"/>
              </w:rPr>
              <w:t>ISO/IEC 27001, ISO/IEC 27701, GDPR, CCPA</w:t>
            </w:r>
          </w:p>
        </w:tc>
        <w:tc>
          <w:tcPr>
            <w:tcW w:w="29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737FA34E" w14:textId="77777777" w:rsidR="00AA392E" w:rsidRDefault="00000000">
            <w:pPr>
              <w:spacing w:line="280" w:lineRule="auto"/>
            </w:pPr>
            <w:r>
              <w:rPr>
                <w:sz w:val="21"/>
                <w:szCs w:val="21"/>
              </w:rPr>
              <w:t>Section 10</w:t>
            </w:r>
          </w:p>
        </w:tc>
      </w:tr>
      <w:tr w:rsidR="00AA392E" w14:paraId="4B2C6C07"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4EFA912" w14:textId="77777777" w:rsidR="00AA392E" w:rsidRDefault="00000000">
            <w:pPr>
              <w:spacing w:line="280" w:lineRule="auto"/>
            </w:pPr>
            <w:r>
              <w:rPr>
                <w:sz w:val="21"/>
                <w:szCs w:val="21"/>
              </w:rPr>
              <w:t>Sectoral AI</w:t>
            </w:r>
          </w:p>
        </w:tc>
        <w:tc>
          <w:tcPr>
            <w:tcW w:w="4061"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1935E492" w14:textId="77777777" w:rsidR="00AA392E" w:rsidRDefault="00000000">
            <w:pPr>
              <w:spacing w:line="280" w:lineRule="auto"/>
            </w:pPr>
            <w:r>
              <w:rPr>
                <w:sz w:val="21"/>
                <w:szCs w:val="21"/>
              </w:rPr>
              <w:t>EU AI Act, US OSTP AI Bill of Rights</w:t>
            </w:r>
          </w:p>
        </w:tc>
        <w:tc>
          <w:tcPr>
            <w:tcW w:w="2980"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38E7507" w14:textId="77777777" w:rsidR="00AA392E" w:rsidRDefault="00000000">
            <w:pPr>
              <w:spacing w:line="280" w:lineRule="auto"/>
            </w:pPr>
            <w:r>
              <w:rPr>
                <w:sz w:val="21"/>
                <w:szCs w:val="21"/>
              </w:rPr>
              <w:t>Section 10</w:t>
            </w:r>
          </w:p>
        </w:tc>
      </w:tr>
      <w:tr w:rsidR="00AA392E" w14:paraId="45616396" w14:textId="77777777">
        <w:tblPrEx>
          <w:tblCellMar>
            <w:top w:w="0" w:type="dxa"/>
            <w:bottom w:w="0" w:type="dxa"/>
          </w:tblCellMar>
        </w:tblPrEx>
        <w:tc>
          <w:tcPr>
            <w:tcW w:w="1985"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02392442" w14:textId="77777777" w:rsidR="00AA392E" w:rsidRDefault="00000000">
            <w:pPr>
              <w:spacing w:line="280" w:lineRule="auto"/>
            </w:pPr>
            <w:r>
              <w:rPr>
                <w:sz w:val="21"/>
                <w:szCs w:val="21"/>
              </w:rPr>
              <w:t>Tool use</w:t>
            </w:r>
          </w:p>
        </w:tc>
        <w:tc>
          <w:tcPr>
            <w:tcW w:w="4061"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530B80A" w14:textId="77777777" w:rsidR="00AA392E" w:rsidRDefault="00000000">
            <w:pPr>
              <w:spacing w:line="280" w:lineRule="auto"/>
            </w:pPr>
            <w:r>
              <w:rPr>
                <w:sz w:val="21"/>
                <w:szCs w:val="21"/>
              </w:rPr>
              <w:t xml:space="preserve">MCP, A2A protocols, </w:t>
            </w:r>
            <w:proofErr w:type="spellStart"/>
            <w:r>
              <w:rPr>
                <w:sz w:val="21"/>
                <w:szCs w:val="21"/>
              </w:rPr>
              <w:t>OpenAPI</w:t>
            </w:r>
            <w:proofErr w:type="spellEnd"/>
            <w:r>
              <w:rPr>
                <w:sz w:val="21"/>
                <w:szCs w:val="21"/>
              </w:rPr>
              <w:t xml:space="preserve"> 3.1</w:t>
            </w:r>
          </w:p>
        </w:tc>
        <w:tc>
          <w:tcPr>
            <w:tcW w:w="2980"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9113D17" w14:textId="77777777" w:rsidR="00AA392E" w:rsidRDefault="00000000">
            <w:pPr>
              <w:spacing w:line="280" w:lineRule="auto"/>
            </w:pPr>
            <w:r>
              <w:rPr>
                <w:sz w:val="21"/>
                <w:szCs w:val="21"/>
              </w:rPr>
              <w:t>Sections 5 and 12</w:t>
            </w:r>
          </w:p>
        </w:tc>
      </w:tr>
    </w:tbl>
    <w:p w14:paraId="44364F3A" w14:textId="77777777" w:rsidR="00AA392E" w:rsidRDefault="00AA392E">
      <w:pPr>
        <w:spacing w:after="160"/>
      </w:pPr>
    </w:p>
    <w:p w14:paraId="728A46D3" w14:textId="77777777" w:rsidR="00AA392E" w:rsidRDefault="00000000">
      <w:pPr>
        <w:spacing w:after="120" w:line="320" w:lineRule="auto"/>
        <w:jc w:val="both"/>
      </w:pPr>
      <w:r>
        <w:t>A formal conformance matrix lives in the reference implementation. The summary above is the high-level orientation; readers seeking implementation guidance should consult the conformance suite once it is published.</w:t>
      </w:r>
    </w:p>
    <w:p w14:paraId="3DCBF5ED" w14:textId="77777777" w:rsidR="00AA392E" w:rsidRDefault="00000000">
      <w:pPr>
        <w:pStyle w:val="Heading1"/>
        <w:pageBreakBefore/>
      </w:pPr>
      <w:bookmarkStart w:id="74" w:name="_Toc228176392"/>
      <w:r>
        <w:lastRenderedPageBreak/>
        <w:t>13.  Reference Architecture, Developer Experience and Golden Paths</w:t>
      </w:r>
      <w:bookmarkEnd w:id="74"/>
    </w:p>
    <w:p w14:paraId="54A666E1" w14:textId="48CE4AEA" w:rsidR="00AA392E" w:rsidRDefault="00000000">
      <w:pPr>
        <w:spacing w:after="120" w:line="320" w:lineRule="auto"/>
        <w:jc w:val="both"/>
      </w:pPr>
      <w:r>
        <w:t>A framework that is harder to follow than to ignore will be ignored. The reference architecture and the authoring developer experience are not afterthoughts; they are the difference between a paper that ships and a paper that decorates a website. The framework's most effective enforcement is at the build-time CI gate, not at runtime</w:t>
      </w:r>
      <w:r w:rsidR="002A1CAA">
        <w:t>,</w:t>
      </w:r>
      <w:r>
        <w:t xml:space="preserve"> and the build-time gate is only effective if the path of least resistance for developers is the compliant path. The sections below describe the Verax reference deployment of the framework, the developer-experience commands that scaffold a compliant agent in seconds, and the staged adoption sequence by which a small team can reach a defensible baseline within roughly one quarter.</w:t>
      </w:r>
    </w:p>
    <w:p w14:paraId="0EC5A127" w14:textId="77777777" w:rsidR="00AA392E" w:rsidRDefault="00000000">
      <w:pPr>
        <w:pStyle w:val="Heading2"/>
      </w:pPr>
      <w:bookmarkStart w:id="75" w:name="_Toc228176393"/>
      <w:r>
        <w:t>13.1  Reference architecture</w:t>
      </w:r>
      <w:bookmarkEnd w:id="75"/>
    </w:p>
    <w:p w14:paraId="4EC41FB9" w14:textId="190669E8" w:rsidR="00AA392E" w:rsidRDefault="00000000">
      <w:pPr>
        <w:spacing w:after="120" w:line="320" w:lineRule="auto"/>
        <w:jc w:val="both"/>
      </w:pPr>
      <w:r>
        <w:t>The Verax reference deployment composes the framework's layers as follows. The operator and customer-facing interface</w:t>
      </w:r>
      <w:r w:rsidR="002A1CAA">
        <w:t>,</w:t>
      </w:r>
      <w:r>
        <w:t xml:space="preserve"> the Verax Command </w:t>
      </w:r>
      <w:proofErr w:type="spellStart"/>
      <w:r>
        <w:t>Center</w:t>
      </w:r>
      <w:proofErr w:type="spellEnd"/>
      <w:r w:rsidR="002A1CAA">
        <w:t>,</w:t>
      </w:r>
      <w:r>
        <w:t xml:space="preserve"> is built on Next.js with a </w:t>
      </w:r>
      <w:proofErr w:type="spellStart"/>
      <w:r>
        <w:t>Supabase</w:t>
      </w:r>
      <w:proofErr w:type="spellEnd"/>
      <w:r>
        <w:t xml:space="preserve"> backend and surfaces the four canonical views described in section 9: Identity Graph, live Interaction Graph, trajectory and trace view, and Capability Heatmap, together with the customer-facing trust portal.</w:t>
      </w:r>
    </w:p>
    <w:p w14:paraId="5501CBC8" w14:textId="77777777" w:rsidR="00AA392E" w:rsidRDefault="00000000">
      <w:pPr>
        <w:spacing w:after="120" w:line="320" w:lineRule="auto"/>
        <w:jc w:val="both"/>
      </w:pPr>
      <w:r>
        <w:t xml:space="preserve">The agent identity provider sits beneath the interface, implemented on </w:t>
      </w:r>
      <w:proofErr w:type="spellStart"/>
      <w:r>
        <w:t>Supabase</w:t>
      </w:r>
      <w:proofErr w:type="spellEnd"/>
      <w:r>
        <w:t xml:space="preserve"> with a custom DID resolver, and is backed by hardware-security-module-grade keys held in Azure Key Vault. The audit log is hash-chained, signed at source by the policy enforcement plane, and held on a hot-path event bus (Kafka) feeding </w:t>
      </w:r>
      <w:proofErr w:type="spellStart"/>
      <w:r>
        <w:t>ClickHouse</w:t>
      </w:r>
      <w:proofErr w:type="spellEnd"/>
      <w:r>
        <w:t xml:space="preserve"> for analytics; cold storage uses S3 or Azure Blob with per-subject KMS keys to support crypto-shredding. The identity and interaction graphs are stored in Neo4j Aura for the production deployment, with </w:t>
      </w:r>
      <w:proofErr w:type="spellStart"/>
      <w:r>
        <w:t>Memgraph</w:t>
      </w:r>
      <w:proofErr w:type="spellEnd"/>
      <w:r>
        <w:t xml:space="preserve"> evaluated for streaming workloads where lower-latency graph mutations are needed. Visualisation uses </w:t>
      </w:r>
      <w:proofErr w:type="spellStart"/>
      <w:r>
        <w:t>Graphistry</w:t>
      </w:r>
      <w:proofErr w:type="spellEnd"/>
      <w:r>
        <w:t xml:space="preserve"> embedded in the Command </w:t>
      </w:r>
      <w:proofErr w:type="spellStart"/>
      <w:r>
        <w:t>Center</w:t>
      </w:r>
      <w:proofErr w:type="spellEnd"/>
      <w:r>
        <w:t xml:space="preserve">, with </w:t>
      </w:r>
      <w:proofErr w:type="spellStart"/>
      <w:r>
        <w:t>OpenTelemetry</w:t>
      </w:r>
      <w:proofErr w:type="spellEnd"/>
      <w:r>
        <w:t xml:space="preserve"> traces flowing into Tempo for the trajectory view.</w:t>
      </w:r>
    </w:p>
    <w:p w14:paraId="40F38DC0" w14:textId="4350292D" w:rsidR="00AA392E" w:rsidRDefault="00000000">
      <w:pPr>
        <w:spacing w:after="120" w:line="320" w:lineRule="auto"/>
        <w:jc w:val="both"/>
      </w:pPr>
      <w:r>
        <w:t>The policy enforcement plane uses Azure API Management with an Open Policy Agent sidecar; rulebooks are compiled to Rego for execution in the OPA runtime. Trace context follows the W3C Trace Context standard, with the framework's custom agent-lineage header carrying the multi-hop call tree. Skills are drawn from the existing Verax catalogue (currently approximately forty-four skills), each versioned and signed under the framework. Tooling integrations</w:t>
      </w:r>
      <w:r w:rsidR="002A1CAA">
        <w:t>,</w:t>
      </w:r>
      <w:r>
        <w:t xml:space="preserve"> Microsoft Graph, Azure management plane, </w:t>
      </w:r>
      <w:proofErr w:type="spellStart"/>
      <w:r>
        <w:t>Documenso</w:t>
      </w:r>
      <w:proofErr w:type="spellEnd"/>
      <w:r>
        <w:t xml:space="preserve">, Linear, </w:t>
      </w:r>
      <w:proofErr w:type="spellStart"/>
      <w:r>
        <w:t>Attio</w:t>
      </w:r>
      <w:proofErr w:type="spellEnd"/>
      <w:r>
        <w:t xml:space="preserve">, n8n, </w:t>
      </w:r>
      <w:proofErr w:type="spellStart"/>
      <w:r>
        <w:t>Vercel</w:t>
      </w:r>
      <w:proofErr w:type="spellEnd"/>
      <w:r>
        <w:t>, KYC providers, cost-tracking services, design tooling</w:t>
      </w:r>
      <w:r w:rsidR="002A1CAA">
        <w:t>,</w:t>
      </w:r>
      <w:r>
        <w:t xml:space="preserve"> are all wrapped behind the policy enforcement plane with brokered credentials, so that the agent never sees the underlying API keys for any third-party service.</w:t>
      </w:r>
    </w:p>
    <w:p w14:paraId="5A91CD46" w14:textId="77777777" w:rsidR="00AA392E" w:rsidRDefault="00000000">
      <w:pPr>
        <w:spacing w:before="240" w:after="240"/>
        <w:jc w:val="center"/>
      </w:pPr>
      <w:r>
        <w:rPr>
          <w:noProof/>
        </w:rPr>
        <w:lastRenderedPageBreak/>
        <w:drawing>
          <wp:inline distT="0" distB="0" distL="0" distR="0" wp14:anchorId="7D5961B8" wp14:editId="0C465D91">
            <wp:extent cx="5913425" cy="4802037"/>
            <wp:effectExtent l="0" t="0" r="0" b="0"/>
            <wp:docPr id="450914640" name="Picture 450914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17741" cy="4805542"/>
                    </a:xfrm>
                    <a:prstGeom prst="rect">
                      <a:avLst/>
                    </a:prstGeom>
                  </pic:spPr>
                </pic:pic>
              </a:graphicData>
            </a:graphic>
          </wp:inline>
        </w:drawing>
      </w:r>
    </w:p>
    <w:p w14:paraId="267CDE0F" w14:textId="7B36523E" w:rsidR="00AA392E" w:rsidRDefault="00000000">
      <w:pPr>
        <w:pStyle w:val="Heading2"/>
      </w:pPr>
      <w:bookmarkStart w:id="76" w:name="_Toc228176394"/>
      <w:r>
        <w:t xml:space="preserve">13.2  Developer experience </w:t>
      </w:r>
      <w:r w:rsidR="002A1CAA">
        <w:t>,</w:t>
      </w:r>
      <w:r>
        <w:t xml:space="preserve">  the golden path</w:t>
      </w:r>
      <w:bookmarkEnd w:id="76"/>
    </w:p>
    <w:p w14:paraId="1F5FA0F2" w14:textId="77777777" w:rsidR="00AA392E" w:rsidRDefault="00000000">
      <w:pPr>
        <w:spacing w:after="120" w:line="320" w:lineRule="auto"/>
        <w:jc w:val="both"/>
      </w:pPr>
      <w:r>
        <w:t>If creating a compliant agent is harder than creating a non-compliant one, developers route around the framework. The authoring experience must therefore make the right thing the easy thing. The Verax reference implementation provides a small set of commands that, between them, scaffold a compliant agent end-to-end.</w:t>
      </w:r>
    </w:p>
    <w:p w14:paraId="32AE1FEF" w14:textId="77777777" w:rsidR="00AA392E" w:rsidRDefault="00000000">
      <w:pPr>
        <w:pStyle w:val="ListParagraph"/>
        <w:numPr>
          <w:ilvl w:val="0"/>
          <w:numId w:val="2"/>
        </w:numPr>
        <w:spacing w:before="60" w:after="60" w:line="300" w:lineRule="auto"/>
      </w:pPr>
      <w:proofErr w:type="spellStart"/>
      <w:r>
        <w:rPr>
          <w:b/>
          <w:bCs/>
        </w:rPr>
        <w:t>verax</w:t>
      </w:r>
      <w:proofErr w:type="spellEnd"/>
      <w:r>
        <w:rPr>
          <w:b/>
          <w:bCs/>
        </w:rPr>
        <w:t xml:space="preserve"> agent new. </w:t>
      </w:r>
      <w:r>
        <w:t>Scaffolds a profile with sane defaults: residency, risk class, baseline rulebooks, capability stub. The new agent is registered in the system of record and emitted to the audit log before any runtime work begins.</w:t>
      </w:r>
    </w:p>
    <w:p w14:paraId="5D0BDA41" w14:textId="77777777" w:rsidR="00AA392E" w:rsidRDefault="00000000">
      <w:pPr>
        <w:pStyle w:val="ListParagraph"/>
        <w:numPr>
          <w:ilvl w:val="0"/>
          <w:numId w:val="2"/>
        </w:numPr>
        <w:spacing w:before="60" w:after="60" w:line="300" w:lineRule="auto"/>
      </w:pPr>
      <w:proofErr w:type="spellStart"/>
      <w:r>
        <w:rPr>
          <w:b/>
          <w:bCs/>
        </w:rPr>
        <w:t>verax</w:t>
      </w:r>
      <w:proofErr w:type="spellEnd"/>
      <w:r>
        <w:rPr>
          <w:b/>
          <w:bCs/>
        </w:rPr>
        <w:t xml:space="preserve"> skill bind. </w:t>
      </w:r>
      <w:r>
        <w:t>Binds a versioned, signed skill from the catalogue. The binding is content-addressable and recorded in the system of record alongside the agent.</w:t>
      </w:r>
    </w:p>
    <w:p w14:paraId="2AC0E5ED" w14:textId="39F755FC" w:rsidR="00AA392E" w:rsidRDefault="00000000">
      <w:pPr>
        <w:pStyle w:val="ListParagraph"/>
        <w:numPr>
          <w:ilvl w:val="0"/>
          <w:numId w:val="2"/>
        </w:numPr>
        <w:spacing w:before="60" w:after="60" w:line="300" w:lineRule="auto"/>
      </w:pPr>
      <w:proofErr w:type="spellStart"/>
      <w:r>
        <w:rPr>
          <w:b/>
          <w:bCs/>
        </w:rPr>
        <w:t>verax</w:t>
      </w:r>
      <w:proofErr w:type="spellEnd"/>
      <w:r>
        <w:rPr>
          <w:b/>
          <w:bCs/>
        </w:rPr>
        <w:t xml:space="preserve"> agent attest. </w:t>
      </w:r>
      <w:r>
        <w:t>Runs the local conformance suite</w:t>
      </w:r>
      <w:r w:rsidR="002A1CAA">
        <w:t>,</w:t>
      </w:r>
      <w:r>
        <w:t xml:space="preserve"> capability lint, rulebook compatibility, ethics-review prerequisites</w:t>
      </w:r>
      <w:r w:rsidR="002A1CAA">
        <w:t>,</w:t>
      </w:r>
      <w:r>
        <w:t xml:space="preserve"> and produces an attestation request. Attestation is the gate that admits the agent to the production fleet.</w:t>
      </w:r>
    </w:p>
    <w:p w14:paraId="454187AB" w14:textId="77777777" w:rsidR="00AA392E" w:rsidRDefault="00000000">
      <w:pPr>
        <w:pStyle w:val="ListParagraph"/>
        <w:numPr>
          <w:ilvl w:val="0"/>
          <w:numId w:val="2"/>
        </w:numPr>
        <w:spacing w:before="60" w:after="60" w:line="300" w:lineRule="auto"/>
      </w:pPr>
      <w:proofErr w:type="spellStart"/>
      <w:r>
        <w:rPr>
          <w:b/>
          <w:bCs/>
        </w:rPr>
        <w:t>verax</w:t>
      </w:r>
      <w:proofErr w:type="spellEnd"/>
      <w:r>
        <w:rPr>
          <w:b/>
          <w:bCs/>
        </w:rPr>
        <w:t xml:space="preserve"> agent simulate. </w:t>
      </w:r>
      <w:r>
        <w:t>Runs the agent against a battery of red-team probes locally before deployment. Findings either resolve through code changes or are explicitly accepted as residual risk.</w:t>
      </w:r>
    </w:p>
    <w:p w14:paraId="7DFE8B67" w14:textId="77777777" w:rsidR="00AA392E" w:rsidRDefault="00000000">
      <w:pPr>
        <w:pStyle w:val="ListParagraph"/>
        <w:numPr>
          <w:ilvl w:val="0"/>
          <w:numId w:val="2"/>
        </w:numPr>
        <w:spacing w:before="60" w:after="60" w:line="300" w:lineRule="auto"/>
      </w:pPr>
      <w:proofErr w:type="spellStart"/>
      <w:r>
        <w:rPr>
          <w:b/>
          <w:bCs/>
        </w:rPr>
        <w:lastRenderedPageBreak/>
        <w:t>verax</w:t>
      </w:r>
      <w:proofErr w:type="spellEnd"/>
      <w:r>
        <w:rPr>
          <w:b/>
          <w:bCs/>
        </w:rPr>
        <w:t xml:space="preserve"> agent deploy. </w:t>
      </w:r>
      <w:r>
        <w:t>Cannot succeed without the Agent Bill of Materials, the attestation, the residency setting and the rulebook bindings all present and valid.</w:t>
      </w:r>
    </w:p>
    <w:p w14:paraId="2936D7EB" w14:textId="77777777" w:rsidR="00AA392E" w:rsidRDefault="00000000">
      <w:pPr>
        <w:spacing w:after="120" w:line="320" w:lineRule="auto"/>
        <w:jc w:val="both"/>
      </w:pPr>
      <w:r>
        <w:t>Conformance is checked at build time, not at runtime. The continuous-integration gate is the framework's most effective single enforcement mechanism: an agent that does not pass build-time conformance never reaches an environment where runtime conformance can be tested.</w:t>
      </w:r>
    </w:p>
    <w:p w14:paraId="3806229F" w14:textId="093ADC92" w:rsidR="00AA392E" w:rsidRDefault="00000000">
      <w:pPr>
        <w:pStyle w:val="Heading2"/>
      </w:pPr>
      <w:bookmarkStart w:id="77" w:name="_Toc228176395"/>
      <w:r>
        <w:t xml:space="preserve">13.3  Adoption staging </w:t>
      </w:r>
      <w:r w:rsidR="002A1CAA">
        <w:t>,</w:t>
      </w:r>
      <w:r>
        <w:t xml:space="preserve">  incremental, not big-bang</w:t>
      </w:r>
      <w:bookmarkEnd w:id="77"/>
    </w:p>
    <w:p w14:paraId="5E6AF5D7" w14:textId="586CE365" w:rsidR="00AA392E" w:rsidRDefault="00000000">
      <w:pPr>
        <w:spacing w:after="120" w:line="320" w:lineRule="auto"/>
        <w:jc w:val="both"/>
      </w:pPr>
      <w:r>
        <w:t>A team can adopt the framework in the following order, deriving value at each step. First, issue identities for existing agents and generate Agent Bills of Materials retroactively</w:t>
      </w:r>
      <w:r w:rsidR="002A1CAA">
        <w:t>,</w:t>
      </w:r>
      <w:r>
        <w:t xml:space="preserve"> approximately one week. Second, route egress through the policy enforcement plane with brokered credentials and enable basic audit emission</w:t>
      </w:r>
      <w:r w:rsidR="002A1CAA">
        <w:t>,</w:t>
      </w:r>
      <w:r>
        <w:t xml:space="preserve"> two to four weeks. Third, bind initial rulebooks for the most regulated capabilities first, prioritising personally-identifiable information handling and external communications</w:t>
      </w:r>
      <w:r w:rsidR="002A1CAA">
        <w:t>,</w:t>
      </w:r>
      <w:r>
        <w:t xml:space="preserve"> two weeks. Fourth, stand up the audit pipeline with hash chaining and cold archival</w:t>
      </w:r>
      <w:r w:rsidR="002A1CAA">
        <w:t>,</w:t>
      </w:r>
      <w:r>
        <w:t xml:space="preserve"> two to three weeks. Fifth, light up the visualisation layer, starting with the interaction graph and the trajectory view, with the capability heatmap following shortly after</w:t>
      </w:r>
      <w:r w:rsidR="002A1CAA">
        <w:t>,</w:t>
      </w:r>
      <w:r>
        <w:t xml:space="preserve"> three to four weeks. Sixth, convene the ethics committee and run reviews on existing high-risk agents</w:t>
      </w:r>
      <w:r w:rsidR="002A1CAA">
        <w:t>,</w:t>
      </w:r>
      <w:r>
        <w:t xml:space="preserve"> an ongoing concern rather than a discrete project. Seventh, add deterministic replay and crypto-shredding capabilities and bind insurance cover</w:t>
      </w:r>
      <w:r w:rsidR="002A1CAA">
        <w:t>,</w:t>
      </w:r>
      <w:r>
        <w:t xml:space="preserve"> four to eight weeks. Eighth, open the trust portal to customers</w:t>
      </w:r>
      <w:r w:rsidR="002A1CAA">
        <w:t>,</w:t>
      </w:r>
      <w:r>
        <w:t xml:space="preserve"> two to three weeks.</w:t>
      </w:r>
    </w:p>
    <w:p w14:paraId="48662F44" w14:textId="5D0907DF" w:rsidR="00AA392E" w:rsidRDefault="00000000">
      <w:pPr>
        <w:spacing w:after="120" w:line="320" w:lineRule="auto"/>
        <w:jc w:val="both"/>
      </w:pPr>
      <w:r>
        <w:t>Total elapsed time for a small team operating in parallel: approximately one quarter. The framework's experience is that organisations which attempt big-bang adoption miss most of the value of staged adoption</w:t>
      </w:r>
      <w:r w:rsidR="002A1CAA">
        <w:t>,</w:t>
      </w:r>
      <w:r>
        <w:t xml:space="preserve"> each stage produces operational benefit independently</w:t>
      </w:r>
      <w:r w:rsidR="002A1CAA">
        <w:t>,</w:t>
      </w:r>
      <w:r>
        <w:t xml:space="preserve"> and incur significantly higher risk of stalling at the last quarter of the work, when the easy wins are exhausted and the harder integration tasks remain.</w:t>
      </w:r>
    </w:p>
    <w:p w14:paraId="13302EB4" w14:textId="77777777" w:rsidR="00AA392E" w:rsidRDefault="00000000">
      <w:pPr>
        <w:pStyle w:val="Heading1"/>
        <w:pageBreakBefore/>
      </w:pPr>
      <w:bookmarkStart w:id="78" w:name="_Toc228176396"/>
      <w:r>
        <w:lastRenderedPageBreak/>
        <w:t>14.  Framework Governance, Open Questions and Call to Action</w:t>
      </w:r>
      <w:bookmarkEnd w:id="78"/>
    </w:p>
    <w:p w14:paraId="3A7C718E" w14:textId="77777777" w:rsidR="00AA392E" w:rsidRDefault="00000000">
      <w:pPr>
        <w:pStyle w:val="Heading2"/>
      </w:pPr>
      <w:bookmarkStart w:id="79" w:name="_Toc228176397"/>
      <w:r>
        <w:t>14.1  Why this needs to be open</w:t>
      </w:r>
      <w:bookmarkEnd w:id="79"/>
    </w:p>
    <w:p w14:paraId="531D16F9" w14:textId="4D3AF77B" w:rsidR="00AA392E" w:rsidRDefault="00000000">
      <w:pPr>
        <w:spacing w:after="120" w:line="320" w:lineRule="auto"/>
        <w:jc w:val="both"/>
      </w:pPr>
      <w:r>
        <w:t>A proprietary framework for agent identity is a contradiction. The agent economy is cross-organisational by nature: federation, agent-to-agent operation, customer-facing transparency, regulator interaction</w:t>
      </w:r>
      <w:r w:rsidR="002A1CAA">
        <w:t>,</w:t>
      </w:r>
      <w:r>
        <w:t xml:space="preserve"> none of these works if the framework is recognised only by parties who buy from the framework's author. A proprietary specification produces vendor lock-in, but it also produces ecosystem failure: counterparties cannot federate with a system whose attestation semantics are private, regulators cannot rely on credentials whose verification is gated, and customers cannot procure with confidence against a moving target. The framework is therefore offered as an open specification, with the explicit intention that it become a community artefact rather than a Verax artefact in the long run.</w:t>
      </w:r>
    </w:p>
    <w:p w14:paraId="1E0725C0" w14:textId="77777777" w:rsidR="00AA392E" w:rsidRDefault="00000000">
      <w:pPr>
        <w:pStyle w:val="Heading2"/>
      </w:pPr>
      <w:bookmarkStart w:id="80" w:name="_Toc228176398"/>
      <w:r>
        <w:t>14.2  Governance model</w:t>
      </w:r>
      <w:bookmarkEnd w:id="80"/>
    </w:p>
    <w:p w14:paraId="134001AE" w14:textId="04A96D09" w:rsidR="00AA392E" w:rsidRDefault="00000000">
      <w:pPr>
        <w:spacing w:after="120" w:line="320" w:lineRule="auto"/>
        <w:jc w:val="both"/>
      </w:pPr>
      <w:r>
        <w:t>The specification is offered under the Creative Commons Attribution-</w:t>
      </w:r>
      <w:proofErr w:type="spellStart"/>
      <w:r>
        <w:t>ShareAlike</w:t>
      </w:r>
      <w:proofErr w:type="spellEnd"/>
      <w:r>
        <w:t xml:space="preserve"> 4.0 Licence, versioned through a Request for Comments-style change process, with open contribution. The reference implementations are offered under the Apache 2.0 Licence and hosted in public repositories. Conformance is governed by a community-defined test suite; vendors may self-attest or seek third-party attestation, and a Framework-Conformant mark is granted on passing the suite. Stewardship of versions 0.x rests with Verax; version 1 will be governed by a working group with rotating chair, transparent decision log, and a defined path to a neutral foundation</w:t>
      </w:r>
      <w:r w:rsidR="002A1CAA">
        <w:t>,</w:t>
      </w:r>
      <w:r>
        <w:t xml:space="preserve"> a CNCF, </w:t>
      </w:r>
      <w:proofErr w:type="spellStart"/>
      <w:r>
        <w:t>OpenSSF</w:t>
      </w:r>
      <w:proofErr w:type="spellEnd"/>
      <w:r>
        <w:t xml:space="preserve"> or Linux Foundation AI and Data sub-project</w:t>
      </w:r>
      <w:r w:rsidR="002A1CAA">
        <w:t>,</w:t>
      </w:r>
      <w:r>
        <w:t xml:space="preserve"> once adoption justifies the move. The specification is semantically versioned; deprecation occurs slowly and with migration playbooks; backwards compatibility of the audit log is preserved across all versions.</w:t>
      </w:r>
    </w:p>
    <w:p w14:paraId="198D3C44" w14:textId="77777777" w:rsidR="00AA392E" w:rsidRDefault="00000000">
      <w:pPr>
        <w:pStyle w:val="Heading2"/>
      </w:pPr>
      <w:bookmarkStart w:id="81" w:name="_Toc228176399"/>
      <w:r>
        <w:t>14.3  Open questions</w:t>
      </w:r>
      <w:bookmarkEnd w:id="81"/>
    </w:p>
    <w:p w14:paraId="5A4DBE30" w14:textId="77777777" w:rsidR="00AA392E" w:rsidRDefault="00000000">
      <w:pPr>
        <w:spacing w:after="120" w:line="320" w:lineRule="auto"/>
        <w:jc w:val="both"/>
      </w:pPr>
      <w:r>
        <w:t>Several questions remain unresolved at version 0.1. They are listed here as explicit invitations for contribution from the community.</w:t>
      </w:r>
    </w:p>
    <w:p w14:paraId="73862E32" w14:textId="77777777" w:rsidR="00AA392E" w:rsidRDefault="00000000">
      <w:pPr>
        <w:pStyle w:val="ListParagraph"/>
        <w:numPr>
          <w:ilvl w:val="0"/>
          <w:numId w:val="2"/>
        </w:numPr>
        <w:spacing w:before="60" w:after="60" w:line="300" w:lineRule="auto"/>
      </w:pPr>
      <w:r>
        <w:rPr>
          <w:b/>
          <w:bCs/>
        </w:rPr>
        <w:t xml:space="preserve">Agent legal personality. </w:t>
      </w:r>
      <w:r>
        <w:t>Do autonomous agents need taxpayer identification numbers, wallets and contractual capacity? The work on agentic payments points in this direction; the framework defers a position to version 1 or later.</w:t>
      </w:r>
    </w:p>
    <w:p w14:paraId="7DA7308B" w14:textId="77777777" w:rsidR="00AA392E" w:rsidRDefault="00000000">
      <w:pPr>
        <w:pStyle w:val="ListParagraph"/>
        <w:numPr>
          <w:ilvl w:val="0"/>
          <w:numId w:val="2"/>
        </w:numPr>
        <w:spacing w:before="60" w:after="60" w:line="300" w:lineRule="auto"/>
      </w:pPr>
      <w:r>
        <w:rPr>
          <w:b/>
          <w:bCs/>
        </w:rPr>
        <w:t xml:space="preserve">Cross-jurisdiction discovery. </w:t>
      </w:r>
      <w:r>
        <w:t>When US discovery seeks audit logs of agents resident in the EU, what is the practical answer? GDPR Article 48 pulls in one direction; the US Federal Rules of Civil Procedure pull in another. Sector-specific playbooks are needed.</w:t>
      </w:r>
    </w:p>
    <w:p w14:paraId="11FE326B" w14:textId="77777777" w:rsidR="00AA392E" w:rsidRDefault="00000000">
      <w:pPr>
        <w:pStyle w:val="ListParagraph"/>
        <w:numPr>
          <w:ilvl w:val="0"/>
          <w:numId w:val="2"/>
        </w:numPr>
        <w:spacing w:before="60" w:after="60" w:line="300" w:lineRule="auto"/>
      </w:pPr>
      <w:r>
        <w:rPr>
          <w:b/>
          <w:bCs/>
        </w:rPr>
        <w:t xml:space="preserve">Model versioning at scale. </w:t>
      </w:r>
      <w:r>
        <w:t xml:space="preserve">What is the minimum viable Agent Bill of Materials for closed-weight foundation models where the provider does not expose the fingerprint or the </w:t>
      </w:r>
      <w:r>
        <w:lastRenderedPageBreak/>
        <w:t>training-data summary? The framework's current stance assumes full disclosure; the practical compromise needs definition.</w:t>
      </w:r>
    </w:p>
    <w:p w14:paraId="5FE0F854" w14:textId="77777777" w:rsidR="00AA392E" w:rsidRDefault="00000000">
      <w:pPr>
        <w:pStyle w:val="ListParagraph"/>
        <w:numPr>
          <w:ilvl w:val="0"/>
          <w:numId w:val="2"/>
        </w:numPr>
        <w:spacing w:before="60" w:after="60" w:line="300" w:lineRule="auto"/>
      </w:pPr>
      <w:r>
        <w:rPr>
          <w:b/>
          <w:bCs/>
        </w:rPr>
        <w:t xml:space="preserve">Inter-organisation consent. </w:t>
      </w:r>
      <w:r>
        <w:t>How does a consent receipt issued by one organisation flow through an agent-to-agent delegation into another organisation's audit without leaking personally-identifiable information? Selective-disclosure techniques are part of the answer; the operational protocol is not yet standardised.</w:t>
      </w:r>
    </w:p>
    <w:p w14:paraId="54A396F7" w14:textId="77777777" w:rsidR="00AA392E" w:rsidRDefault="00000000">
      <w:pPr>
        <w:pStyle w:val="ListParagraph"/>
        <w:numPr>
          <w:ilvl w:val="0"/>
          <w:numId w:val="2"/>
        </w:numPr>
        <w:spacing w:before="60" w:after="60" w:line="300" w:lineRule="auto"/>
      </w:pPr>
      <w:r>
        <w:rPr>
          <w:b/>
          <w:bCs/>
        </w:rPr>
        <w:t xml:space="preserve">Long-tail blessing portability. </w:t>
      </w:r>
      <w:r>
        <w:t>Can a blessing earned in one organisation be relied upon in another without re-attestation? When yes, when no, and on what evidence?</w:t>
      </w:r>
    </w:p>
    <w:p w14:paraId="22E36384" w14:textId="77777777" w:rsidR="00AA392E" w:rsidRDefault="00000000">
      <w:pPr>
        <w:pStyle w:val="ListParagraph"/>
        <w:numPr>
          <w:ilvl w:val="0"/>
          <w:numId w:val="2"/>
        </w:numPr>
        <w:spacing w:before="60" w:after="60" w:line="300" w:lineRule="auto"/>
      </w:pPr>
      <w:r>
        <w:rPr>
          <w:b/>
          <w:bCs/>
        </w:rPr>
        <w:t xml:space="preserve">Sustainability. </w:t>
      </w:r>
      <w:r>
        <w:t>Per-agent carbon attribution is increasingly material to procurement and to regulatory reporting. Should it be a required field of the Agent Bill of Materials, and at what granularity?</w:t>
      </w:r>
    </w:p>
    <w:p w14:paraId="086D7402" w14:textId="77777777" w:rsidR="00AA392E" w:rsidRDefault="00000000">
      <w:pPr>
        <w:pStyle w:val="Heading2"/>
      </w:pPr>
      <w:bookmarkStart w:id="82" w:name="_Toc228176400"/>
      <w:r>
        <w:t>14.4  Call to action</w:t>
      </w:r>
      <w:bookmarkEnd w:id="82"/>
    </w:p>
    <w:p w14:paraId="6A0814EA" w14:textId="77777777" w:rsidR="00AA392E" w:rsidRDefault="00000000">
      <w:pPr>
        <w:spacing w:after="120" w:line="320" w:lineRule="auto"/>
        <w:jc w:val="both"/>
      </w:pPr>
      <w:r>
        <w:rPr>
          <w:b/>
          <w:bCs/>
          <w:color w:val="1E3A8A"/>
        </w:rPr>
        <w:t xml:space="preserve">To operators </w:t>
      </w:r>
      <w:r>
        <w:t>running agents in production today: pick one section of this paper and adopt it. Identity first if you have nothing; the policy enforcement plane second if you already have identity; audit third if you have both. Each step is independently valuable, and the framework is designed to be sequenced rather than swallowed whole.</w:t>
      </w:r>
    </w:p>
    <w:p w14:paraId="53174AF2" w14:textId="04268167" w:rsidR="00AA392E" w:rsidRDefault="00000000">
      <w:pPr>
        <w:spacing w:after="120" w:line="320" w:lineRule="auto"/>
        <w:jc w:val="both"/>
      </w:pPr>
      <w:r>
        <w:rPr>
          <w:b/>
          <w:bCs/>
          <w:color w:val="1E3A8A"/>
        </w:rPr>
        <w:t>To standards bodies</w:t>
      </w:r>
      <w:r w:rsidR="002A1CAA">
        <w:rPr>
          <w:b/>
          <w:bCs/>
          <w:color w:val="1E3A8A"/>
        </w:rPr>
        <w:t>,</w:t>
      </w:r>
      <w:r>
        <w:t xml:space="preserve"> the W3C Verifiable Credentials Working Group, the IETF, ISO/IEC JTC 1, NIST, and the EU AI Act implementation teams</w:t>
      </w:r>
      <w:r w:rsidR="002A1CAA">
        <w:t>,</w:t>
      </w:r>
      <w:r>
        <w:t xml:space="preserve"> the framework names where existing standards apply directly and where gaps remain. Those gaps are the work, and the framework's authors invite engagement on them.</w:t>
      </w:r>
    </w:p>
    <w:p w14:paraId="3FA2FC02" w14:textId="77777777" w:rsidR="00AA392E" w:rsidRDefault="00000000">
      <w:pPr>
        <w:spacing w:after="120" w:line="320" w:lineRule="auto"/>
        <w:jc w:val="both"/>
      </w:pPr>
      <w:r>
        <w:rPr>
          <w:b/>
          <w:bCs/>
          <w:color w:val="1E3A8A"/>
        </w:rPr>
        <w:t xml:space="preserve">To regulators: </w:t>
      </w:r>
      <w:r>
        <w:t>this framework is a deliberate offering of evidentiary structure that satisfies both your obligations and ours. Formal review is invited, and the framework's authors are available to walk through specific aspects with supervisory teams.</w:t>
      </w:r>
    </w:p>
    <w:p w14:paraId="6AAAA740" w14:textId="77777777" w:rsidR="00AA392E" w:rsidRDefault="00000000">
      <w:pPr>
        <w:spacing w:after="120" w:line="320" w:lineRule="auto"/>
        <w:jc w:val="both"/>
      </w:pPr>
      <w:r>
        <w:rPr>
          <w:b/>
          <w:bCs/>
          <w:color w:val="1E3A8A"/>
        </w:rPr>
        <w:t xml:space="preserve">To insurers and underwriters: </w:t>
      </w:r>
      <w:r>
        <w:t>the framework's audit, replay and crypto-shred properties are designed to be the evidence base needed to bind cover with confidence. Collaboration on policy templates and on premium-reduction criteria is invited.</w:t>
      </w:r>
    </w:p>
    <w:p w14:paraId="2FDF29E1" w14:textId="77777777" w:rsidR="00AA392E" w:rsidRDefault="00000000">
      <w:pPr>
        <w:spacing w:after="120" w:line="320" w:lineRule="auto"/>
        <w:jc w:val="both"/>
      </w:pPr>
      <w:r>
        <w:rPr>
          <w:b/>
          <w:bCs/>
          <w:color w:val="1E3A8A"/>
        </w:rPr>
        <w:t xml:space="preserve">To customers: </w:t>
      </w:r>
      <w:r>
        <w:t>ask your vendors which stage of the maturity ladder in section 11.10 they operate at. Make stage three the procurement baseline for any agent that touches your data. Make stage four the procurement baseline for any agent that operates in your regulated work.</w:t>
      </w:r>
    </w:p>
    <w:p w14:paraId="1F56583C" w14:textId="77777777" w:rsidR="00AA392E" w:rsidRDefault="00000000">
      <w:pPr>
        <w:spacing w:after="120" w:line="320" w:lineRule="auto"/>
        <w:jc w:val="both"/>
      </w:pPr>
      <w:r>
        <w:rPr>
          <w:b/>
          <w:bCs/>
          <w:color w:val="1E3A8A"/>
        </w:rPr>
        <w:t xml:space="preserve">To contributors: </w:t>
      </w:r>
      <w:r>
        <w:t>the specification, the reference implementations, the conformance suite and the rulebook library will be hosted in public repositories. Pull requests and issues are how this becomes a movement rather than a paper. The framework will be useful to the extent it is adopted, contributed to and improved by the community.</w:t>
      </w:r>
    </w:p>
    <w:p w14:paraId="4E83B1D0" w14:textId="1252EA31" w:rsidR="00AA392E" w:rsidRDefault="00000000">
      <w:pPr>
        <w:pStyle w:val="Heading1"/>
        <w:pageBreakBefore/>
      </w:pPr>
      <w:bookmarkStart w:id="83" w:name="_Toc228176401"/>
      <w:r>
        <w:lastRenderedPageBreak/>
        <w:t>Appendix A</w:t>
      </w:r>
      <w:r w:rsidR="002A1CAA">
        <w:t>,</w:t>
      </w:r>
      <w:r>
        <w:t xml:space="preserve"> Glossary</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7402"/>
      </w:tblGrid>
      <w:tr w:rsidR="00AA392E" w14:paraId="7FABF114" w14:textId="77777777">
        <w:tblPrEx>
          <w:tblCellMar>
            <w:top w:w="0" w:type="dxa"/>
            <w:bottom w:w="0" w:type="dxa"/>
          </w:tblCellMar>
        </w:tblPrEx>
        <w:trPr>
          <w:tblHeader/>
        </w:trPr>
        <w:tc>
          <w:tcPr>
            <w:tcW w:w="1624"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2D49655C" w14:textId="77777777" w:rsidR="00AA392E" w:rsidRDefault="00000000">
            <w:r>
              <w:rPr>
                <w:b/>
                <w:bCs/>
                <w:color w:val="FFFFFF"/>
              </w:rPr>
              <w:t>Term</w:t>
            </w:r>
          </w:p>
        </w:tc>
        <w:tc>
          <w:tcPr>
            <w:tcW w:w="7402"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73C24A5E" w14:textId="77777777" w:rsidR="00AA392E" w:rsidRDefault="00000000">
            <w:r>
              <w:rPr>
                <w:b/>
                <w:bCs/>
                <w:color w:val="FFFFFF"/>
              </w:rPr>
              <w:t>Definition</w:t>
            </w:r>
          </w:p>
        </w:tc>
      </w:tr>
      <w:tr w:rsidR="00AA392E" w14:paraId="3562B558"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24C9311" w14:textId="77777777" w:rsidR="00AA392E" w:rsidRDefault="00000000">
            <w:pPr>
              <w:spacing w:line="280" w:lineRule="auto"/>
            </w:pPr>
            <w:r>
              <w:rPr>
                <w:sz w:val="21"/>
                <w:szCs w:val="21"/>
              </w:rPr>
              <w:t>Agent</w:t>
            </w:r>
          </w:p>
        </w:tc>
        <w:tc>
          <w:tcPr>
            <w:tcW w:w="740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EB29DF6" w14:textId="77777777" w:rsidR="00AA392E" w:rsidRDefault="00000000">
            <w:pPr>
              <w:spacing w:line="280" w:lineRule="auto"/>
            </w:pPr>
            <w:r>
              <w:rPr>
                <w:sz w:val="21"/>
                <w:szCs w:val="21"/>
              </w:rPr>
              <w:t>A software actor with stable identity, declared purpose, bounded capabilities, the ability to call tools and other agents, and a recorded behavioural history.</w:t>
            </w:r>
          </w:p>
        </w:tc>
      </w:tr>
      <w:tr w:rsidR="00AA392E" w14:paraId="4F2AF3AB"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6D3CCAF" w14:textId="77777777" w:rsidR="00AA392E" w:rsidRDefault="00000000">
            <w:pPr>
              <w:spacing w:line="280" w:lineRule="auto"/>
            </w:pPr>
            <w:r>
              <w:rPr>
                <w:sz w:val="21"/>
                <w:szCs w:val="21"/>
              </w:rPr>
              <w:t>ABOM</w:t>
            </w:r>
          </w:p>
        </w:tc>
        <w:tc>
          <w:tcPr>
            <w:tcW w:w="7402"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66015A4" w14:textId="1A252D3C" w:rsidR="00AA392E" w:rsidRDefault="00000000">
            <w:pPr>
              <w:spacing w:line="280" w:lineRule="auto"/>
            </w:pPr>
            <w:r>
              <w:rPr>
                <w:sz w:val="21"/>
                <w:szCs w:val="21"/>
              </w:rPr>
              <w:t>Agent Bill of Materials</w:t>
            </w:r>
            <w:r w:rsidR="002A1CAA">
              <w:rPr>
                <w:sz w:val="21"/>
                <w:szCs w:val="21"/>
              </w:rPr>
              <w:t>,</w:t>
            </w:r>
            <w:r>
              <w:rPr>
                <w:sz w:val="21"/>
                <w:szCs w:val="21"/>
              </w:rPr>
              <w:t xml:space="preserve"> signed manifest of the model, prompt, tools, skills, dependencies and rulebooks that compose a specific agent.</w:t>
            </w:r>
          </w:p>
        </w:tc>
      </w:tr>
      <w:tr w:rsidR="00AA392E" w14:paraId="520D434D"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3DD2BEB6" w14:textId="77777777" w:rsidR="00AA392E" w:rsidRDefault="00000000">
            <w:pPr>
              <w:spacing w:line="280" w:lineRule="auto"/>
            </w:pPr>
            <w:r>
              <w:rPr>
                <w:sz w:val="21"/>
                <w:szCs w:val="21"/>
              </w:rPr>
              <w:t>Blessing</w:t>
            </w:r>
          </w:p>
        </w:tc>
        <w:tc>
          <w:tcPr>
            <w:tcW w:w="740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8EB32EB" w14:textId="77777777" w:rsidR="00AA392E" w:rsidRDefault="00000000">
            <w:pPr>
              <w:spacing w:line="280" w:lineRule="auto"/>
            </w:pPr>
            <w:r>
              <w:rPr>
                <w:sz w:val="21"/>
                <w:szCs w:val="21"/>
              </w:rPr>
              <w:t>Earned credential evidencing demonstrated competence; signed as a Verifiable Credential; expirable; revocable.</w:t>
            </w:r>
          </w:p>
        </w:tc>
      </w:tr>
      <w:tr w:rsidR="00AA392E" w14:paraId="0065698F"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61DBCA52" w14:textId="77777777" w:rsidR="00AA392E" w:rsidRDefault="00000000">
            <w:pPr>
              <w:spacing w:line="280" w:lineRule="auto"/>
            </w:pPr>
            <w:r>
              <w:rPr>
                <w:sz w:val="21"/>
                <w:szCs w:val="21"/>
              </w:rPr>
              <w:t>Capability</w:t>
            </w:r>
          </w:p>
        </w:tc>
        <w:tc>
          <w:tcPr>
            <w:tcW w:w="7402"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47ED9477" w14:textId="77777777" w:rsidR="00AA392E" w:rsidRDefault="00000000">
            <w:pPr>
              <w:spacing w:line="280" w:lineRule="auto"/>
            </w:pPr>
            <w:r>
              <w:rPr>
                <w:sz w:val="21"/>
                <w:szCs w:val="21"/>
              </w:rPr>
              <w:t xml:space="preserve">A single, narrow permission such as </w:t>
            </w:r>
            <w:proofErr w:type="spellStart"/>
            <w:r>
              <w:rPr>
                <w:sz w:val="21"/>
                <w:szCs w:val="21"/>
              </w:rPr>
              <w:t>cap.attio.people.read</w:t>
            </w:r>
            <w:proofErr w:type="spellEnd"/>
            <w:r>
              <w:rPr>
                <w:sz w:val="21"/>
                <w:szCs w:val="21"/>
              </w:rPr>
              <w:t>. Composable, scope-bound.</w:t>
            </w:r>
          </w:p>
        </w:tc>
      </w:tr>
      <w:tr w:rsidR="00AA392E" w14:paraId="2708CF97"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4D8F3BA3" w14:textId="77777777" w:rsidR="00AA392E" w:rsidRDefault="00000000">
            <w:pPr>
              <w:spacing w:line="280" w:lineRule="auto"/>
            </w:pPr>
            <w:r>
              <w:rPr>
                <w:sz w:val="21"/>
                <w:szCs w:val="21"/>
              </w:rPr>
              <w:t>DID</w:t>
            </w:r>
          </w:p>
        </w:tc>
        <w:tc>
          <w:tcPr>
            <w:tcW w:w="740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AEFA7E6" w14:textId="3606F858" w:rsidR="00AA392E" w:rsidRDefault="00000000">
            <w:pPr>
              <w:spacing w:line="280" w:lineRule="auto"/>
            </w:pPr>
            <w:r>
              <w:rPr>
                <w:sz w:val="21"/>
                <w:szCs w:val="21"/>
              </w:rPr>
              <w:t>W3C Decentralized Identifier</w:t>
            </w:r>
            <w:r w:rsidR="002A1CAA">
              <w:rPr>
                <w:sz w:val="21"/>
                <w:szCs w:val="21"/>
              </w:rPr>
              <w:t>,</w:t>
            </w:r>
            <w:r>
              <w:rPr>
                <w:sz w:val="21"/>
                <w:szCs w:val="21"/>
              </w:rPr>
              <w:t xml:space="preserve"> a portable, resolvable identifier independent of any single registry.</w:t>
            </w:r>
          </w:p>
        </w:tc>
      </w:tr>
      <w:tr w:rsidR="00AA392E" w14:paraId="2D84B852"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8108DB4" w14:textId="77777777" w:rsidR="00AA392E" w:rsidRDefault="00000000">
            <w:pPr>
              <w:spacing w:line="280" w:lineRule="auto"/>
            </w:pPr>
            <w:r>
              <w:rPr>
                <w:sz w:val="21"/>
                <w:szCs w:val="21"/>
              </w:rPr>
              <w:t>Lineage</w:t>
            </w:r>
          </w:p>
        </w:tc>
        <w:tc>
          <w:tcPr>
            <w:tcW w:w="7402"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4E18EE8F" w14:textId="77777777" w:rsidR="00AA392E" w:rsidRDefault="00000000">
            <w:pPr>
              <w:spacing w:line="280" w:lineRule="auto"/>
            </w:pPr>
            <w:r>
              <w:rPr>
                <w:sz w:val="21"/>
                <w:szCs w:val="21"/>
              </w:rPr>
              <w:t xml:space="preserve">Parent, child, mentor and delegator relationships among agents; </w:t>
            </w:r>
            <w:proofErr w:type="spellStart"/>
            <w:r>
              <w:rPr>
                <w:sz w:val="21"/>
                <w:szCs w:val="21"/>
              </w:rPr>
              <w:t>queryable</w:t>
            </w:r>
            <w:proofErr w:type="spellEnd"/>
            <w:r>
              <w:rPr>
                <w:sz w:val="21"/>
                <w:szCs w:val="21"/>
              </w:rPr>
              <w:t xml:space="preserve"> as a first-class graph.</w:t>
            </w:r>
          </w:p>
        </w:tc>
      </w:tr>
      <w:tr w:rsidR="00AA392E" w14:paraId="62C5E1BE"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79FE97F" w14:textId="77777777" w:rsidR="00AA392E" w:rsidRDefault="00000000">
            <w:pPr>
              <w:spacing w:line="280" w:lineRule="auto"/>
            </w:pPr>
            <w:r>
              <w:rPr>
                <w:sz w:val="21"/>
                <w:szCs w:val="21"/>
              </w:rPr>
              <w:t>Mode</w:t>
            </w:r>
          </w:p>
        </w:tc>
        <w:tc>
          <w:tcPr>
            <w:tcW w:w="740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CCD8075" w14:textId="77777777" w:rsidR="00AA392E" w:rsidRDefault="00000000">
            <w:pPr>
              <w:spacing w:line="280" w:lineRule="auto"/>
            </w:pPr>
            <w:r>
              <w:rPr>
                <w:sz w:val="21"/>
                <w:szCs w:val="21"/>
              </w:rPr>
              <w:t>Per-action classification: human-led, human-intervened or autonomous.</w:t>
            </w:r>
          </w:p>
        </w:tc>
      </w:tr>
      <w:tr w:rsidR="00AA392E" w14:paraId="7104E5B2"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C721CAC" w14:textId="77777777" w:rsidR="00AA392E" w:rsidRDefault="00000000">
            <w:pPr>
              <w:spacing w:line="280" w:lineRule="auto"/>
            </w:pPr>
            <w:r>
              <w:rPr>
                <w:sz w:val="21"/>
                <w:szCs w:val="21"/>
              </w:rPr>
              <w:t>Rulebook</w:t>
            </w:r>
          </w:p>
        </w:tc>
        <w:tc>
          <w:tcPr>
            <w:tcW w:w="7402"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20C2ECD8" w14:textId="77777777" w:rsidR="00AA392E" w:rsidRDefault="00000000">
            <w:pPr>
              <w:spacing w:line="280" w:lineRule="auto"/>
            </w:pPr>
            <w:r>
              <w:rPr>
                <w:sz w:val="21"/>
                <w:szCs w:val="21"/>
              </w:rPr>
              <w:t>A codified, versioned, attestable statement of operational rules with enforcement-layer binding and evidence-event binding.</w:t>
            </w:r>
          </w:p>
        </w:tc>
      </w:tr>
      <w:tr w:rsidR="00AA392E" w14:paraId="78228179"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3ECC596" w14:textId="77777777" w:rsidR="00AA392E" w:rsidRDefault="00000000">
            <w:pPr>
              <w:spacing w:line="280" w:lineRule="auto"/>
            </w:pPr>
            <w:proofErr w:type="spellStart"/>
            <w:r>
              <w:rPr>
                <w:sz w:val="21"/>
                <w:szCs w:val="21"/>
              </w:rPr>
              <w:t>SoR</w:t>
            </w:r>
            <w:proofErr w:type="spellEnd"/>
          </w:p>
        </w:tc>
        <w:tc>
          <w:tcPr>
            <w:tcW w:w="7402"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0D65094D" w14:textId="698D939C" w:rsidR="00AA392E" w:rsidRDefault="00000000">
            <w:pPr>
              <w:spacing w:line="280" w:lineRule="auto"/>
            </w:pPr>
            <w:r>
              <w:rPr>
                <w:sz w:val="21"/>
                <w:szCs w:val="21"/>
              </w:rPr>
              <w:t>System of Record</w:t>
            </w:r>
            <w:r w:rsidR="002A1CAA">
              <w:rPr>
                <w:sz w:val="21"/>
                <w:szCs w:val="21"/>
              </w:rPr>
              <w:t>,</w:t>
            </w:r>
            <w:r>
              <w:rPr>
                <w:sz w:val="21"/>
                <w:szCs w:val="21"/>
              </w:rPr>
              <w:t xml:space="preserve"> the master agent identity provider.</w:t>
            </w:r>
          </w:p>
        </w:tc>
      </w:tr>
      <w:tr w:rsidR="00AA392E" w14:paraId="62AF6D14" w14:textId="77777777">
        <w:tblPrEx>
          <w:tblCellMar>
            <w:top w:w="0" w:type="dxa"/>
            <w:bottom w:w="0" w:type="dxa"/>
          </w:tblCellMar>
        </w:tblPrEx>
        <w:tc>
          <w:tcPr>
            <w:tcW w:w="1624"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5ECDE921" w14:textId="77777777" w:rsidR="00AA392E" w:rsidRDefault="00000000">
            <w:pPr>
              <w:spacing w:line="280" w:lineRule="auto"/>
            </w:pPr>
            <w:r>
              <w:rPr>
                <w:sz w:val="21"/>
                <w:szCs w:val="21"/>
              </w:rPr>
              <w:t>VC</w:t>
            </w:r>
          </w:p>
        </w:tc>
        <w:tc>
          <w:tcPr>
            <w:tcW w:w="7402" w:type="dxa"/>
            <w:tcBorders>
              <w:top w:val="single" w:sz="4" w:space="0" w:color="CBD5E1"/>
              <w:left w:val="single" w:sz="4" w:space="0" w:color="CBD5E1"/>
              <w:bottom w:val="single" w:sz="4" w:space="0" w:color="CBD5E1"/>
              <w:right w:val="single" w:sz="4" w:space="0" w:color="CBD5E1"/>
            </w:tcBorders>
            <w:shd w:val="clear" w:color="auto" w:fill="F1F5F9"/>
            <w:tcMar>
              <w:top w:w="100" w:type="dxa"/>
              <w:left w:w="140" w:type="dxa"/>
              <w:bottom w:w="100" w:type="dxa"/>
              <w:right w:w="140" w:type="dxa"/>
            </w:tcMar>
          </w:tcPr>
          <w:p w14:paraId="1C757FAA" w14:textId="6F073D0C" w:rsidR="00AA392E" w:rsidRDefault="00000000">
            <w:pPr>
              <w:spacing w:line="280" w:lineRule="auto"/>
            </w:pPr>
            <w:r>
              <w:rPr>
                <w:sz w:val="21"/>
                <w:szCs w:val="21"/>
              </w:rPr>
              <w:t>W3C Verifiable Credential</w:t>
            </w:r>
            <w:r w:rsidR="002A1CAA">
              <w:rPr>
                <w:sz w:val="21"/>
                <w:szCs w:val="21"/>
              </w:rPr>
              <w:t>,</w:t>
            </w:r>
            <w:r>
              <w:rPr>
                <w:sz w:val="21"/>
                <w:szCs w:val="21"/>
              </w:rPr>
              <w:t xml:space="preserve"> a signed, selectively-disclosed claim.</w:t>
            </w:r>
          </w:p>
        </w:tc>
      </w:tr>
    </w:tbl>
    <w:p w14:paraId="7EF88DAD" w14:textId="77777777" w:rsidR="00AA392E" w:rsidRDefault="00AA392E">
      <w:pPr>
        <w:spacing w:after="160"/>
      </w:pPr>
    </w:p>
    <w:p w14:paraId="206017E4" w14:textId="265D8B46" w:rsidR="00AA392E" w:rsidRDefault="00000000">
      <w:pPr>
        <w:pStyle w:val="Heading1"/>
        <w:pageBreakBefore/>
      </w:pPr>
      <w:bookmarkStart w:id="84" w:name="_Toc228176402"/>
      <w:r>
        <w:lastRenderedPageBreak/>
        <w:t>Appendix B</w:t>
      </w:r>
      <w:r w:rsidR="002A1CAA">
        <w:t>,</w:t>
      </w:r>
      <w:r>
        <w:t xml:space="preserve"> Standards Referenced</w:t>
      </w:r>
      <w:bookmarkEnd w:id="84"/>
    </w:p>
    <w:p w14:paraId="21814AFD" w14:textId="77777777" w:rsidR="00AA392E" w:rsidRDefault="00000000">
      <w:pPr>
        <w:spacing w:after="120" w:line="320" w:lineRule="auto"/>
        <w:jc w:val="both"/>
      </w:pPr>
      <w:r>
        <w:t xml:space="preserve">The framework references and builds on the following standards: W3C DID Core 1.0; W3C Verifiable Credentials 2.0; W3C Trace Context; OAuth 2.1; OpenID Connect; SPIFFE / SPIRE; </w:t>
      </w:r>
      <w:proofErr w:type="spellStart"/>
      <w:r>
        <w:t>OpenTelemetry</w:t>
      </w:r>
      <w:proofErr w:type="spellEnd"/>
      <w:r>
        <w:t xml:space="preserve">; RFC 8392 (CWT); RFC 9162 (Certificate Transparency log structure); ISO/IEC 27001; ISO/IEC 27701; ISO/IEC 42001; the NIST AI Risk Management Framework 1.0; the EU AI Act (Regulation 2024/1689); the General Data Protection Regulation; the UK Data Protection Act 2018; HIPAA; PCI-DSS; the US Federal Reserve's SR 11-7 model risk management guidance; the Financial Conduct Authority's SYSC handbook; the Model Context Protocol; and </w:t>
      </w:r>
      <w:proofErr w:type="spellStart"/>
      <w:r>
        <w:t>OpenAPI</w:t>
      </w:r>
      <w:proofErr w:type="spellEnd"/>
      <w:r>
        <w:t xml:space="preserve"> 3.1.</w:t>
      </w:r>
    </w:p>
    <w:p w14:paraId="7826987C" w14:textId="3D383F94" w:rsidR="00AA392E" w:rsidRDefault="00000000">
      <w:pPr>
        <w:pStyle w:val="Heading1"/>
        <w:pageBreakBefore/>
      </w:pPr>
      <w:bookmarkStart w:id="85" w:name="_Toc228176403"/>
      <w:r>
        <w:lastRenderedPageBreak/>
        <w:t>Appendix C</w:t>
      </w:r>
      <w:r w:rsidR="002A1CAA">
        <w:t>,</w:t>
      </w:r>
      <w:r>
        <w:t xml:space="preserve"> Versioning</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444"/>
        <w:gridCol w:w="1263"/>
        <w:gridCol w:w="5236"/>
      </w:tblGrid>
      <w:tr w:rsidR="00AA392E" w14:paraId="463ADF68" w14:textId="77777777">
        <w:tblPrEx>
          <w:tblCellMar>
            <w:top w:w="0" w:type="dxa"/>
            <w:bottom w:w="0" w:type="dxa"/>
          </w:tblCellMar>
        </w:tblPrEx>
        <w:trPr>
          <w:tblHeader/>
        </w:trPr>
        <w:tc>
          <w:tcPr>
            <w:tcW w:w="1083"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7BB4BF4F" w14:textId="77777777" w:rsidR="00AA392E" w:rsidRDefault="00000000">
            <w:r>
              <w:rPr>
                <w:b/>
                <w:bCs/>
                <w:color w:val="FFFFFF"/>
              </w:rPr>
              <w:t>Version</w:t>
            </w:r>
          </w:p>
        </w:tc>
        <w:tc>
          <w:tcPr>
            <w:tcW w:w="1444"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601C3A0D" w14:textId="77777777" w:rsidR="00AA392E" w:rsidRDefault="00000000">
            <w:r>
              <w:rPr>
                <w:b/>
                <w:bCs/>
                <w:color w:val="FFFFFF"/>
              </w:rPr>
              <w:t>Date</w:t>
            </w:r>
          </w:p>
        </w:tc>
        <w:tc>
          <w:tcPr>
            <w:tcW w:w="1263"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35EBE468" w14:textId="77777777" w:rsidR="00AA392E" w:rsidRDefault="00000000">
            <w:r>
              <w:rPr>
                <w:b/>
                <w:bCs/>
                <w:color w:val="FFFFFF"/>
              </w:rPr>
              <w:t>Status</w:t>
            </w:r>
          </w:p>
        </w:tc>
        <w:tc>
          <w:tcPr>
            <w:tcW w:w="5236" w:type="dxa"/>
            <w:tcBorders>
              <w:top w:val="single" w:sz="4" w:space="0" w:color="1E3A8A"/>
              <w:left w:val="single" w:sz="4" w:space="0" w:color="1E3A8A"/>
              <w:bottom w:val="single" w:sz="4" w:space="0" w:color="1E3A8A"/>
              <w:right w:val="single" w:sz="4" w:space="0" w:color="1E3A8A"/>
            </w:tcBorders>
            <w:shd w:val="clear" w:color="auto" w:fill="1E3A8A"/>
            <w:tcMar>
              <w:top w:w="120" w:type="dxa"/>
              <w:left w:w="140" w:type="dxa"/>
              <w:bottom w:w="120" w:type="dxa"/>
              <w:right w:w="140" w:type="dxa"/>
            </w:tcMar>
            <w:vAlign w:val="center"/>
          </w:tcPr>
          <w:p w14:paraId="35A641E6" w14:textId="77777777" w:rsidR="00AA392E" w:rsidRDefault="00000000">
            <w:r>
              <w:rPr>
                <w:b/>
                <w:bCs/>
                <w:color w:val="FFFFFF"/>
              </w:rPr>
              <w:t>Notes</w:t>
            </w:r>
          </w:p>
        </w:tc>
      </w:tr>
      <w:tr w:rsidR="00AA392E" w14:paraId="46BE8F38" w14:textId="77777777">
        <w:tblPrEx>
          <w:tblCellMar>
            <w:top w:w="0" w:type="dxa"/>
            <w:bottom w:w="0" w:type="dxa"/>
          </w:tblCellMar>
        </w:tblPrEx>
        <w:tc>
          <w:tcPr>
            <w:tcW w:w="108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5B99843A" w14:textId="77777777" w:rsidR="00AA392E" w:rsidRDefault="00000000">
            <w:pPr>
              <w:spacing w:line="280" w:lineRule="auto"/>
            </w:pPr>
            <w:r>
              <w:rPr>
                <w:sz w:val="21"/>
                <w:szCs w:val="21"/>
              </w:rPr>
              <w:t>0.1</w:t>
            </w:r>
          </w:p>
        </w:tc>
        <w:tc>
          <w:tcPr>
            <w:tcW w:w="1444"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2B72910B" w14:textId="77777777" w:rsidR="00AA392E" w:rsidRDefault="00000000">
            <w:pPr>
              <w:spacing w:line="280" w:lineRule="auto"/>
            </w:pPr>
            <w:r>
              <w:rPr>
                <w:sz w:val="21"/>
                <w:szCs w:val="21"/>
              </w:rPr>
              <w:t>April 2026</w:t>
            </w:r>
          </w:p>
        </w:tc>
        <w:tc>
          <w:tcPr>
            <w:tcW w:w="1263"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65332304" w14:textId="77777777" w:rsidR="00AA392E" w:rsidRDefault="00000000">
            <w:pPr>
              <w:spacing w:line="280" w:lineRule="auto"/>
            </w:pPr>
            <w:r>
              <w:rPr>
                <w:sz w:val="21"/>
                <w:szCs w:val="21"/>
              </w:rPr>
              <w:t>Draft</w:t>
            </w:r>
          </w:p>
        </w:tc>
        <w:tc>
          <w:tcPr>
            <w:tcW w:w="5236" w:type="dxa"/>
            <w:tcBorders>
              <w:top w:val="single" w:sz="4" w:space="0" w:color="CBD5E1"/>
              <w:left w:val="single" w:sz="4" w:space="0" w:color="CBD5E1"/>
              <w:bottom w:val="single" w:sz="4" w:space="0" w:color="CBD5E1"/>
              <w:right w:val="single" w:sz="4" w:space="0" w:color="CBD5E1"/>
            </w:tcBorders>
            <w:tcMar>
              <w:top w:w="100" w:type="dxa"/>
              <w:left w:w="140" w:type="dxa"/>
              <w:bottom w:w="100" w:type="dxa"/>
              <w:right w:w="140" w:type="dxa"/>
            </w:tcMar>
          </w:tcPr>
          <w:p w14:paraId="75D3505A" w14:textId="77777777" w:rsidR="00AA392E" w:rsidRDefault="00000000">
            <w:pPr>
              <w:spacing w:line="280" w:lineRule="auto"/>
            </w:pPr>
            <w:r>
              <w:rPr>
                <w:sz w:val="21"/>
                <w:szCs w:val="21"/>
              </w:rPr>
              <w:t>Initial public draft. Open for review and contribution.</w:t>
            </w:r>
          </w:p>
        </w:tc>
      </w:tr>
    </w:tbl>
    <w:p w14:paraId="1789415F" w14:textId="77777777" w:rsidR="00AA392E" w:rsidRDefault="00AA392E">
      <w:pPr>
        <w:spacing w:after="200"/>
      </w:pPr>
    </w:p>
    <w:p w14:paraId="079D8DD1" w14:textId="77777777" w:rsidR="00AA392E" w:rsidRDefault="00AA392E">
      <w:pPr>
        <w:pBdr>
          <w:top w:val="single" w:sz="6" w:space="1" w:color="94A3B8"/>
        </w:pBdr>
        <w:spacing w:before="320"/>
      </w:pPr>
    </w:p>
    <w:p w14:paraId="42563629" w14:textId="77777777" w:rsidR="00AA392E" w:rsidRDefault="00000000">
      <w:pPr>
        <w:spacing w:before="240"/>
        <w:jc w:val="center"/>
      </w:pPr>
      <w:r>
        <w:rPr>
          <w:i/>
          <w:iCs/>
          <w:color w:val="4B5563"/>
          <w:sz w:val="20"/>
          <w:szCs w:val="20"/>
        </w:rPr>
        <w:t>This framework is offered openly. It will be useful to the extent it is adopted, contributed to and improved by the community. Pull requests welcome.</w:t>
      </w:r>
    </w:p>
    <w:sectPr w:rsidR="00AA392E">
      <w:headerReference w:type="default" r:id="rId17"/>
      <w:footerReference w:type="default" r:id="rId18"/>
      <w:headerReference w:type="first" r:id="rId19"/>
      <w:footerReference w:type="first" r:id="rId2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84915" w14:textId="77777777" w:rsidR="008744D4" w:rsidRDefault="008744D4">
      <w:r>
        <w:separator/>
      </w:r>
    </w:p>
  </w:endnote>
  <w:endnote w:type="continuationSeparator" w:id="0">
    <w:p w14:paraId="0C072091" w14:textId="77777777" w:rsidR="008744D4" w:rsidRDefault="00874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3F4B" w14:textId="77777777" w:rsidR="00AA392E" w:rsidRDefault="00000000">
    <w:pPr>
      <w:pBdr>
        <w:top w:val="single" w:sz="4" w:space="6" w:color="94A3B8"/>
      </w:pBdr>
      <w:tabs>
        <w:tab w:val="right" w:pos="9026"/>
      </w:tabs>
    </w:pPr>
    <w:r>
      <w:rPr>
        <w:color w:val="4B5563"/>
        <w:sz w:val="18"/>
        <w:szCs w:val="18"/>
      </w:rPr>
      <w:t>Open Specification  ·  CC-BY-SA 4.0</w:t>
    </w:r>
    <w:r>
      <w:tab/>
    </w:r>
    <w:r>
      <w:rPr>
        <w:color w:val="4B5563"/>
        <w:sz w:val="18"/>
        <w:szCs w:val="18"/>
      </w:rPr>
      <w:t xml:space="preserve">Page </w:t>
    </w:r>
    <w:r>
      <w:rPr>
        <w:color w:val="4B5563"/>
        <w:sz w:val="18"/>
        <w:szCs w:val="18"/>
      </w:rPr>
      <w:fldChar w:fldCharType="begin"/>
    </w:r>
    <w:r>
      <w:rPr>
        <w:color w:val="4B5563"/>
        <w:sz w:val="18"/>
        <w:szCs w:val="18"/>
      </w:rPr>
      <w:instrText>PAGE</w:instrText>
    </w:r>
    <w:r>
      <w:rPr>
        <w:color w:val="4B5563"/>
        <w:sz w:val="18"/>
        <w:szCs w:val="18"/>
      </w:rPr>
      <w:fldChar w:fldCharType="separate"/>
    </w:r>
    <w:r w:rsidR="002A1CAA">
      <w:rPr>
        <w:noProof/>
        <w:color w:val="4B5563"/>
        <w:sz w:val="18"/>
        <w:szCs w:val="18"/>
      </w:rPr>
      <w:t>2</w:t>
    </w:r>
    <w:r>
      <w:rPr>
        <w:color w:val="4B5563"/>
        <w:sz w:val="18"/>
        <w:szCs w:val="18"/>
      </w:rPr>
      <w:fldChar w:fldCharType="end"/>
    </w:r>
    <w:r>
      <w:rPr>
        <w:color w:val="4B5563"/>
        <w:sz w:val="18"/>
        <w:szCs w:val="18"/>
      </w:rPr>
      <w:t xml:space="preserve"> of </w:t>
    </w:r>
    <w:r>
      <w:rPr>
        <w:color w:val="4B5563"/>
        <w:sz w:val="18"/>
        <w:szCs w:val="18"/>
      </w:rPr>
      <w:fldChar w:fldCharType="begin"/>
    </w:r>
    <w:r>
      <w:rPr>
        <w:color w:val="4B5563"/>
        <w:sz w:val="18"/>
        <w:szCs w:val="18"/>
      </w:rPr>
      <w:instrText>NUMPAGES</w:instrText>
    </w:r>
    <w:r>
      <w:rPr>
        <w:color w:val="4B5563"/>
        <w:sz w:val="18"/>
        <w:szCs w:val="18"/>
      </w:rPr>
      <w:fldChar w:fldCharType="separate"/>
    </w:r>
    <w:r w:rsidR="002A1CAA">
      <w:rPr>
        <w:noProof/>
        <w:color w:val="4B5563"/>
        <w:sz w:val="18"/>
        <w:szCs w:val="18"/>
      </w:rPr>
      <w:t>3</w:t>
    </w:r>
    <w:r>
      <w:rPr>
        <w:color w:val="4B5563"/>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D28E9" w14:textId="77777777" w:rsidR="00AA392E" w:rsidRDefault="00AA39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182C2" w14:textId="77777777" w:rsidR="008744D4" w:rsidRDefault="008744D4">
      <w:r>
        <w:separator/>
      </w:r>
    </w:p>
  </w:footnote>
  <w:footnote w:type="continuationSeparator" w:id="0">
    <w:p w14:paraId="0911BDDF" w14:textId="77777777" w:rsidR="008744D4" w:rsidRDefault="00874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DF1B" w14:textId="77777777" w:rsidR="00AA392E" w:rsidRDefault="00000000">
    <w:pPr>
      <w:pBdr>
        <w:bottom w:val="single" w:sz="4" w:space="6" w:color="94A3B8"/>
      </w:pBdr>
      <w:tabs>
        <w:tab w:val="right" w:pos="9026"/>
      </w:tabs>
    </w:pPr>
    <w:r>
      <w:rPr>
        <w:color w:val="4B5563"/>
        <w:sz w:val="18"/>
        <w:szCs w:val="18"/>
      </w:rPr>
      <w:t>The Agent Identity Framework</w:t>
    </w:r>
    <w:r>
      <w:tab/>
    </w:r>
    <w:r>
      <w:rPr>
        <w:color w:val="4B5563"/>
        <w:sz w:val="18"/>
        <w:szCs w:val="18"/>
      </w:rPr>
      <w:t>Verax Venture Studio  ·  v0.1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8A28" w14:textId="77777777" w:rsidR="00AA392E" w:rsidRDefault="00AA39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31ACF"/>
    <w:multiLevelType w:val="hybridMultilevel"/>
    <w:tmpl w:val="61881BC2"/>
    <w:lvl w:ilvl="0" w:tplc="4EC2EEAE">
      <w:start w:val="1"/>
      <w:numFmt w:val="bullet"/>
      <w:lvlText w:val="●"/>
      <w:lvlJc w:val="left"/>
      <w:pPr>
        <w:ind w:left="720" w:hanging="360"/>
      </w:pPr>
    </w:lvl>
    <w:lvl w:ilvl="1" w:tplc="30EC4AF6">
      <w:start w:val="1"/>
      <w:numFmt w:val="bullet"/>
      <w:lvlText w:val="○"/>
      <w:lvlJc w:val="left"/>
      <w:pPr>
        <w:ind w:left="1440" w:hanging="360"/>
      </w:pPr>
    </w:lvl>
    <w:lvl w:ilvl="2" w:tplc="2C4842B6">
      <w:start w:val="1"/>
      <w:numFmt w:val="bullet"/>
      <w:lvlText w:val="■"/>
      <w:lvlJc w:val="left"/>
      <w:pPr>
        <w:ind w:left="2160" w:hanging="360"/>
      </w:pPr>
    </w:lvl>
    <w:lvl w:ilvl="3" w:tplc="C8481AA4">
      <w:start w:val="1"/>
      <w:numFmt w:val="bullet"/>
      <w:lvlText w:val="●"/>
      <w:lvlJc w:val="left"/>
      <w:pPr>
        <w:ind w:left="2880" w:hanging="360"/>
      </w:pPr>
    </w:lvl>
    <w:lvl w:ilvl="4" w:tplc="66A2CC16">
      <w:start w:val="1"/>
      <w:numFmt w:val="bullet"/>
      <w:lvlText w:val="○"/>
      <w:lvlJc w:val="left"/>
      <w:pPr>
        <w:ind w:left="3600" w:hanging="360"/>
      </w:pPr>
    </w:lvl>
    <w:lvl w:ilvl="5" w:tplc="2460BDC8">
      <w:start w:val="1"/>
      <w:numFmt w:val="bullet"/>
      <w:lvlText w:val="■"/>
      <w:lvlJc w:val="left"/>
      <w:pPr>
        <w:ind w:left="4320" w:hanging="360"/>
      </w:pPr>
    </w:lvl>
    <w:lvl w:ilvl="6" w:tplc="5A586954">
      <w:start w:val="1"/>
      <w:numFmt w:val="bullet"/>
      <w:lvlText w:val="●"/>
      <w:lvlJc w:val="left"/>
      <w:pPr>
        <w:ind w:left="5040" w:hanging="360"/>
      </w:pPr>
    </w:lvl>
    <w:lvl w:ilvl="7" w:tplc="5CE0766C">
      <w:start w:val="1"/>
      <w:numFmt w:val="bullet"/>
      <w:lvlText w:val="●"/>
      <w:lvlJc w:val="left"/>
      <w:pPr>
        <w:ind w:left="5760" w:hanging="360"/>
      </w:pPr>
    </w:lvl>
    <w:lvl w:ilvl="8" w:tplc="A6767292">
      <w:start w:val="1"/>
      <w:numFmt w:val="bullet"/>
      <w:lvlText w:val="●"/>
      <w:lvlJc w:val="left"/>
      <w:pPr>
        <w:ind w:left="6480" w:hanging="360"/>
      </w:pPr>
    </w:lvl>
  </w:abstractNum>
  <w:abstractNum w:abstractNumId="1" w15:restartNumberingAfterBreak="0">
    <w:nsid w:val="3A6C7AD9"/>
    <w:multiLevelType w:val="hybridMultilevel"/>
    <w:tmpl w:val="3790DBB0"/>
    <w:lvl w:ilvl="0" w:tplc="951E11C2">
      <w:start w:val="1"/>
      <w:numFmt w:val="bullet"/>
      <w:lvlText w:val="•"/>
      <w:lvlJc w:val="left"/>
      <w:pPr>
        <w:ind w:left="720" w:hanging="360"/>
      </w:pPr>
    </w:lvl>
    <w:lvl w:ilvl="1" w:tplc="89EEF390">
      <w:start w:val="1"/>
      <w:numFmt w:val="bullet"/>
      <w:lvlText w:val="◦"/>
      <w:lvlJc w:val="left"/>
      <w:pPr>
        <w:ind w:left="1440" w:hanging="360"/>
      </w:pPr>
    </w:lvl>
    <w:lvl w:ilvl="2" w:tplc="727C75BC">
      <w:numFmt w:val="decimal"/>
      <w:lvlText w:val=""/>
      <w:lvlJc w:val="left"/>
    </w:lvl>
    <w:lvl w:ilvl="3" w:tplc="336C136A">
      <w:numFmt w:val="decimal"/>
      <w:lvlText w:val=""/>
      <w:lvlJc w:val="left"/>
    </w:lvl>
    <w:lvl w:ilvl="4" w:tplc="251AB9DE">
      <w:numFmt w:val="decimal"/>
      <w:lvlText w:val=""/>
      <w:lvlJc w:val="left"/>
    </w:lvl>
    <w:lvl w:ilvl="5" w:tplc="1C705E1C">
      <w:numFmt w:val="decimal"/>
      <w:lvlText w:val=""/>
      <w:lvlJc w:val="left"/>
    </w:lvl>
    <w:lvl w:ilvl="6" w:tplc="DDC8EBAC">
      <w:numFmt w:val="decimal"/>
      <w:lvlText w:val=""/>
      <w:lvlJc w:val="left"/>
    </w:lvl>
    <w:lvl w:ilvl="7" w:tplc="A29E044A">
      <w:numFmt w:val="decimal"/>
      <w:lvlText w:val=""/>
      <w:lvlJc w:val="left"/>
    </w:lvl>
    <w:lvl w:ilvl="8" w:tplc="D5CA47FA">
      <w:numFmt w:val="decimal"/>
      <w:lvlText w:val=""/>
      <w:lvlJc w:val="left"/>
    </w:lvl>
  </w:abstractNum>
  <w:abstractNum w:abstractNumId="2" w15:restartNumberingAfterBreak="0">
    <w:nsid w:val="5423783A"/>
    <w:multiLevelType w:val="hybridMultilevel"/>
    <w:tmpl w:val="31EA67FC"/>
    <w:lvl w:ilvl="0" w:tplc="C77A4476">
      <w:start w:val="1"/>
      <w:numFmt w:val="decimal"/>
      <w:lvlText w:val="%1."/>
      <w:lvlJc w:val="left"/>
      <w:pPr>
        <w:ind w:left="720" w:hanging="360"/>
      </w:pPr>
    </w:lvl>
    <w:lvl w:ilvl="1" w:tplc="EF982D72">
      <w:numFmt w:val="decimal"/>
      <w:lvlText w:val=""/>
      <w:lvlJc w:val="left"/>
    </w:lvl>
    <w:lvl w:ilvl="2" w:tplc="CF3AA358">
      <w:numFmt w:val="decimal"/>
      <w:lvlText w:val=""/>
      <w:lvlJc w:val="left"/>
    </w:lvl>
    <w:lvl w:ilvl="3" w:tplc="EA9A964C">
      <w:numFmt w:val="decimal"/>
      <w:lvlText w:val=""/>
      <w:lvlJc w:val="left"/>
    </w:lvl>
    <w:lvl w:ilvl="4" w:tplc="8442691A">
      <w:numFmt w:val="decimal"/>
      <w:lvlText w:val=""/>
      <w:lvlJc w:val="left"/>
    </w:lvl>
    <w:lvl w:ilvl="5" w:tplc="6D861600">
      <w:numFmt w:val="decimal"/>
      <w:lvlText w:val=""/>
      <w:lvlJc w:val="left"/>
    </w:lvl>
    <w:lvl w:ilvl="6" w:tplc="681ED2E6">
      <w:numFmt w:val="decimal"/>
      <w:lvlText w:val=""/>
      <w:lvlJc w:val="left"/>
    </w:lvl>
    <w:lvl w:ilvl="7" w:tplc="6B02A112">
      <w:numFmt w:val="decimal"/>
      <w:lvlText w:val=""/>
      <w:lvlJc w:val="left"/>
    </w:lvl>
    <w:lvl w:ilvl="8" w:tplc="BB80D034">
      <w:numFmt w:val="decimal"/>
      <w:lvlText w:val=""/>
      <w:lvlJc w:val="left"/>
    </w:lvl>
  </w:abstractNum>
  <w:num w:numId="1" w16cid:durableId="954408973">
    <w:abstractNumId w:val="0"/>
    <w:lvlOverride w:ilvl="0">
      <w:startOverride w:val="1"/>
    </w:lvlOverride>
  </w:num>
  <w:num w:numId="2" w16cid:durableId="1901205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92E"/>
    <w:rsid w:val="002A1CAA"/>
    <w:rsid w:val="004B2CC6"/>
    <w:rsid w:val="008744D4"/>
    <w:rsid w:val="00AA392E"/>
    <w:rsid w:val="00FD0D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5867B"/>
  <w15:docId w15:val="{24D86F15-7AB2-4CDD-B4E1-F97A4D0D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E3A8A"/>
      <w:sz w:val="40"/>
      <w:szCs w:val="40"/>
    </w:rPr>
  </w:style>
  <w:style w:type="paragraph" w:styleId="Heading2">
    <w:name w:val="heading 2"/>
    <w:uiPriority w:val="9"/>
    <w:unhideWhenUsed/>
    <w:qFormat/>
    <w:pPr>
      <w:spacing w:before="320" w:after="160"/>
      <w:outlineLvl w:val="1"/>
    </w:pPr>
    <w:rPr>
      <w:b/>
      <w:bCs/>
      <w:color w:val="1E3A8A"/>
      <w:sz w:val="28"/>
      <w:szCs w:val="28"/>
    </w:rPr>
  </w:style>
  <w:style w:type="paragraph" w:styleId="Heading3">
    <w:name w:val="heading 3"/>
    <w:uiPriority w:val="9"/>
    <w:semiHidden/>
    <w:unhideWhenUsed/>
    <w:qFormat/>
    <w:pPr>
      <w:spacing w:before="24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1CAA"/>
    <w:pPr>
      <w:spacing w:after="100"/>
    </w:pPr>
  </w:style>
  <w:style w:type="paragraph" w:styleId="TOC2">
    <w:name w:val="toc 2"/>
    <w:basedOn w:val="Normal"/>
    <w:next w:val="Normal"/>
    <w:autoRedefine/>
    <w:uiPriority w:val="39"/>
    <w:unhideWhenUsed/>
    <w:rsid w:val="002A1CA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16058</Words>
  <Characters>93141</Characters>
  <Application>Microsoft Office Word</Application>
  <DocSecurity>0</DocSecurity>
  <Lines>1526</Lines>
  <Paragraphs>631</Paragraphs>
  <ScaleCrop>false</ScaleCrop>
  <Company/>
  <LinksUpToDate>false</LinksUpToDate>
  <CharactersWithSpaces>108568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 Identity Framework — Whitepaper</dc:title>
  <dc:creator>Verax Venture Studio</dc:creator>
  <dc:description>An open framework for identity, access, audit, compliance and behavioural defence of autonomous and semi-autonomous AI agents.</dc:description>
  <cp:lastModifiedBy>Anthony Penwright</cp:lastModifiedBy>
  <cp:revision>2</cp:revision>
  <dcterms:created xsi:type="dcterms:W3CDTF">2026-04-27T07:01:00Z</dcterms:created>
  <dcterms:modified xsi:type="dcterms:W3CDTF">2026-04-27T07:01:00Z</dcterms:modified>
</cp:coreProperties>
</file>