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i w:val="0"/>
          <w:color w:val="0A2540"/>
          <w:sz w:val="52"/>
        </w:rPr>
        <w:t>ANTHONY PENWRIGHT</w:t>
      </w:r>
    </w:p>
    <w:p>
      <w:pPr>
        <w:spacing w:after="80"/>
      </w:pPr>
      <w:r>
        <w:rPr>
          <w:rFonts w:ascii="Georgia" w:hAnsi="Georgia"/>
          <w:b w:val="0"/>
          <w:i/>
          <w:color w:val="C8532C"/>
          <w:sz w:val="23"/>
        </w:rPr>
        <w:t>Managing Director  ·  Smart Cities  ·  Digital Infrastructure  ·  Innovation Ecosystems</w:t>
      </w:r>
    </w:p>
    <w:p>
      <w:pPr>
        <w:spacing w:after="120"/>
      </w:pPr>
      <w:r>
        <w:rPr>
          <w:rFonts w:ascii="Calibri" w:hAnsi="Calibri"/>
          <w:b w:val="0"/>
          <w:i w:val="0"/>
          <w:color w:val="555B66"/>
          <w:sz w:val="19"/>
        </w:rPr>
        <w:t>ap@credible.uk.com   ·   +966 533 15 8265   ·   Riyadh, KSA (Premium Resident)   ·   LinkedIn: Anthony Penwright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Professional Profile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11111"/>
          <w:sz w:val="20"/>
        </w:rPr>
        <w:t>Managing Director-level leader with 20+ years across smart city operations, digital infrastructure and innovation ecosystem programmes — author of the Verax Smart Services Advisory, Innovation Ecosystem, Operations Advisory and Value Realisation Office methodologies, with live deployments across UAE, KSA and LATAM. Accountable for £1BN+ programme portfolios at NEOM, Cisco, Wipro and UK Government, having led 40+ smart city and digital infrastructure projects from strategic vision through procurement, delivery and operational handover.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11111"/>
          <w:sz w:val="20"/>
        </w:rPr>
        <w:t>Proven architect of high-performance cross-functional teams (450+ resources), C-suite adviser on IoT/AI/big-data strategy, and experienced navigator of complex regulatory and government approval environments. Deep expertise across cloud infrastructure (Azure, AWS), OT/IT convergence, ERP transformation (SAP, Oracle Fusion, Dynamics 365), cybersecurity and data governance — with extensive GCC/MENA operating experience and a current Riyadh base.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11111"/>
          <w:sz w:val="20"/>
        </w:rPr>
        <w:t>Trusted C-suite advisor who translates complex technical roadmaps into measurable business outcomes. Dual MBA-qualified (Entrepreneurial Action; Artificial Intelligence in progress). PRINCE2 Practitioner · MSP · ITIL v3 · CompTIA Security+ · BTA Blockchain Professional. UK SC / DV eligible (FCO &amp; MoD history).</w:t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Portfolio at a Glance</w:t>
      </w:r>
    </w:p>
    <w:p>
      <w:pPr>
        <w:pBdr>
          <w:bottom w:val="single" w:sz="4" w:space="1" w:color="C9D1DB"/>
        </w:pBdr>
        <w:spacing w:before="0"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i w:val="0"/>
                <w:color w:val="C8532C"/>
                <w:sz w:val="36"/>
              </w:rPr>
              <w:t>£1BN+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i w:val="0"/>
                <w:color w:val="C8532C"/>
                <w:sz w:val="36"/>
              </w:rPr>
              <w:t>40+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i w:val="0"/>
                <w:color w:val="C8532C"/>
                <w:sz w:val="36"/>
              </w:rPr>
              <w:t>20+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i w:val="0"/>
                <w:color w:val="C8532C"/>
                <w:sz w:val="36"/>
              </w:rPr>
              <w:t>450+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i w:val="0"/>
                <w:color w:val="C8532C"/>
                <w:sz w:val="36"/>
              </w:rPr>
              <w:t>9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55B66"/>
                <w:sz w:val="17"/>
              </w:rPr>
              <w:t>Programme value delivered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55B66"/>
                <w:sz w:val="17"/>
              </w:rPr>
              <w:t>Smart city projects led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55B66"/>
                <w:sz w:val="17"/>
              </w:rPr>
              <w:t>Years executive leadership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55B66"/>
                <w:sz w:val="17"/>
              </w:rPr>
              <w:t>Team resources directed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55B66"/>
                <w:sz w:val="17"/>
              </w:rPr>
              <w:t>Director-level roles held</w:t>
            </w:r>
          </w:p>
        </w:tc>
      </w:tr>
    </w:tbl>
    <w:p>
      <w:r>
        <w:br w:type="page"/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How I Add Value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40" w:after="60"/>
      </w:pPr>
      <w:r>
        <w:rPr>
          <w:rFonts w:ascii="Calibri" w:hAnsi="Calibri"/>
          <w:b/>
          <w:i w:val="0"/>
          <w:color w:val="0A2540"/>
          <w:sz w:val="21"/>
        </w:rPr>
        <w:t xml:space="preserve">Strategic Clarity.  </w:t>
      </w:r>
      <w:r>
        <w:rPr>
          <w:rFonts w:ascii="Calibri" w:hAnsi="Calibri"/>
          <w:b w:val="0"/>
          <w:i w:val="0"/>
          <w:color w:val="111111"/>
          <w:sz w:val="20"/>
        </w:rPr>
        <w:t>Cut through complexity with framework-led thinking — translate vision into a sequenced, procurement-ready roadmap that boards, ministers and operators can all act on.</w:t>
      </w:r>
    </w:p>
    <w:p>
      <w:pPr>
        <w:spacing w:before="40" w:after="60"/>
      </w:pPr>
      <w:r>
        <w:rPr>
          <w:rFonts w:ascii="Calibri" w:hAnsi="Calibri"/>
          <w:b/>
          <w:i w:val="0"/>
          <w:color w:val="0A2540"/>
          <w:sz w:val="21"/>
        </w:rPr>
        <w:t xml:space="preserve">Programme Delivery at Scale.  </w:t>
      </w:r>
      <w:r>
        <w:rPr>
          <w:rFonts w:ascii="Calibri" w:hAnsi="Calibri"/>
          <w:b w:val="0"/>
          <w:i w:val="0"/>
          <w:color w:val="111111"/>
          <w:sz w:val="20"/>
        </w:rPr>
        <w:t>Proven track record running £100M–£1BN+ portfolios across 242 sites and 150+ countries — directing 450+ cross-functional resources against hard SLA, uptime and ROI commitments.</w:t>
      </w:r>
    </w:p>
    <w:p>
      <w:pPr>
        <w:spacing w:before="40" w:after="60"/>
      </w:pPr>
      <w:r>
        <w:rPr>
          <w:rFonts w:ascii="Calibri" w:hAnsi="Calibri"/>
          <w:b/>
          <w:i w:val="0"/>
          <w:color w:val="0A2540"/>
          <w:sz w:val="21"/>
        </w:rPr>
        <w:t xml:space="preserve">Framework-Led Advisory.  </w:t>
      </w:r>
      <w:r>
        <w:rPr>
          <w:rFonts w:ascii="Calibri" w:hAnsi="Calibri"/>
          <w:b w:val="0"/>
          <w:i w:val="0"/>
          <w:color w:val="111111"/>
          <w:sz w:val="20"/>
        </w:rPr>
        <w:t>Author of four proprietary methodologies (Smart Services, Ecosystem, Operations, VRO) grounded in ISO 37120/37122, BSI PAS 181, ITU-T L.1600 and IEC 62443.</w:t>
      </w:r>
    </w:p>
    <w:p>
      <w:pPr>
        <w:spacing w:before="40" w:after="60"/>
      </w:pPr>
      <w:r>
        <w:rPr>
          <w:rFonts w:ascii="Calibri" w:hAnsi="Calibri"/>
          <w:b/>
          <w:i w:val="0"/>
          <w:color w:val="0A2540"/>
          <w:sz w:val="21"/>
        </w:rPr>
        <w:t xml:space="preserve">Innovation Ecosystem Building.  </w:t>
      </w:r>
      <w:r>
        <w:rPr>
          <w:rFonts w:ascii="Calibri" w:hAnsi="Calibri"/>
          <w:b w:val="0"/>
          <w:i w:val="0"/>
          <w:color w:val="111111"/>
          <w:sz w:val="20"/>
        </w:rPr>
        <w:t>Build the connective tissue — demand/supply scoring, funnels, PoC-to-scale governance — that turns innovation from theatre into compounding, measurable ROI.</w:t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Sector Coverage</w:t>
      </w:r>
    </w:p>
    <w:p>
      <w:pPr>
        <w:pBdr>
          <w:bottom w:val="single" w:sz="4" w:space="1" w:color="C9D1DB"/>
        </w:pBd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Smart Cities — Greenfield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Smart Cities — Brownfield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Airports &amp; Aviation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Ports &amp; Maritime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Industrial / OT &amp; Mining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Campus &amp; Education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Malls &amp; Retail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Lifestyle Developments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Urban Operations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Central Government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Defence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C8532C"/>
                <w:sz w:val="20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Diplomatic / FCO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Global Standards &amp; Frameworks Applied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11111"/>
          <w:sz w:val="19"/>
        </w:rPr>
        <w:t>ISO 37120:2018 (City Services &amp; Quality of Life Indicators)  ·  ISO 37122:2019 (Smart City Indicators)  ·  BSI PAS 181 (Smart City Framework for Decision-Makers)  ·  ITU-T L.1600 / FG-SSC (Smart Sustainable Cities KPI Framework)  ·  IEC 62443 (Industrial Cybersecurity, OT &amp; ICS)  ·  ITIL v3  ·  ISO 27001  ·  GDPR  ·  TOGAF ADM  ·  PRINCE2 / MSP</w:t>
      </w:r>
    </w:p>
    <w:p>
      <w:r>
        <w:br w:type="page"/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Four Proprietary Frameworks — Verax Venture Studio IP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555B66"/>
          <w:sz w:val="19"/>
        </w:rPr>
        <w:t>Developed inside Verax Venture Studio and distilled from live engagements at DMCC Uptown Dubai, NEOM Sindalah, Red Sea Global, Strive Services Group and Istanbul Metropolitan Municipality (IBB).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2"/>
        </w:rPr>
        <w:t>1. Smart Services Advisory</w:t>
      </w:r>
      <w:r>
        <w:rPr>
          <w:rFonts w:ascii="Calibri" w:hAnsi="Calibri"/>
          <w:b w:val="0"/>
          <w:i/>
          <w:color w:val="C8532C"/>
          <w:sz w:val="20"/>
        </w:rPr>
        <w:t xml:space="preserve">  —  the HOW of smart-city delivery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11111"/>
          <w:sz w:val="19"/>
        </w:rPr>
        <w:t>3-layer service definition (Sense → Analyse → Act) · 6-stage pathway (Discovery → Identification → Prioritisation → Design → Procure → Execute) · 7-domain taxonomy (People &amp; Welcome, Smart Energy, Smart Water, Smart Environment, Robotics, Vision AI &amp; Safety, Smart Facilities) · 21-measure scoring with 4× Feasibility multiplier → Impact-vs-Feasibility quadrant · 8 delivered outputs per engagement (Service Catalogue, Architecture Blueprint, Living Lab Plan, Test Framework, TOM, Business Model, RFP Pack, Governance + KPIs).</w:t>
      </w:r>
    </w:p>
    <w:p>
      <w:pPr>
        <w:spacing w:after="40"/>
      </w:pPr>
      <w:r>
        <w:rPr>
          <w:rFonts w:ascii="Calibri" w:hAnsi="Calibri"/>
          <w:b/>
          <w:i/>
          <w:color w:val="0A2540"/>
          <w:sz w:val="19"/>
        </w:rPr>
        <w:t xml:space="preserve">Live deployment.  </w:t>
      </w:r>
      <w:r>
        <w:rPr>
          <w:rFonts w:ascii="Calibri" w:hAnsi="Calibri"/>
          <w:b w:val="0"/>
          <w:i/>
          <w:color w:val="111111"/>
          <w:sz w:val="19"/>
        </w:rPr>
        <w:t>Deployed: DMCC Uptown Dubai (40+ candidate services scored, full procurement-ready portfolio), NEOM Sindalah, Red Sea Global.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2"/>
        </w:rPr>
        <w:t>2. Innovation Ecosystem Advisory</w:t>
      </w:r>
      <w:r>
        <w:rPr>
          <w:rFonts w:ascii="Calibri" w:hAnsi="Calibri"/>
          <w:b w:val="0"/>
          <w:i/>
          <w:color w:val="C8532C"/>
          <w:sz w:val="20"/>
        </w:rPr>
        <w:t xml:space="preserve">  —  the WHAT — the pipeline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11111"/>
          <w:sz w:val="19"/>
        </w:rPr>
        <w:t>8-Pillar Ecosystem Model (Vision &amp; Strategic Alignment, R&amp;A, Investment &amp; Funding, Demand Side, Supply Side, Government Programmes, Talent &amp; Skills, Enablers) · 7-stage Innovation Funnel with 3–4% conversion · dual scoring (Demand 5×26 measures, Supply 5 categories) with Fit ≥80% fast-track · benchmarks: ~85% implementation success, 100%+ ROI over 3 years, ~14-month payback.</w:t>
      </w:r>
    </w:p>
    <w:p>
      <w:pPr>
        <w:spacing w:after="40"/>
      </w:pPr>
      <w:r>
        <w:rPr>
          <w:rFonts w:ascii="Calibri" w:hAnsi="Calibri"/>
          <w:b/>
          <w:i/>
          <w:color w:val="0A2540"/>
          <w:sz w:val="19"/>
        </w:rPr>
        <w:t xml:space="preserve">Live deployment.  </w:t>
      </w:r>
      <w:r>
        <w:rPr>
          <w:rFonts w:ascii="Calibri" w:hAnsi="Calibri"/>
          <w:b w:val="0"/>
          <w:i/>
          <w:color w:val="111111"/>
          <w:sz w:val="19"/>
        </w:rPr>
        <w:t>Deployed: Strive Services Group (KSA) — smart-FM demand pipeline, vendor registry and governance committee established.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2"/>
        </w:rPr>
        <w:t>3. Smart City Operations Advisory</w:t>
      </w:r>
      <w:r>
        <w:rPr>
          <w:rFonts w:ascii="Calibri" w:hAnsi="Calibri"/>
          <w:b w:val="0"/>
          <w:i/>
          <w:color w:val="C8532C"/>
          <w:sz w:val="20"/>
        </w:rPr>
        <w:t xml:space="preserve">  —  the RUN — steady-state excellence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11111"/>
          <w:sz w:val="19"/>
        </w:rPr>
        <w:t>TOM design, service transition, NOC/SOC architecture and 24/7 operations model (greenfield or brownfield) · 60+ SOP library (incident, change, escalation, service restoration) mapped to ITIL v3 · hyper-automation and AI-driven anomaly detection reducing manual incident handling by 40% · Northbound application layer (citizen apps, operator dashboards, CCC interfaces, OSS/BSS).</w:t>
      </w:r>
    </w:p>
    <w:p>
      <w:pPr>
        <w:spacing w:after="40"/>
      </w:pPr>
      <w:r>
        <w:rPr>
          <w:rFonts w:ascii="Calibri" w:hAnsi="Calibri"/>
          <w:b/>
          <w:i/>
          <w:color w:val="0A2540"/>
          <w:sz w:val="19"/>
        </w:rPr>
        <w:t xml:space="preserve">Live deployment.  </w:t>
      </w:r>
      <w:r>
        <w:rPr>
          <w:rFonts w:ascii="Calibri" w:hAnsi="Calibri"/>
          <w:b w:val="0"/>
          <w:i/>
          <w:color w:val="111111"/>
          <w:sz w:val="19"/>
        </w:rPr>
        <w:t>Delivered: 99.9% uptime at NEOM  ·  99.8% SLA at FCO across 242 sites / 150+ countries  ·  Cisco IBB Istanbul architecture blueprint.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2"/>
        </w:rPr>
        <w:t>4. Value Realisation Office (VRO)</w:t>
      </w:r>
      <w:r>
        <w:rPr>
          <w:rFonts w:ascii="Calibri" w:hAnsi="Calibri"/>
          <w:b w:val="0"/>
          <w:i/>
          <w:color w:val="C8532C"/>
          <w:sz w:val="20"/>
        </w:rPr>
        <w:t xml:space="preserve">  —  the KEEP DELIVERING engine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11111"/>
          <w:sz w:val="19"/>
        </w:rPr>
        <w:t>VRO ≠ PMO — PMO governs delivery (time, scope, cost); VRO governs value (outcomes, ROI, evolution). 3 parallel operating modes (Value Realisation, Operational Excellence, Adaptive/Evolving) · 3 permanent workstreams (Service Portfolio &amp; Business Model, Technology Blueprint, Operating Model) · 3 strategic imperatives · 4 live input feeds · 5 standing outputs (Innovation Stimulus, 12-month rolling Roadmap, Risk Register, 3-year Investments Forecast, PoC pipeline).</w:t>
      </w:r>
    </w:p>
    <w:p>
      <w:pPr>
        <w:spacing w:after="40"/>
      </w:pPr>
      <w:r>
        <w:rPr>
          <w:rFonts w:ascii="Calibri" w:hAnsi="Calibri"/>
          <w:b/>
          <w:i/>
          <w:color w:val="0A2540"/>
          <w:sz w:val="19"/>
        </w:rPr>
        <w:t xml:space="preserve">Live deployment.  </w:t>
      </w:r>
      <w:r>
        <w:rPr>
          <w:rFonts w:ascii="Calibri" w:hAnsi="Calibri"/>
          <w:b w:val="0"/>
          <w:i/>
          <w:color w:val="111111"/>
          <w:sz w:val="19"/>
        </w:rPr>
        <w:t>Deployed: NEOM (Innovation governance board), Quantela (outcome-based commercial model), Cisco global smart city practice.</w:t>
      </w:r>
    </w:p>
    <w:p>
      <w:pPr>
        <w:spacing w:before="160"/>
        <w:jc w:val="center"/>
      </w:pPr>
      <w:r>
        <w:rPr>
          <w:rFonts w:ascii="Georgia" w:hAnsi="Georgia"/>
          <w:b/>
          <w:i/>
          <w:color w:val="C8532C"/>
          <w:sz w:val="20"/>
        </w:rPr>
        <w:t>Ecosystem (WHAT) → Smart Services (HOW) → Operations (RUN) → VRO (KEEP DELIVERING)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B66"/>
          <w:sz w:val="18"/>
        </w:rPr>
        <w:t>A closed loop — VRO feeds new ideation back into the Ecosystem funnel, preventing programme drift and sustaining ROI beyond Phase 2.</w:t>
      </w:r>
    </w:p>
    <w:p>
      <w:r>
        <w:br w:type="page"/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Professional Experience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Director of Innovation  ·  NEOM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Nov 2024 – Present  |  £93M  |  Riyadh, Saudi Arabia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Spearhead technology, innovation and partnerships strategy for the world's largest giga-project — engaging NEOM sectors and regions to identify critical and emerging technology needs across smart infrastructure, AI, IoT and data.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Govern evaluation of AI, IoT, digital twin, edge and autonomous systems for deployment across THE LINE, SINDALAH and TROJENA — setting KPIs, SLAs and operational frameworks for pilot programmes.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Cultivate high-impact global partnerships with technology leaders, venture capital firms and sovereign investors. Awarded 'Best Performing Employee' in a sector of 600+ staff.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Director of Technology &amp; Digital  ·  NEOM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Apr 2023 – Nov 2024  |  £230M  |  Riyadh, Saudi Arabia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Headhunted to lead 90+ resources delivering NEOM's digital master plan — Smart City platforms, IoT infrastructure and OT systems across Urban Planning and Islands divisions.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Defined and governed the Cloud-Edge Collaborative infrastructure strategy — multi-cloud (Azure IoT, AWS), on-premises environments and distributed edge nodes processing real-time IoT data.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Delivered smart building and OT systems (BMS, ACS, CCTV, AV/ELV, structured cabling) end-to-end, and built the 24/7 NOC capability that achieved 99.9% uptime across critical infrastructure.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Applied Verax Smart Services Advisory at NEOM Sindalah — scored and prioritised services across 7 domains, producing procurement-ready Service Catalogue and Architecture Blueprint.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Founder &amp; Principal — Smart City Advisory  ·  Verax Venture Studio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2022 – Present  |  Concurrent  |  UAE / KSA / LATAM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Founded Verax to codify 20 years of smart city delivery into four vendor-agnostic methodologies: Smart Services Advisory, Innovation Ecosystem Advisory, Operations Advisory and VRO.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DMCC Uptown Dubai: applied 6-stage pathway to score 40+ candidate services using 21-measure framework — delivered full procurement-ready portfolio (Blueprint, RFP Pack, Governance &amp; KPIs).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Strive Services Group (KSA): deployed Innovation Ecosystem Advisory to structure smart-FM demand pipeline — dual demand/supply scoring, vendor registry and governance committee established.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Built a 31-agent hierarchical AI orchestration platform automating email triage, CRM enrichment, procurement and cost monitoring — eliminating 80%+ of manual operational overhead at $30/month total platform cost.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Director — Smart Cities &amp; IoT  ·  Wipro Technologies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Apr 2022 – Apr 2023  |  £80M  |  Riyadh, Saudi Arabia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Established Wipro's Arabian entity reporting directly to CEO — strategy, growth and IoT programme delivery for NEOM and Red Sea Global giga-projects; led 70+ resources.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Delivered KSA's first Smart Luggage Services and advanced EV fleet management — full product lifecycle from design through to 24/7 NOC-based operational support.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Built operational service delivery capability (NOC, helpdesk, field services) supporting 24/7 OT infrastructure operations across client sites.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Director — Growth &amp; Delivery  ·  Quantela (Smart Cities Platform)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Sept 2021 – Apr 2022  |  £98M  |  Global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Recruited by Board to drive strategic growth — increased company revenue from $18M to $90M (400%) with $300M+ pipeline through strategic business model transformation.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Forged key commercial and investor relationships including the $2BN Digital Alpha fund; delivered first major deal closure through outcome-based, revenue-sharing commercial framework.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Smart City Global Advisory Lead &amp; Programme Director  ·  Cisco Systems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Nov 2015 – Apr 2021  |  £250M  |  Global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Established and scaled Cisco's global Smart Cities and IoT practice from zero — delivering programmes across 10+ city deployments in Europe, Middle East and Asia-Pacific, individual programmes up to £45M.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Designed ITIL-aligned operational service models for Smart City platforms — SOPs, incident management, NOC frameworks and performance optimisation standards.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Provided CXO-level advisory across public sector, utilities and telecoms — translating OT/IT convergence strategy into scalable platform and connectivity solutions.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Directed product strategy, go-to-market and EMEA systems-integrator partnerships for Cisco's Connected Cities and IoT portfolio.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Programme Director — Public Service Network  ·  Cabinet Office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Mar 2013 – Nov 2015  |  £18M p.a.  |  United Kingdom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Worked directly with Cabinet Ministers to deliver technology strategy for Public Service Authorities — managed 48 suppliers and governed Local Authority CTO/CEO/COO leadership.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Established operational service management framework — SLAs, incident, change control and performance reporting for public sector OT/IT infrastructure.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Programme Director  ·  Environment Agency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Dec 2011 – Mar 2013  |  £38M  |  United Kingdom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Brought into a failing central government department to redefine enterprise ways of working — established Enterprise Architecture office and PMO, leading 24 project managers to successful outcomes.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Director, Strategic Operations  ·  Foreign &amp; Commonwealth Office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Aug 2008 – Dec 2011  |  £768M  |  Global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Reported to the Foreign Secretary and CIO — governed global service delivery operations across 242 sites in 150+ countries, single point of contact for all Ambassadors and Deputy Heads of Mission.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Led 24/7 NOC operations, service desk, infrastructure operations and business continuity across secure diplomatic OT/IT networks — 450+ indirect reports, 99.8% SLA, ISO 27001 compliance.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Programme Director — YJB  ·  Ministry of Justice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Feb 2008 – Aug 2008  |  £7M  |  United Kingdom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Delivered Youth Justice Board technology programme — governance, commercial control and stakeholder management across central government and partner agencies.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Overseas Programme Director — DII(F)  ·  Ministry of Defence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Nov 2005 – Aug 2008  |  £1BN+  |  Global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Led consortium delivery of 5 large enterprise organisations on one of the largest global business change programmes of its time — Defence Information Infrastructure (Future): 150,000 workstations, 300,000 users, 2,000 sites.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Directed programme management and enterprise architecture across classified defence infrastructure, working to UK Government TS/SC security standards.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Transformation Lead  ·  Corus Steel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Aug 2004 – Nov 2005  |  £19M  |  United Kingdom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Led enterprise transformation programme across industrial manufacturing operations — process re-engineering, systems consolidation and operational readiness for integrated steel sites.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Implementation Lead  ·  Department for Work and Pensions (DWP)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Mar 2004 – Aug 2005  |  £4M  |  United Kingdom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Delivered enterprise implementation across DWP — requirements, design, build and transition into live public-sector operations.</w:t>
      </w:r>
    </w:p>
    <w:p>
      <w:pPr>
        <w:spacing w:before="120" w:after="20"/>
      </w:pPr>
      <w:r>
        <w:rPr>
          <w:rFonts w:ascii="Calibri" w:hAnsi="Calibri"/>
          <w:b/>
          <w:i w:val="0"/>
          <w:color w:val="0A2540"/>
          <w:sz w:val="21"/>
        </w:rPr>
        <w:t>Deployment Lead  ·  HM Prison Service</w:t>
      </w:r>
      <w:r>
        <w:rPr>
          <w:rFonts w:ascii="Calibri" w:hAnsi="Calibri"/>
          <w:b w:val="0"/>
          <w:i w:val="0"/>
          <w:color w:val="C8532C"/>
          <w:sz w:val="20"/>
        </w:rPr>
        <w:t xml:space="preserve">    Jan 2003 – Mar 2004  |  £6M  |  United Kingdom</w:t>
      </w:r>
    </w:p>
    <w:p>
      <w:pPr>
        <w:pStyle w:val="ListBullet"/>
        <w:spacing w:before="0" w:after="40"/>
        <w:ind w:left="340" w:hanging="198"/>
      </w:pPr>
      <w:r>
        <w:rPr>
          <w:rFonts w:ascii="Calibri" w:hAnsi="Calibri"/>
          <w:b w:val="0"/>
          <w:i w:val="0"/>
          <w:color w:val="111111"/>
          <w:sz w:val="19"/>
        </w:rPr>
        <w:t>Managed estate-wide deployment programme across HM Prison Service secure sites — rollout planning, risk management and operational handover under strict security and custodial constraints.</w:t>
      </w:r>
    </w:p>
    <w:p>
      <w:r>
        <w:br w:type="page"/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Core Competencies</w:t>
      </w:r>
    </w:p>
    <w:p>
      <w:pPr>
        <w:pBdr>
          <w:bottom w:val="single" w:sz="4" w:space="1" w:color="C9D1DB"/>
        </w:pBdr>
        <w:spacing w:before="0"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i w:val="0"/>
                <w:smallCaps/>
                <w:color w:val="0A2540"/>
                <w:sz w:val="20"/>
                <w:spacing w:val="20"/>
              </w:rPr>
              <w:t>Smart City &amp; Digital Infrastructure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IoT Architecture &amp; Platform Design (Azure IoT, 5G/NB-IoT)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AI/ML, Vision AI &amp; Big Data Analytics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Smart Energy, Water, Mobility &amp; Facilities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OT/IT Convergence  ·  SCADA / OPC  ·  V2X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Edge &amp; Hybrid Cloud  ·  Multi-Cloud (Azure, AWS)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Urban Digital Twin  ·  BMS / ACS / CCTV / AV-ELV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Enterprise Connectivity  ·  5G / 4G / LTE / NB-IoT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ERP Transformation (SAP, Oracle Fusion, Dynamics 365, AX12)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Blockchain, Web3 &amp; Autonomous Systems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Cybersecurity &amp; Compliance (ISO 27001, IEC 62443, GDPR)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i w:val="0"/>
                <w:smallCaps/>
                <w:color w:val="0A2540"/>
                <w:sz w:val="20"/>
                <w:spacing w:val="20"/>
              </w:rPr>
              <w:t>Executive Leadership &amp; Strategy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C-Suite Advisory &amp; Board-Level Communication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P&amp;L, CAPEX/OPEX &amp; Financial Forecasting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Regulatory &amp; Government Affairs  ·  M&amp;A  ·  PPP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Cross-Functional Team Leadership (450+ resources)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Vendor Negotiation &amp; 48+ Supplier Governance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Innovation Ecosystem Development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Agile  ·  PRINCE2  ·  MSP  ·  ITIL v3  ·  TOGAF ADM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Procurement, RFP Design &amp; Commercial Modelling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Performance Management &amp; KPI Governance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C8532C"/>
                <w:sz w:val="19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Living Lab / Model Office / TOM Design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Certifications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11111"/>
          <w:sz w:val="20"/>
        </w:rPr>
        <w:t>PRINCE2 Practitioner  ·  MSP (Managing Successful Programmes)  ·  ITIL v3 Service Management  ·  CompTIA A+ &amp; Security+  ·  BTA Blockchain Professional  ·  BTA Solution Architect  ·  Microsoft Azure / M365</w:t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Education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0" w:after="40"/>
      </w:pPr>
      <w:r>
        <w:rPr>
          <w:rFonts w:ascii="Calibri" w:hAnsi="Calibri"/>
          <w:b w:val="0"/>
          <w:i w:val="0"/>
          <w:color w:val="111111"/>
          <w:sz w:val="20"/>
        </w:rPr>
        <w:t>MBA — Entrepreneurial Action.  Anglia Ruskin University, Cambridge  ·  2025.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11111"/>
          <w:sz w:val="20"/>
        </w:rPr>
        <w:t>MBA — Artificial Intelligence (in progress).  University of Cumbria  ·  Expected 2026.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111"/>
          <w:sz w:val="20"/>
        </w:rPr>
        <w:t>Postgraduate-Level Strategic Management and Leadership.</w:t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Security &amp; Languages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11111"/>
          <w:sz w:val="20"/>
        </w:rPr>
        <w:t>UK Security Clearance: SC / DV eligible (FCO &amp; MoD history).  ·  English (native).  ·  Saudi Arabia Premium Resident — available for global opportunities.</w:t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Interests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11111"/>
          <w:sz w:val="20"/>
        </w:rPr>
        <w:t>Technology  ·  Motorbike Racing  ·  Self-Development  ·  Volunteering  ·  CrossFit  ·  Travel &amp; Culture.</w:t>
      </w:r>
    </w:p>
    <w:p>
      <w:pPr>
        <w:spacing w:before="200" w:after="40"/>
      </w:pPr>
      <w:r>
        <w:rPr>
          <w:rFonts w:ascii="Calibri" w:hAnsi="Calibri"/>
          <w:b/>
          <w:i w:val="0"/>
          <w:smallCaps/>
          <w:color w:val="0A2540"/>
          <w:sz w:val="19"/>
          <w:spacing w:val="40"/>
        </w:rPr>
        <w:t>References</w:t>
      </w:r>
    </w:p>
    <w:p>
      <w:pPr>
        <w:pBdr>
          <w:bottom w:val="single" w:sz="4" w:space="1" w:color="C9D1DB"/>
        </w:pBdr>
        <w:spacing w:before="0" w:after="80"/>
      </w:pPr>
    </w:p>
    <w:p>
      <w:pPr>
        <w:spacing w:before="0" w:after="60"/>
      </w:pPr>
      <w:r>
        <w:rPr>
          <w:rFonts w:ascii="Calibri" w:hAnsi="Calibri"/>
          <w:b w:val="0"/>
          <w:i w:val="0"/>
          <w:color w:val="555B66"/>
          <w:sz w:val="19"/>
        </w:rPr>
        <w:t>Available on request.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