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Georgia" w:hAnsi="Georgia"/>
          <w:b/>
          <w:i w:val="0"/>
          <w:color w:val="0A2540"/>
          <w:sz w:val="52"/>
        </w:rPr>
        <w:t>ANTHONY PENWRIGHT</w:t>
      </w:r>
    </w:p>
    <w:p>
      <w:pPr>
        <w:spacing w:after="80"/>
      </w:pPr>
      <w:r>
        <w:rPr>
          <w:rFonts w:ascii="Georgia" w:hAnsi="Georgia"/>
          <w:b w:val="0"/>
          <w:i/>
          <w:color w:val="C8532C"/>
          <w:sz w:val="23"/>
        </w:rPr>
        <w:t>C-Suite Advisor  ·  Smart Cities  ·  Digital Infrastructure  ·  Innovation Ecosystems</w:t>
      </w:r>
    </w:p>
    <w:p>
      <w:pPr>
        <w:spacing w:after="120"/>
      </w:pPr>
      <w:r>
        <w:rPr>
          <w:rFonts w:ascii="Calibri" w:hAnsi="Calibri"/>
          <w:b w:val="0"/>
          <w:i w:val="0"/>
          <w:color w:val="555B66"/>
          <w:sz w:val="19"/>
        </w:rPr>
        <w:t>ap@credible.uk.com   ·   +966 533 15 8265   ·   Riyadh, KSA (Premium Resident)   ·   LinkedIn: Anthony Penwright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Executive Summary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C-Suite advisor codifying 20+ years of global smart-city and digital-infrastructure delivery into frameworks that work. $1.3BN+ of programme value delivered across 40+ major initiatives and 13 sectors — MoD DII(F) (150,000 workstations · 242 sites · 150+ countries), NEOM ($290M digital master plan · $120M innovation portfolio), FCO (99.8% SLA across the diplomatic estate), Cisco's global Smart City practice (built from zero to $315M), and Quantela ($18M → $90M in eighteen months).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Author of four proprietary methodologies — Smart Services Advisory, Innovation Ecosystem Advisory, Operations Advisory and the Value Realisation Office — live across DMCC Uptown Dubai, NEOM Sindalah, Red Sea Global and Strive Services Group KSA. Founder &amp; Principal of Verax Venture Studio: AI-native, 7 active portfolio ventures, 44+ agent skills with master-agent orchestration across CRM, KYC, brand and operations.</w:t>
      </w:r>
    </w:p>
    <w:p>
      <w:pPr>
        <w:spacing w:before="0" w:after="100"/>
      </w:pPr>
      <w:r>
        <w:rPr>
          <w:rFonts w:ascii="Calibri" w:hAnsi="Calibri"/>
          <w:b w:val="0"/>
          <w:i w:val="0"/>
          <w:color w:val="111111"/>
          <w:sz w:val="20"/>
        </w:rPr>
        <w:t>Proven architect of high-performance cross-functional teams (450+ resources), C-suite adviser on IoT/AI/big-data strategy, and experienced navigator of complex regulatory and government approval environments. Deep expertise across cloud infrastructure (Azure, AWS), OT/IT convergence, ERP transformation (SAP, Oracle Fusion, Dynamics 365), cybersecurity and data governance — with extensive GCC/MENA operating experience and a current Riyadh base.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11111"/>
          <w:sz w:val="20"/>
        </w:rPr>
        <w:t>Trusted C-suite advisor who translates complex technical roadmaps into measurable business outcomes. Dual MBA-qualified (Entrepreneurial Action; Artificial Intelligence in progress). PRINCE2 Practitioner · MSP · ITIL v3 · CompTIA Security+ · BTA Blockchain Professional. UK SC / DV eligible (FCO &amp; MoD history).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Portfolio at a Glance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$1.3BN+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40+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13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Georgia" w:hAnsi="Georgia"/>
                <w:b/>
                <w:i w:val="0"/>
                <w:color w:val="C8532C"/>
                <w:sz w:val="36"/>
              </w:rPr>
              <w:t>4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Programme value delivered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Major programmes led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Sectors delivered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Active ventures (Verax)</w:t>
            </w:r>
          </w:p>
        </w:tc>
        <w:tc>
          <w:tcPr>
            <w:tcW w:type="dxa" w:w="204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55B66"/>
                <w:sz w:val="17"/>
              </w:rPr>
              <w:t>Proprietary frameworks</w:t>
            </w:r>
          </w:p>
        </w:tc>
      </w:tr>
    </w:tbl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How I Add Value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Strategic Clarity.  </w:t>
      </w:r>
      <w:r>
        <w:rPr>
          <w:rFonts w:ascii="Calibri" w:hAnsi="Calibri"/>
          <w:b w:val="0"/>
          <w:i w:val="0"/>
          <w:color w:val="111111"/>
          <w:sz w:val="20"/>
        </w:rPr>
        <w:t>Cut through complexity with framework-led thinking — translate vision into a sequenced, procurement-ready roadmap that boards, ministers and operators can all act on.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Programme Delivery at Scale.  </w:t>
      </w:r>
      <w:r>
        <w:rPr>
          <w:rFonts w:ascii="Calibri" w:hAnsi="Calibri"/>
          <w:b w:val="0"/>
          <w:i w:val="0"/>
          <w:color w:val="111111"/>
          <w:sz w:val="20"/>
        </w:rPr>
        <w:t>Proven track record running £100M–£1BN+ portfolios across 242 sites and 150+ countries — directing 450+ cross-functional resources against hard SLA, uptime and ROI commitments.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Framework-Led Advisory.  </w:t>
      </w:r>
      <w:r>
        <w:rPr>
          <w:rFonts w:ascii="Calibri" w:hAnsi="Calibri"/>
          <w:b w:val="0"/>
          <w:i w:val="0"/>
          <w:color w:val="111111"/>
          <w:sz w:val="20"/>
        </w:rPr>
        <w:t>Author of four proprietary methodologies (Smart Services, Ecosystem, Operations, VRO) grounded in ISO 37120/37122, BSI PAS 181, ITU-T L.1600 and IEC 62443.</w:t>
      </w:r>
    </w:p>
    <w:p>
      <w:pPr>
        <w:spacing w:before="40" w:after="60"/>
      </w:pPr>
      <w:r>
        <w:rPr>
          <w:rFonts w:ascii="Calibri" w:hAnsi="Calibri"/>
          <w:b/>
          <w:i w:val="0"/>
          <w:color w:val="0A2540"/>
          <w:sz w:val="21"/>
        </w:rPr>
        <w:t xml:space="preserve">Innovation Ecosystem Building.  </w:t>
      </w:r>
      <w:r>
        <w:rPr>
          <w:rFonts w:ascii="Calibri" w:hAnsi="Calibri"/>
          <w:b w:val="0"/>
          <w:i w:val="0"/>
          <w:color w:val="111111"/>
          <w:sz w:val="20"/>
        </w:rPr>
        <w:t>Build the connective tissue — demand/supply scoring, funnels, PoC-to-scale governance — that turns innovation from theatre into compounding, measurable ROI.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Sector Coverage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Smart Cities — Greenfield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Smart Cities — Brownfield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Airports &amp; Aviation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Ports &amp; Maritime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Industrial / OT &amp; Mining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Campus &amp; Education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Malls &amp; Retail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Lifestyle Developments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Urban Operations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Central Government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Defence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/>
                <w:b/>
                <w:i w:val="0"/>
                <w:color w:val="C8532C"/>
                <w:sz w:val="20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20"/>
              </w:rPr>
              <w:t>Diplomatic / FCO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Global Standards &amp; Frameworks Applied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19"/>
        </w:rPr>
        <w:t>ISO 37120:2018 (City Services &amp; Quality of Life Indicators)  ·  ISO 37122:2019 (Smart City Indicators)  ·  BSI PAS 181 (Smart City Framework for Decision-Makers)  ·  ITU-T L.1600 / FG-SSC (Smart Sustainable Cities KPI Framework)  ·  IEC 62443 (Industrial Cybersecurity, OT &amp; ICS)  ·  ITIL v3  ·  ISO 27001  ·  GDPR  ·  TOGAF ADM  ·  PRINCE2 / MSP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Four Proprietary Frameworks — Verax Venture Studio IP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555B66"/>
          <w:sz w:val="19"/>
        </w:rPr>
        <w:t>Developed inside Verax Venture Studio and distilled from live engagements at DMCC Uptown Dubai, NEOM Sindalah, Red Sea Global, Strive Services Group and Istanbul Metropolitan Municipality (IBB).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1. Smart Services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HOW of smart-city delivery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3-layer service definition (Sense → Analyse → Act) · 6-stage pathway (Discovery → Identification → Prioritisation → Design → Procure → Execute) · 7-domain taxonomy (People &amp; Welcome, Smart Energy, Smart Water, Smart Environment, Robotics, Vision AI &amp; Safety, Smart Facilities) · 21-measure scoring with 4× Feasibility multiplier → Impact-vs-Feasibility quadrant · 8 delivered outputs per engagement (Service Catalogue, Architecture Blueprint, Living Lab Plan, Test Framework, TOM, Business Model, RFP Pack, Governance + KPIs).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150+ smart services mapped and 40+ smart-city initiatives delivered end-to-end — DMCC Uptown Dubai, NEOM Sindalah, Red Sea Global.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2. Innovation Ecosystem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WHAT — the pipeline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8-Pillar Ecosystem Model (Vision &amp; Strategic Alignment, R&amp;A, Investment &amp; Funding, Demand Side, Supply Side, Government Programmes, Talent &amp; Skills, Enablers) · 7-stage Innovation Funnel with 3–4% conversion · dual scoring (Demand 5×26 measures, Supply 5 categories) with Fit ≥80% fast-track · benchmarks: ~85% implementation success, 100%+ ROI over 3 years, ~14-month payback.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8 Living Labs delivered, 85+ pilots landed — Strive Services Group (KSA) smart-FM demand pipeline, vendor registry and governance committee established.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3. Smart City Operations Advisory</w:t>
      </w:r>
      <w:r>
        <w:rPr>
          <w:rFonts w:ascii="Calibri" w:hAnsi="Calibri"/>
          <w:b w:val="0"/>
          <w:i/>
          <w:color w:val="C8532C"/>
          <w:sz w:val="20"/>
        </w:rPr>
        <w:t xml:space="preserve">  —  the RUN — steady-state excellence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TOM design, service transition, NOC/SOC architecture and 24/7 operations model (greenfield or brownfield) · 60+ SOP library (incident, change, escalation, service restoration) mapped to ITIL v3 · hyper-automation and AI-driven anomaly detection reducing manual incident handling by 40% · Northbound application layer (citizen apps, operator dashboards, CCC interfaces, OSS/BSS).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Delivered: 99.9% uptime at NEOM  ·  99.8% SLA at FCO across 242 sites / 150+ countries  ·  Cisco IBB Istanbul architecture blueprint.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2"/>
        </w:rPr>
        <w:t>4. Value Realisation Office (VRO)</w:t>
      </w:r>
      <w:r>
        <w:rPr>
          <w:rFonts w:ascii="Calibri" w:hAnsi="Calibri"/>
          <w:b w:val="0"/>
          <w:i/>
          <w:color w:val="C8532C"/>
          <w:sz w:val="20"/>
        </w:rPr>
        <w:t xml:space="preserve">  —  the KEEP DELIVERING engine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19"/>
        </w:rPr>
        <w:t>VRO ≠ PMO — PMO governs delivery (time, scope, cost); VRO governs value (outcomes, ROI, evolution). 3 parallel operating modes (Value Realisation, Operational Excellence, Adaptive/Evolving) · 3 permanent workstreams (Service Portfolio &amp; Business Model, Technology Blueprint, Operating Model) · 3 strategic imperatives · 4 live input feeds · 5 standing outputs (Innovation Stimulus, 12-month rolling Roadmap, Risk Register, 3-year Investments Forecast, PoC pipeline).</w:t>
      </w:r>
    </w:p>
    <w:p>
      <w:pPr>
        <w:spacing w:after="40"/>
      </w:pPr>
      <w:r>
        <w:rPr>
          <w:rFonts w:ascii="Calibri" w:hAnsi="Calibri"/>
          <w:b/>
          <w:i/>
          <w:color w:val="0A2540"/>
          <w:sz w:val="19"/>
        </w:rPr>
        <w:t xml:space="preserve">Live deployment.  </w:t>
      </w:r>
      <w:r>
        <w:rPr>
          <w:rFonts w:ascii="Calibri" w:hAnsi="Calibri"/>
          <w:b w:val="0"/>
          <w:i/>
          <w:color w:val="111111"/>
          <w:sz w:val="19"/>
        </w:rPr>
        <w:t>Deployed: NEOM (Innovation governance board), Quantela (outcome-based commercial model), Cisco global smart city practice.</w:t>
      </w:r>
    </w:p>
    <w:p>
      <w:pPr>
        <w:spacing w:before="160"/>
        <w:jc w:val="center"/>
      </w:pPr>
      <w:r>
        <w:rPr>
          <w:rFonts w:ascii="Georgia" w:hAnsi="Georgia"/>
          <w:b/>
          <w:i/>
          <w:color w:val="C8532C"/>
          <w:sz w:val="20"/>
        </w:rPr>
        <w:t>Ecosystem (WHAT) → Smart Services (HOW) → Operations (RUN) → VRO (KEEP DELIVERING)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B66"/>
          <w:sz w:val="18"/>
        </w:rPr>
        <w:t>A closed loop — VRO feeds new ideation back into the Ecosystem funnel, preventing programme drift and sustaining ROI beyond Phase 2.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Professional Experience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of Innovation  ·  NEOM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2024 – Present  |  £93M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Spearhead technology, innovation and partnerships strategy for the world's largest giga-project — engaging NEOM sectors and regions to identify critical and emerging technology needs across smart infrastructure, AI, IoT and data.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Govern evaluation of AI, IoT, digital twin, edge and autonomous systems for deployment across THE LINE, SINDALAH and TROJENA — setting KPIs, SLAs and operational frameworks for pilot programmes.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Cultivate high-impact global partnerships with technology leaders, venture capital firms and sovereign investors. Awarded 'Best Performing Employee' in a sector of 600+ staff.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of Technology &amp; Digital  ·  NEOM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Apr 2023 – Nov 2024  |  £230M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Headhunted to lead 90+ resources delivering NEOM's digital master plan — Smart City platforms, IoT infrastructure and OT systems across Urban Planning and Islands divisions.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Defined and governed the Cloud-Edge Collaborative infrastructure strategy — multi-cloud (Azure IoT, AWS), on-premises environments and distributed edge nodes processing real-time IoT data.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smart building and OT systems (BMS, ACS, CCTV, AV/ELV, structured cabling) end-to-end, and built the 24/7 NOC capability that achieved 99.9% uptime across critical infrastructure.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Applied Verax Smart Services Advisory at NEOM Sindalah — scored and prioritised services across 7 domains, producing procurement-ready Service Catalogue and Architecture Blueprint.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Founder &amp; Principal — Smart City Advisory  ·  Verax Venture Studio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2022 – Present  |  Concurrent  |  UAE / KSA / LATAM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Founded Verax to codify 20 years of smart city delivery into four vendor-agnostic methodologies: Smart Services Advisory, Innovation Ecosystem Advisory, Operations Advisory and VRO.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DMCC Uptown Dubai: applied 6-stage pathway to score 40+ candidate services using 21-measure framework — delivered full procurement-ready portfolio (Blueprint, RFP Pack, Governance &amp; KPIs).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Strive Services Group (KSA): deployed Innovation Ecosystem Advisory to structure smart-FM demand pipeline — dual demand/supply scoring, vendor registry and governance committee established.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Built a 31-agent hierarchical AI orchestration platform automating email triage, CRM enrichment, procurement and cost monitoring — eliminating 80%+ of manual operational overhead at $30/month total platform cost.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— Smart Cities &amp; IoT  ·  Wipro Technologies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Apr 2022 – Apr 2023  |  £80M  |  Riyadh, Saudi Arabia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Wipro's Arabian entity reporting directly to CEO — strategy, growth and IoT programme delivery for NEOM and Red Sea Global giga-projects; led 70+ resources.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KSA's first Smart Luggage Services and advanced EV fleet management — full product lifecycle from design through to 24/7 NOC-based operational support.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Built operational service delivery capability (NOC, helpdesk, field services) supporting 24/7 OT infrastructure operations across client sites.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 — Growth &amp; Delivery  ·  Quantela (Smart Cities Platform)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Sept 2021 – Apr 2022  |  £98M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Recruited by Board to drive strategic growth — increased company revenue from $18M to $90M (400%) with $300M+ pipeline through strategic business model transformation.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Forged key commercial and investor relationships including the $2BN Digital Alpha fund; delivered first major deal closure through outcome-based, revenue-sharing commercial framework.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Smart City Global Advisory Lead &amp; Programme Director  ·  Cisco Systems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2015 – Apr 2021  |  £250M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and scaled Cisco's global Smart Cities and IoT practice from zero — delivering programmes across 10+ city deployments in Europe, Middle East and Asia-Pacific, individual programmes up to £45M.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Designed ITIL-aligned operational service models for Smart City platforms — SOPs, incident management, NOC frameworks and performance optimisation standards.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Provided CXO-level advisory across public sector, utilities and telecoms — translating OT/IT convergence strategy into scalable platform and connectivity solutions.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Directed product strategy, go-to-market and EMEA systems-integrator partnerships for Cisco's Connected Cities and IoT portfolio.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— Public Service Network  ·  Cabinet Office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Mar 2013 – Nov 2015  |  £18M p.a.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Worked directly with Cabinet Ministers to deliver technology strategy for Public Service Authorities — managed 48 suppliers and governed Local Authority CTO/CEO/COO leadership.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Established operational service management framework — SLAs, incident, change control and performance reporting for public sector OT/IT infrastructure.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 ·  Environment Agency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Dec 2011 – Mar 2013  |  £38M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Brought into a failing central government department to redefine enterprise ways of working — established Enterprise Architecture office and PMO, leading 24 project managers to successful outcomes.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Director, Strategic Operations  ·  Foreign &amp; Commonwealth Office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Aug 2008 – Dec 2011  |  £768M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Reported to the Foreign Secretary and CIO — governed global service delivery operations across 242 sites in 150+ countries, single point of contact for all Ambassadors and Deputy Heads of Mission.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24/7 NOC operations, service desk, infrastructure operations and business continuity across secure diplomatic OT/IT networks — 450+ indirect reports, 99.8% SLA, ISO 27001 compliance.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Programme Director — YJB  ·  Ministry of Justice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Feb 2008 – Aug 2008  |  £7M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Youth Justice Board technology programme — governance, commercial control and stakeholder management across central government and partner agencies.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Overseas Programme Director — DII(F)  ·  Ministry of Defence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Nov 2005 – Aug 2008  |  £1BN+  |  Global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consortium delivery of 5 large enterprise organisations on one of the largest global business change programmes of its time — Defence Information Infrastructure (Future): 150,000 workstations, 300,000 users, 2,000 sites.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Directed programme management and enterprise architecture across classified defence infrastructure, working to UK Government TS/SC security standards.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Transformation Lead  ·  Corus Steel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Aug 2004 – Nov 2005  |  £19M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Led enterprise transformation programme across industrial manufacturing operations — process re-engineering, systems consolidation and operational readiness for integrated steel sites.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Implementation Lead  ·  Department for Work and Pensions (DWP)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Mar 2004 – Aug 2005  |  £4M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Delivered enterprise implementation across DWP — requirements, design, build and transition into live public-sector operations.</w:t>
      </w:r>
    </w:p>
    <w:p>
      <w:pPr>
        <w:spacing w:before="120" w:after="20"/>
      </w:pPr>
      <w:r>
        <w:rPr>
          <w:rFonts w:ascii="Calibri" w:hAnsi="Calibri"/>
          <w:b/>
          <w:i w:val="0"/>
          <w:color w:val="0A2540"/>
          <w:sz w:val="21"/>
        </w:rPr>
        <w:t>Deployment Lead  ·  HM Prison Service</w:t>
      </w:r>
      <w:r>
        <w:rPr>
          <w:rFonts w:ascii="Calibri" w:hAnsi="Calibri"/>
          <w:b w:val="0"/>
          <w:i w:val="0"/>
          <w:color w:val="C8532C"/>
          <w:sz w:val="20"/>
        </w:rPr>
        <w:t xml:space="preserve">    Jan 2003 – Mar 2004  |  £6M  |  United Kingdom</w:t>
      </w:r>
    </w:p>
    <w:p>
      <w:pPr>
        <w:pStyle w:val="ListBullet"/>
        <w:spacing w:before="0" w:after="40"/>
        <w:ind w:left="340" w:hanging="198"/>
      </w:pPr>
      <w:r>
        <w:rPr>
          <w:rFonts w:ascii="Calibri" w:hAnsi="Calibri"/>
          <w:b w:val="0"/>
          <w:i w:val="0"/>
          <w:color w:val="111111"/>
          <w:sz w:val="19"/>
        </w:rPr>
        <w:t>Managed estate-wide deployment programme across HM Prison Service secure sites — rollout planning, risk management and operational handover under strict security and custodial constraints.</w:t>
      </w:r>
    </w:p>
    <w:p>
      <w:r>
        <w:br w:type="page"/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Core Competencies</w:t>
      </w:r>
    </w:p>
    <w:p>
      <w:pPr>
        <w:pBdr>
          <w:bottom w:val="single" w:sz="4" w:space="1" w:color="C9D1DB"/>
        </w:pBdr>
        <w:spacing w:before="0" w:after="8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rFonts w:ascii="Calibri" w:hAnsi="Calibri"/>
                <w:b/>
                <w:i w:val="0"/>
                <w:smallCaps/>
                <w:color w:val="0A2540"/>
                <w:sz w:val="20"/>
                <w:spacing w:val="20"/>
              </w:rPr>
              <w:t>Smart City &amp; Digital Infrastructure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IoT Architecture &amp; Platform Design (Azure IoT, 5G/NB-IoT)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AI/ML, Vision AI &amp; Big Data Analytics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Smart Energy, Water, Mobility &amp; Facilities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OT/IT Convergence  ·  SCADA / OPC  ·  V2X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Edge &amp; Hybrid Cloud  ·  Multi-Cloud (Azure, AWS)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Urban Digital Twin  ·  BMS / ACS / CCTV / AV-ELV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Enterprise Connectivity  ·  5G / 4G / LTE / NB-IoT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ERP Transformation (SAP, Oracle Fusion, Dynamics 365, AX12)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Blockchain, Web3 &amp; Autonomous Systems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Cybersecurity &amp; Compliance (ISO 27001, IEC 62443, GDPR)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b/>
                <w:i w:val="0"/>
                <w:smallCaps/>
                <w:color w:val="0A2540"/>
                <w:sz w:val="20"/>
                <w:spacing w:val="20"/>
              </w:rPr>
              <w:t>Executive Leadership &amp; Strategy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C-Suite Advisory &amp; Board-Level Communication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P&amp;L, CAPEX/OPEX &amp; Financial Forecasting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Regulatory &amp; Government Affairs  ·  M&amp;A  ·  PPP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Cross-Functional Team Leadership (450+ resources)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Vendor Negotiation &amp; 48+ Supplier Governance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Innovation Ecosystem Development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Agile  ·  PRINCE2  ·  MSP  ·  ITIL v3  ·  TOGAF ADM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Procurement, RFP Design &amp; Commercial Modelling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Performance Management &amp; KPI Governance</w:t>
            </w:r>
          </w:p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C8532C"/>
                <w:sz w:val="19"/>
              </w:rPr>
              <w:t xml:space="preserve">▸  </w:t>
            </w:r>
            <w:r>
              <w:rPr>
                <w:rFonts w:ascii="Calibri" w:hAnsi="Calibri"/>
                <w:b w:val="0"/>
                <w:i w:val="0"/>
                <w:color w:val="111111"/>
                <w:sz w:val="19"/>
              </w:rPr>
              <w:t>Living Lab / Model Office / TOM Design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Certifications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PRINCE2 Practitioner  ·  MSP (Managing Successful Programmes)  ·  ITIL v3 Service Management  ·  CompTIA A+ &amp; Security+  ·  BTA Blockchain Professional  ·  BTA Solution Architect  ·  Microsoft Azure / M365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Education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20"/>
        </w:rPr>
        <w:t>MBA — Entrepreneurial Action.  Anglia Ruskin University, Cambridge  ·  2025.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11111"/>
          <w:sz w:val="20"/>
        </w:rPr>
        <w:t>MBA — Artificial Intelligence (in progress).  University of Cumbria  ·  Expected 2026.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Postgraduate-Level Strategic Management and Leadership.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Security &amp; Languages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UK Security Clearance: SC / DV eligible (FCO &amp; MoD history).  ·  English (native).  ·  Saudi Arabia Premium Resident — available for global opportunities.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Interests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11111"/>
          <w:sz w:val="20"/>
        </w:rPr>
        <w:t>Technology  ·  Motorbike Racing  ·  Self-Development  ·  Volunteering  ·  CrossFit  ·  Travel &amp; Culture.</w:t>
      </w:r>
    </w:p>
    <w:p>
      <w:pPr>
        <w:spacing w:before="200" w:after="40"/>
      </w:pPr>
      <w:r>
        <w:rPr>
          <w:rFonts w:ascii="Calibri" w:hAnsi="Calibri"/>
          <w:b/>
          <w:i w:val="0"/>
          <w:smallCaps/>
          <w:color w:val="0A2540"/>
          <w:sz w:val="19"/>
          <w:spacing w:val="40"/>
        </w:rPr>
        <w:t>References</w:t>
      </w:r>
    </w:p>
    <w:p>
      <w:pPr>
        <w:pBdr>
          <w:bottom w:val="single" w:sz="4" w:space="1" w:color="C9D1DB"/>
        </w:pBdr>
        <w:spacing w:before="0" w:after="80"/>
      </w:pPr>
    </w:p>
    <w:p>
      <w:pPr>
        <w:spacing w:before="0" w:after="60"/>
      </w:pPr>
      <w:r>
        <w:rPr>
          <w:rFonts w:ascii="Calibri" w:hAnsi="Calibri"/>
          <w:b w:val="0"/>
          <w:i w:val="0"/>
          <w:color w:val="555B66"/>
          <w:sz w:val="19"/>
        </w:rPr>
        <w:t>Available on request.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