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1. Characteristics of Participating General Surgery Residents by Postgraduate Year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Demographic characteristics and evaluation volume of the 35 residents assessed with the SIMPL-based EPA model at a single academic center (April–⁠August 2026). Each resident is counted once.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744"/>
        <w:gridCol w:w="1483"/>
        <w:gridCol w:w="1483"/>
        <w:gridCol w:w="1483"/>
        <w:gridCol w:w="1483"/>
        <w:gridCol w:w="1483"/>
        <w:gridCol w:w="1483"/>
        <w:gridCol w:w="1037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35)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7)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PGY-2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PGY-3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7)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PGY-4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PGY-5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7)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Age, years, median (IQR)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29.00 (28.00–⁠30.00)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28.00 (27.00–⁠28.00)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28.00 (28.00–⁠28.50)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29.00 (28.00–⁠30.00)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29.00 (29.00–⁠29.00)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30.00 (30.00–⁠30.00)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.035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 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(62.86)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(57.14)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.802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Surgical cases evaluated per resident,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(3.50–⁠5.50)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(3.00–⁠3.50)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(4.00–⁠6.00)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(3.50–⁠4.00)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6.00 (5.00–⁠7.00)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(4.00–⁠6.50)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.003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Attending evaluations per resident,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(4.00–⁠6.00)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(4.00–⁠6.00)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(3.50–⁠4.50)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6.50 (5.25–⁠7.75)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(4.00–⁠7.00)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.017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Self-assessments per resident, median (IQR)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(1.50–⁠3.00)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(1.00–⁠2.00)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(1.00–⁠2.00)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(2.50–⁠4.00)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2.50 (2.00–⁠3.75)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(1.50–⁠3.00)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.011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Data are n (%) or median (IQR). Percentages use the column total of non-missing values as denominator.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Comparisons are across postgraduate years.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 values: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Kruskal–⁠Wallis test;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b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Fisher exact test, used when any expected cell count was &lt;5 (Monte Carlo P value, 100,000 replicates, for tables larger than 2×2).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IQR, interquartile range; PGY, postgraduate year.</w:t>
      </w:r>
    </w:p>
    <w:p>
      <w:pPr>
        <w:sectPr>
          <w:pgMar w:header="708" w:bottom="1080" w:top="1080" w:right="1080" w:left="1080" w:footer="708" w:gutter="0"/>
          <w:pgSz w:h="11906" w:w="16838" w:orient="landscape"/>
          <w:type w:val="next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2. Characteristics of Evaluated Surgical Cases by Postgraduate Year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Procedure, approach, complexity, evaluator, and timing of the 159 surgical cases in which residents were assessed. Each case is counted once and attributed to the operating resident's postgraduate year.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744"/>
        <w:gridCol w:w="1285"/>
        <w:gridCol w:w="1285"/>
        <w:gridCol w:w="1285"/>
        <w:gridCol w:w="1285"/>
        <w:gridCol w:w="1285"/>
        <w:gridCol w:w="1285"/>
        <w:gridCol w:w="1037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159)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PGY-1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22)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PGY-2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PGY-3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26)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PGY-4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PGY-5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value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Procedure, n (%)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.684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 Appendectomy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(27.04)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(25.64)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(42.31)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 Cholecystectomy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 (44.03)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(45.45)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(43.59)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(47.22)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 Inguinal hernia repair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 (28.93)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(26.92)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Surgical approach,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.443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 Open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 (45.91)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(46.15)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 Laparoscopic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 (54.09)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(72.73)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(53.85)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Case complexity (attending-rated),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 (22.78)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(35.90)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(13.89)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 (45.57)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(54.55)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(51.28)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(57.69)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 Difficult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(31.65)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(19.23)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(45.71)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(58.33)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Evaluating attending,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 Attending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 (20.89)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(25.64)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(17.14)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 Attending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(33.54)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(33.33)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(26.92)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(31.43)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 Attending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 (45.57)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(54.55)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(42.31)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Month of evaluation,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.363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 April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(21.38)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(23.08)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(13.89)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(13.89)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(18.24)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(20.51)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(30.56)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(13.89)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 June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(14.47)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(9.09)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(17.95)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(15.38)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 July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(24.53)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(25.64)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 August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(21.38)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(15.38)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(22.22)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Resident self-assessment completed, n (%)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 (50.94)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(54.55)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(30.77)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(84.62)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(52.78)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(44.44)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Data are n (%). Percentages use the column total of non-missing values as denominator.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Case attributes were taken from the attending evaluation; when more than one attending form existed for a case, the first recorded form was used. Missing indicates cases with a self-assessment only.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Comparisons are across postgraduate years.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 values: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χ² test;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b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Fisher exact test, used when any expected cell count was &lt;5 (Monte Carlo P value, 100,000 replicates, for tables larger than 2×2).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PGY, postgraduate year.</w:t>
      </w:r>
    </w:p>
    <w:p>
      <w:pPr>
        <w:sectPr>
          <w:pgMar w:header="708" w:bottom="1080" w:top="1080" w:right="1080" w:left="1080" w:footer="708" w:gutter="0"/>
          <w:pgSz w:h="11906" w:w="16838" w:orient="landscape"/>
          <w:type w:val="next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3. Attending-Rated Intraoperative Autonomy and Performance by Postgraduate Year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Distribution of Zwisch autonomy levels and SIMPL performance ratings assigned by attending surgeons across 171 intraoperative evaluations. Resident self-assessments are excluded.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172"/>
        <w:gridCol w:w="1579"/>
        <w:gridCol w:w="1579"/>
        <w:gridCol w:w="1579"/>
        <w:gridCol w:w="1579"/>
        <w:gridCol w:w="1579"/>
        <w:gridCol w:w="1579"/>
        <w:gridCol w:w="1037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171)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25)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PGY-2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PGY-3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29)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PGY-4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PGY-5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Zwisch autonomy level, n (%)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 Show and tell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(13.45)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(84.00)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 Active help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(14.62)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(46.15)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(13.79)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 Passive help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(48.72)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(62.07)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(20.51)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 Supervision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(44.44)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(79.49)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(97.44)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Zwisch score (1–⁠4),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(1.00–⁠1.00)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(3.00–⁠3.00)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SIMPL performance rating,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 Unprepared/critical deficiency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(3.51)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 Inexperienced with procedure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(38.46)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(13.79)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 Intermediate 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(56.00)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(53.85)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(5.13)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 Practice-ready 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(19.88)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(5.13)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(41.03)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 Exceptional 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(35.09)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(17.24)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(82.05)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(58.97)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SIMPL score (1–⁠5), median (IQR)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(3.00–⁠4.00)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Data are n (%) or median (IQR). Percentages use the column total as denominator.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Zwisch scale: 1, show and tell; 2, active help; 3, passive help; 4, supervision only. SIMPL scale: 1, unprepared/critical deficiency; 2, inexperienced with procedure; 3, intermediate; 4, practice-ready; 5, exceptional.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Comparisons are across postgraduate years. Evaluations are not independent (multiple per resident); P values are descriptive.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 values: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Fisher exact test, used when any expected cell count was &lt;5 (Monte Carlo P value, 100,000 replicates, for tables larger than 2×2);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b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Kruskal–⁠Wallis test.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IQR, interquartile range; PGY, postgraduate year.</w:t>
      </w:r>
    </w:p>
    <w:p>
      <w:pPr>
        <w:sectPr>
          <w:pgMar w:header="708" w:bottom="1080" w:top="1080" w:right="1080" w:left="1080" w:footer="708" w:gutter="0"/>
          <w:pgSz w:h="11906" w:w="16838" w:orient="landscape"/>
          <w:type w:val="next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4. Factors Associated With Attending-Rated Intraoperative Autonomy and Performance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Adjusted odds ratios from mixed-effects ordinal regression models of Zwisch autonomy level and SIMPL performance rating, accounting for repeated evaluations of the same resident.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312"/>
        <w:gridCol w:w="2092"/>
        <w:gridCol w:w="1037"/>
        <w:gridCol w:w="1892"/>
        <w:gridCol w:w="1037"/>
      </w:tblGrid>
      <w:tr>
        <w:trPr>
          <w:cantSplit/>
          <w:trHeight w:val="72" w:hRule="atLeast"/>
          <w:tblHeader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Zwisch autonomy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SIMPL performance</w:t>
            </w:r>
          </w:p>
        </w:tc>
      </w:tr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aOR (95% CI)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aOR (95% CI)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Postgraduate year, per 1-year increase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27.44 (11.00–⁠68.44)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7.51 (4.02–⁠14.01)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Case complexity (attending-rated)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4.12 (1.41–⁠12.06)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3.25 (1.30–⁠8.14)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.012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 Difficult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(0.57–⁠7.17)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3.14 (1.13–⁠8.69)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.028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Procedure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 Appendectomy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 Cholecystectomy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(0.42–⁠3.60)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(0.38–⁠2.23)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.850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 Inguinal hernia repair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(0.23–⁠2.71)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(0.33–⁠2.53)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.870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approach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 Open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 Laparoscopic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 (0.18–⁠1.89)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(0.33–⁠1.81)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.547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Evaluating attending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 Attending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 Attending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(0.36–⁠4.23)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 (0.36–⁠2.68)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.978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 Attending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 (0.14–⁠1.63)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(0.40–⁠3.09)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.842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 since study start, per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(0.74–⁠1.35)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(0.85–⁠1.42)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.483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Random effect (resident)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 Intercept variance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 Intraclass correlation coefficient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Mixed-effects cumulative logit (proportional odds) models fitted to 171 attending evaluations of 35 residents, with a random intercept for resident (adaptive Gauss–⁠Hermite quadrature, 10 nodes). All variables shown were entered simultaneously.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An aOR &gt;1 indicates higher odds of a higher Zwisch autonomy level or SIMPL performance rating. P values are from Wald tests.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Postgraduate year was modeled as a continuous variable (per 1-year increase); a categorical specification is shown in Supplementary Table S1. Case complexity reflects the attending's rating.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Intraclass correlation coefficient computed on the latent scale as σ²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bscript"/>
          <w:sz w:val="18"/>
          <w:szCs w:val="18"/>
          <w:color w:val="000000"/>
        </w:rPr>
        <w:t xml:space="preserve">resident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/ (σ²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bscript"/>
          <w:sz w:val="18"/>
          <w:szCs w:val="18"/>
          <w:color w:val="000000"/>
        </w:rPr>
        <w:t xml:space="preserve">resident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+ π²/3).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aOR, adjusted odds ratio; CI, confidence interval; PGY, postgraduate year.</w:t>
      </w:r>
    </w:p>
    <w:p>
      <w:pPr>
        <w:sectPr>
          <w:pgMar w:header="708" w:bottom="1080" w:top="1080" w:right="1080" w:left="1080" w:footer="708" w:gutter="0"/>
          <w:pgSz w:h="16838" w:w="11906" w:orient="portrait"/>
          <w:type w:val="next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5. Agreement Between Resident Self-Assessment and Attending Rating by Postgraduate Year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Agreement between residents' self-assessed and attendings' ratings of intraoperative autonomy (Zwisch) and performance (SIMPL) for the same surgical case, overall and by postgraduate year.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608"/>
        <w:gridCol w:w="1388"/>
        <w:gridCol w:w="1644"/>
        <w:gridCol w:w="1481"/>
        <w:gridCol w:w="1481"/>
        <w:gridCol w:w="1562"/>
        <w:gridCol w:w="1481"/>
        <w:gridCol w:w="1037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80)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12)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PGY-2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12)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PGY-3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22)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PGY-4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18)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PGY-5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Zwisch autonomy level (1–⁠4)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 Exact agreement,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(68.75)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.172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 Agreement within one level,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(97.50)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(91.67)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.672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 Self-rating higher than attending,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(41.67)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(22.73)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.133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 Self-rating lower than attending,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(8.33)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(33.33)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 − attending difference,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−0.06 (0.74)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 (0.58)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 (1.03)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−0.09 (0.81)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−0.11 (0.68)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−0.31 (0.48)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.405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c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 Weighted κ (95% CI)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(0.56–⁠0.85)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−0.14 (−0.50 to −0.08)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 (−0.57 to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 (−0.41 to 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−0.09 (−0.47 to 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SIMPL performance rating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 Exact agreement,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(41.67)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(54.55)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(38.89)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.662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 Agreement within one level,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.017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 Self-rating higher than attending,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(22.22)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.711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 Self-rating lower than attending,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(33.33)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(38.89)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 − attending difference,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 (1.31)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 (0.75)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−0.22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 (0.62)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.600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c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 Weighted κ (95% CI)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(0.56–⁠0.75)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−0.06 (−0.53 to 0.27)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 (−0.15 to 0.63)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(0.36–⁠0.77)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−0.30 (−0.51 to 0.12)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(−0.22 to 0.20)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Analysis restricted to cases with exactly one attending evaluation and one resident self-assessment (n = 80 pairs from 35 residents); column n values are pairs.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Direction compares the resident's self-rating with the attending's rating of the same case; the P value for direction tests the distribution of higher, identical, and lower self-ratings.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Weighted κ uses quadratic weights; 95% CIs from a cluster bootstrap resampling residents (2,000 replicates). NE, not estimable because one rater gave the same rating to every case in the stratum.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Within-year κ values are attenuated by the narrow range of ratings within each postgraduate year and should be interpreted with the overall estimate.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Comparisons are across postgraduate years. Pairs are not independent (several per resident); P values are descriptive.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 values: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χ² test;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b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Fisher exact test, used when any expected cell count was &lt;5 (Monte Carlo P value, 100,000 replicates, for tables larger than 2×2);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Kruskal–⁠Wallis test.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CI, confidence interval; NE, not estimable; PGY, postgraduate year; SD, standard deviation.</w:t>
      </w:r>
    </w:p>
    <w:p>
      <w:pPr>
        <w:sectPr>
          <w:pgMar w:header="708" w:bottom="1080" w:top="1080" w:right="1080" w:left="1080" w:footer="708" w:gutter="0"/>
          <w:pgSz w:h="11906" w:w="16838" w:orient="landscape"/>
          <w:type w:val="next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6. Implementation Outcomes of the SIMPL-Based EPA Assessment Model Among Attending Surgeons and Residents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Time burden, perceived usefulness, ease of use, and sustainability reported by attending surgeons and residents, summarized per respondent and per evaluation form. A resident self-assessment was completed in 81 of 159 evaluated cases (50.94%).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744"/>
        <w:gridCol w:w="1792"/>
        <w:gridCol w:w="1792"/>
        <w:gridCol w:w="1037"/>
        <w:gridCol w:w="1792"/>
        <w:gridCol w:w="1792"/>
      </w:tblGrid>
      <w:tr>
        <w:trPr>
          <w:cantSplit/>
          <w:trHeight w:val="72" w:hRule="atLeast"/>
          <w:tblHeader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 respondent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 evaluation form</w:t>
            </w:r>
          </w:p>
        </w:tc>
      </w:tr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Attending surgeons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Residents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35)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Attending forms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171)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Self-assessment forms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81)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Time to complete evaluation, minutes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2.56 (2.44–⁠2.58)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.911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(2.00–⁠3.00)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 ≤3 minutes,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(98.25)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(96.30)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Usefulness for assessing performance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4.56 (4.38–⁠4.56)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4.67 (4.08–⁠5.00)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.658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(4.00–⁠5.00)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 Highest rating (5),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(53.22)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(58.02)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Usefulness of feedback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4.95 (4.93–⁠4.96)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 Highest rating (5),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(96.30)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Ease of use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 Highest rating (5),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(100.00)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Support for permanent institutional use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4.60 (4.57–⁠4.68)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(4.50–⁠5.00)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.773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(4.00–⁠5.00)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 Highest rating (5),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(74.07)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Willingness to continue using the model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 Highest rating (5), n (%)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(100.00)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(100.00)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Per-respondent values are the median (IQR) of each respondent's mean score across all of their evaluation forms; P values compare attending surgeons with residents at the respondent level.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Per-form columns are descriptive and count each evaluation form separately; proportions are reported at the form level only because the number of forms per respondent differed widely. —, not applicable.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Items on attending forms were attributed to the evaluating attending, and items on self-assessment forms to the resident. Likert items: 1, lowest to 5, highest agreement or usefulness. Evaluation time was self-reported in whole minutes.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Only 3 attending surgeons participated; respondent-level comparisons are exploratory.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Self-assessment uptake by postgraduate year is shown in Table 2.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 values: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Mann–⁠Whitney U test.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IQR, interquartile range.</w:t>
      </w:r>
    </w:p>
    <w:p>
      <w:pPr>
        <w:sectPr>
          <w:pgMar w:header="708" w:bottom="1080" w:top="1080" w:right="1080" w:left="1080" w:footer="708" w:gutter="0"/>
          <w:pgSz w:h="11906" w:w="16838" w:orient="landscape"/>
          <w:type w:val="next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S1. Sensitivity Analysis With Postgraduate Year Modeled as a Categorical Variable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Adjusted odds ratios from the same mixed-effects ordinal models as Table 4, with each postgraduate year compared with PGY-1.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596"/>
        <w:gridCol w:w="3882"/>
        <w:gridCol w:w="1037"/>
        <w:gridCol w:w="3103"/>
        <w:gridCol w:w="1037"/>
      </w:tblGrid>
      <w:tr>
        <w:trPr>
          <w:cantSplit/>
          <w:trHeight w:val="72" w:hRule="atLeast"/>
          <w:tblHeader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Zwisch autonomy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SIMPL performance</w:t>
            </w:r>
          </w:p>
        </w:tc>
      </w:tr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aOR (95% CI)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aOR (95% CI)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value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Postgraduate year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 PGY-1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 PGY-2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157.62 (21.71–⁠1,144.14)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1.71 (0.38–⁠7.74)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.487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 PGY-3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994.72 (90.18–⁠10,972.04)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28.28 (4.70–⁠170.08)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 PGY-4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29,671.75 (1,545.51–⁠569,659.41)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1,824.88 (184.38–⁠18,061.46)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 PGY-5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374,921.83 (9,308.77–⁠15,100,422.31)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614.54 (72.66–⁠5,197.68)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Case complexity (attending-rated)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4.65 (1.62–⁠13.37)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(1.23–⁠7.34)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.016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 Difficult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2.30 (0.66–⁠7.99)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2.78 (1.02–⁠7.61)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.047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Procedure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 Appendectomy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 Cholecystectomy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 (0.40–⁠3.41)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 (0.40–⁠2.33)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.933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 Inguinal hernia repair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 (0.25–⁠2.71)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 (0.36–⁠2.64)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.954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Surgical approach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 Open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 Laparoscopic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 (0.22–⁠1.98)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 (0.34–⁠1.81)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.573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Evaluating attending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 Attending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 Attending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 (0.36–⁠3.86)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 (0.39–⁠2.74)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.943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 Attending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 (0.16–⁠1.64)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 (0.41–⁠2.85)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.885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Time since study start, per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 (0.77–⁠1.36)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 (0.83–⁠1.36)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.607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Random effect (resident)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 Intercept variance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 Intraclass correlation coefficient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Mixed-effects cumulative logit (proportional odds) models fitted to 171 attending evaluations of 35 residents, with a random intercept for resident (adaptive Gauss–⁠Hermite quadrature, 10 nodes). All variables shown were entered simultaneously.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An aOR &gt;1 indicates higher odds of a higher Zwisch autonomy level or SIMPL performance rating. P values are from Wald tests.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Very large odds ratios and wide confidence intervals for later postgraduate years reflect near-complete separation (almost no PGY-1 resident reached the highest categories and almost all PGY-5 residents did); the per-year specification in Table 4 is therefore the primary analysis.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Intraclass correlation coefficient computed on the latent scale as σ²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bscript"/>
          <w:sz w:val="18"/>
          <w:szCs w:val="18"/>
          <w:color w:val="000000"/>
        </w:rPr>
        <w:t xml:space="preserve">resident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/ (σ²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bscript"/>
          <w:sz w:val="18"/>
          <w:szCs w:val="18"/>
          <w:color w:val="000000"/>
        </w:rPr>
        <w:t xml:space="preserve">resident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+ π²/3).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aOR, adjusted odds ratio; CI, confidence interval; PGY, postgraduate year.</w:t>
      </w:r>
    </w:p>
    <w:p>
      <w:pPr>
        <w:sectPr>
          <w:pgMar w:header="708" w:bottom="1080" w:top="1080" w:right="1080" w:left="1080" w:footer="708" w:gutter="0"/>
          <w:pgSz w:h="11906" w:w="16838" w:orient="landscape"/>
          <w:type w:val="next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S2. Case Complexity Within Postgraduate Year: Case Assignment and Attending Ratings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Distribution of attending-rated case complexity across postgraduate years and the corresponding Zwisch and SIMPL ratings within each complexity stratum (171 attending evaluations).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302"/>
        <w:gridCol w:w="1557"/>
        <w:gridCol w:w="1557"/>
        <w:gridCol w:w="1557"/>
        <w:gridCol w:w="1557"/>
        <w:gridCol w:w="1557"/>
        <w:gridCol w:w="1557"/>
        <w:gridCol w:w="1037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171)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25)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PGY-2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PGY-3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29)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PGY-4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PGY-5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39)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Case assignment, n (%)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(22.22)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(35.90)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(15.38)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(46.78)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(56.00)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(51.28)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(58.62)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(46.15)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(28.21)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 Difficult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(30.99)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(43.59)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(56.41)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Zwisch score (1–⁠4),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(1.25–⁠3.75)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(1.00–⁠1.00)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(2.00–⁠2.75)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(3.75–⁠4.00)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(1.00–⁠1.00)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(3.00–⁠3.00)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 Difficult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(1.00–⁠1.50)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(3.00–⁠3.00)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(4.00–⁠4.00)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SIMPL score (1–⁠5),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(1.00–⁠2.25)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(4.50–⁠5.00)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4.50 (4.00–⁠5.00)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(3.00–⁠3.00)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(4.00–⁠4.50)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 Difficult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(2.50–⁠3.00)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(2.00–⁠3.00)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3.50 (3.00–⁠4.00)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(4.00–⁠5.00)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5.00 (5.00–⁠5.00)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Data are n (%) or median (IQR). Case assignment percentages use each postgraduate year's evaluations as denominator.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Comparisons are across postgraduate years. For ratings, postgraduate years are compared within each complexity stratum.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Evaluations are not independent (multiple per resident); P values are descriptive. Adjusted estimates are shown in Table 4.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 values: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χ² test;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b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Kruskal–⁠Wallis test.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IQR, interquartile range; PGY, postgraduate year.</w:t>
      </w:r>
    </w:p>
    <w:p>
      <w:pPr>
        <w:sectPr>
          <w:pgMar w:header="708" w:bottom="1080" w:top="1080" w:right="1080" w:left="1080" w:footer="708" w:gutter="0"/>
          <w:pgSz w:h="11906" w:w="16838" w:orient="landscape"/>
          <w:type w:val="next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S3. Attending-Rated Autonomy and Performance by Evaluating Attending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Case mix by resident postgraduate year and distribution of Zwisch and SIMPL ratings assigned by each of the 3 evaluating attendings (171 attending evaluations).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744"/>
        <w:gridCol w:w="1991"/>
        <w:gridCol w:w="1991"/>
        <w:gridCol w:w="1991"/>
        <w:gridCol w:w="1991"/>
        <w:gridCol w:w="1037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171)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Attending 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34)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Attending 2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60)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Attending 3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 = 77)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value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Postgraduate year of resident, n (%)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.827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 PGY-1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(14.62)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(16.88)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 PGY-2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(22.81)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(29.41)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(21.67)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(20.78)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 PGY-3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(16.96)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(16.88)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 PGY-4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(22.81)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(17.65)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(23.33)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(24.68)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 PGY-5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(22.81)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(17.65)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(28.33)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(20.78)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Zwisch autonomy level,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.428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 Show and tell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(13.45)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(15.58)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 Active help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(14.62)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(8.82)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(19.48)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 Passive help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(38.24)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(26.67)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(23.38)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 Supervision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 (44.44)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(38.24)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(51.67)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 (41.56)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Zwisch score (1–⁠4),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.286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SIMPL performance rating,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 Unprepared/critical deficiency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(3.90)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 Inexperienced with procedure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(14.04)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(20.59)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(14.29)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 Intermediate 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(29.41)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(28.57)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 Practice-ready 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(19.88)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(18.18)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 Exceptional 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 (35.09)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(32.35)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(36.67)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 (35.06)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SIMPL score (1–⁠5), median (IQR)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.515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Data are n (%) or median (IQR). Percentages use the column total as denominator.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Comparisons are across attendings. Unadjusted; differences in ratings partly reflect differences in the postgraduate year of residents evaluated. Attending-adjusted estimates are shown in Table 4.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Evaluations are not independent (multiple per resident); P values are descriptive.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 values: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Fisher exact test, used when any expected cell count was &lt;5 (Monte Carlo P value, 100,000 replicates, for tables larger than 2×2);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b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Kruskal–⁠Wallis test.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IQR, interquartile range; PGY, postgraduate year.</w:t>
      </w:r>
    </w:p>
    <w:p>
      <w:pPr>
        <w:sectPr>
          <w:pgMar w:header="708" w:bottom="1080" w:top="1080" w:right="1080" w:left="1080" w:footer="708" w:gutter="0"/>
          <w:pgSz w:h="11906" w:w="16838" w:orient="landscape"/>
          <w:type w:val="next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S4. Attending-Rated Autonomy and Performance by Procedure and Surgical Approach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Unadjusted distribution of Zwisch and SIMPL ratings across the three index procedures and by open vs laparoscopic approach (171 attending evaluations).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172"/>
        <w:gridCol w:w="1406"/>
        <w:gridCol w:w="1406"/>
        <w:gridCol w:w="1406"/>
        <w:gridCol w:w="1406"/>
        <w:gridCol w:w="1037"/>
        <w:gridCol w:w="1406"/>
        <w:gridCol w:w="1406"/>
        <w:gridCol w:w="1037"/>
      </w:tblGrid>
      <w:tr>
        <w:trPr>
          <w:cantSplit/>
          <w:trHeight w:val="72" w:hRule="atLeast"/>
          <w:tblHeader/>
        </w:trPr>
        <w:tc>
          <w:tcPr>
            <w:gridSpan w:val="2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Procedure</w:t>
            </w:r>
          </w:p>
        </w:tc>
        <w:tc>
          <w:tcPr>
            <w:gridSpan w:val="3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Surgical approach</w:t>
            </w:r>
          </w:p>
        </w:tc>
      </w:tr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171)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Appendectomy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46)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Cholecystectomy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75)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Inguinal hernia repair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50)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80)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Laparoscopic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91)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Postgraduate year, median (IQR)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(2.00–⁠5.00)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.242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(2.00–⁠4.25)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.088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d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Zwisch autonomy level,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.553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.068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 Show and tell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(13.45)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(15.22)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(17.58)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 Active help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(14.62)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(19.57)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(18.68)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 Passive help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 Supervision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(44.44)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(47.50)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Zwisch score (1–⁠4),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(2.50–⁠4.00)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(2.25–⁠4.00)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.182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(3.00–⁠4.00)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(2.00–⁠4.00)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.094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d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SIMPL performance rating,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.899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.036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c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 Unprepared/critical deficiency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(3.51)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(5.49)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 Inexperienced with procedure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(19.57)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(16.48)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 Intermediate 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(27.49)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 Practice-ready 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(19.88)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(15.22)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(28.75)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 Exceptional 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(35.09)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(38.67)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(36.25)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(34.07)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SIMPL score (1–⁠5), median (IQR)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.375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(3.00–⁠5.00)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.083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d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Data are n (%) or median (IQR). Percentages use the column total as denominator.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The first P value column compares procedures; the second compares surgical approaches. Estimates adjusted for postgraduate year, complexity, attending, and time are shown in Table 4.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Evaluations are not independent (multiple per resident); P values are descriptive.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 values: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Kruskal–⁠Wallis test;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b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χ² test;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Fisher exact test, used when any expected cell count was &lt;5 (Monte Carlo P value, 100,000 replicates, for tables larger than 2×2);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Mann–⁠Whitney U test.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IQR, interquartile range.</w:t>
      </w:r>
    </w:p>
    <w:p>
      <w:pPr>
        <w:sectPr>
          <w:pgMar w:header="708" w:bottom="1080" w:top="1080" w:right="1080" w:left="1080" w:footer="708" w:gutter="0"/>
          <w:pgSz w:h="11906" w:w="16838" w:orient="landscape"/>
          <w:type w:val="next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S5. Sensitivity Analysis Excluding Flagged Cases: Factors Associated With Autonomy and Performance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Adjusted odds ratios from the Table 4 mixed-effects ordinal models fitted to all attending evaluations and after excluding cases flagged during data verification.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458"/>
        <w:gridCol w:w="1595"/>
        <w:gridCol w:w="1037"/>
        <w:gridCol w:w="1595"/>
        <w:gridCol w:w="1037"/>
        <w:gridCol w:w="1442"/>
        <w:gridCol w:w="1037"/>
        <w:gridCol w:w="1442"/>
        <w:gridCol w:w="1037"/>
      </w:tblGrid>
      <w:tr>
        <w:trPr>
          <w:cantSplit/>
          <w:trHeight w:val="72" w:hRule="atLeast"/>
          <w:tblHeader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Zwisch autonomy</w:t>
            </w:r>
          </w:p>
        </w:tc>
        <w:tc>
          <w:tcPr>
            <w:gridSpan w:val="4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SIMPL performance</w:t>
            </w:r>
          </w:p>
        </w:tc>
      </w:tr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cases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171)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aOR (95% CI)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Excluding flagged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141)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aOR (95% CI)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cases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171)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aOR (95% CI)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Excluding flagged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141)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aOR (95% CI)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Postgraduate year, per 1-year increase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27.44 (11.00–⁠68.44)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24.14 (10.95–⁠53.22)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7.51 (4.02–⁠14.01)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6.53 (3.51–⁠12.12)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&lt;.001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Case complexity (attending-rated)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4.12 (1.41–⁠12.06)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3.08 (1.08–⁠8.78)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3.25 (1.30–⁠8.14)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 (1.06–⁠8.20)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.038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 Difficult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(0.57–⁠7.17)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 (0.37–⁠4.47)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3.14 (1.13–⁠8.69)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3.32 (1.05–⁠10.46)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.040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Procedure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 Appendectomy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 Cholecystectomy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(0.42–⁠3.60)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 (0.38–⁠3.48)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(0.38–⁠2.23)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(0.35–⁠2.41)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.858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 Inguinal hernia repair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(0.23–⁠2.71)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(0.44–⁠5.82)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(0.33–⁠2.53)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(0.26–⁠2.33)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.655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approach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 Open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 Laparoscopic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 (0.18–⁠1.89)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(0.26–⁠3.22)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(0.33–⁠1.81)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(0.28–⁠1.90)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.511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Evaluating attending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 Attending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[Reference]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 Attending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(0.36–⁠4.23)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(0.34–⁠3.57)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 (0.36–⁠2.68)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 (0.61–⁠5.20)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.287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 Attending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 (0.14–⁠1.63)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 (0.20–⁠1.86)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(0.40–⁠3.09)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(0.45–⁠3.96)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.596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 since study start, per month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(0.74–⁠1.35)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.998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(0.73–⁠1.31)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.893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(0.85–⁠1.42)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.483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1.12 (0.84–⁠1.50)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.428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Flagged cases (n = 17) were those with two attending forms and no self-assessment (n = 13), forms from different residents under one case number (n = 1), mismatched procedure, approach, or date between the two forms of a case (n = 8), or inconsistent evaluator coding (n = 1); categories overlap.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Models as in Table 4: cumulative logit with a random intercept for resident; postgraduate year per 1-year increase. P values are from Wald tests.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aOR, adjusted odds ratio; CI, confidence interval.</w:t>
      </w:r>
    </w:p>
    <w:p>
      <w:pPr>
        <w:sectPr>
          <w:pgMar w:header="708" w:bottom="1080" w:top="1080" w:right="1080" w:left="1080" w:footer="708" w:gutter="0"/>
          <w:pgSz w:h="11906" w:w="16838" w:orient="landscape"/>
          <w:type w:val="next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S6. Sensitivity Analysis Excluding Flagged Pairs: Agreement Between Self-Assessment and Attending Rating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Agreement statistics as in Table 5 after excluding 4 paired cases flagged during data verification (mismatched procedure, approach, date, or evaluator coding).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608"/>
        <w:gridCol w:w="1388"/>
        <w:gridCol w:w="1644"/>
        <w:gridCol w:w="1481"/>
        <w:gridCol w:w="1481"/>
        <w:gridCol w:w="1562"/>
        <w:gridCol w:w="1481"/>
        <w:gridCol w:w="1037"/>
      </w:tblGrid>
      <w:tr>
        <w:trPr>
          <w:cantSplit/>
          <w:trHeight w:val="72" w:hRule="atLeast"/>
          <w:tblHeader/>
        </w:trPr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76)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11)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PGY-2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10)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PGY-3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22)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PGY-4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18)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PGY-5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15)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Zwisch autonomy level (1–⁠4)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 Exact agreement,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(63.64)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.118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 Agreement within one level,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(97.37)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(90.00)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.485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 Self-rating higher than attending,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(40.00)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(22.73)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.137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 Self-rating lower than attending,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(9.09)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(40.00)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(27.78)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 − attending difference,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−0.07 (0.74)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 (0.60)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−0.09 (0.81)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−0.11 (0.68)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−0.27 (0.46)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.595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 Weighted κ (95% CI)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(0.54–⁠0.84)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−0.16 (−0.52 to −0.09)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(−0.73 to 0.39)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 (−0.41 to 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−0.09 (−0.47 to 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SIMPL performance rating (1–⁠5)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 Exact agreement,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(36.36)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(54.55)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(38.89)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(66.67)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.469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c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 Agreement within one level,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(63.64)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.018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 Self-rating higher than attending,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(27.27)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(22.22)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.601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 Self-rating lower than attending,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(36.36)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(38.89)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 Self − attending difference,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 (0.91)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 (1.38)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−0.10 (0.74)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 (0.75)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−0.22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 (0.59)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.587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b</w:t>
            </w:r>
          </w:p>
        </w:tc>
      </w:tr>
      <w:tr>
        <w:trPr>
          <w:cantSplit/>
          <w:trHeight w:val="72" w:hRule="atLeast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 Weighted κ (95% CI)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(0.56–⁠0.75)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(−0.65 to 0.26)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 (−0.42 to 0.52)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(0.37–⁠0.76)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−0.30 (−0.52 to 0.14)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 (−0.23 to 0.40)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Analysis restricted to cases with exactly one attending evaluation and one resident self-assessment (n = 76 pairs from 34 residents); column n values are pairs.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Direction compares the resident's self-rating with the attending's rating of the same case; the P value for direction tests the distribution of higher, identical, and lower self-ratings.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Weighted κ uses quadratic weights; 95% CIs from a cluster bootstrap resampling residents (2,000 replicates). NE, not estimable because one rater gave the same rating to every case in the stratum.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Within-year κ values are attenuated by the narrow range of ratings within each postgraduate year and should be interpreted with the overall estimate.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Comparisons are across postgraduate years. Pairs are not independent (several per resident); P values are descriptive.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P values: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Fisher exact test, used when any expected cell count was &lt;5 (Monte Carlo P value, 100,000 replicates, for tables larger than 2×2);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b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Kruskal–⁠Wallis test; </w:t>
      </w:r>
      <w:r>
        <w:rPr>
          <w:rFonts w:ascii="Arial" w:hAnsi="Arial" w:eastAsia="Arial" w:cs="Arial"/>
          <w:i w:val="false"/>
          <w:b w:val="false"/>
          <w:u w:val="none"/>
          <w:strike w:val="false"/>
          <w:vertAlign w:val="superscript"/>
          <w:sz w:val="18"/>
          <w:szCs w:val="18"/>
          <w:color w:val="000000"/>
        </w:rPr>
        <w:t xml:space="preserve">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 χ² test.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000000"/>
        </w:rPr>
        <w:t xml:space="preserve">Abbreviations: CI, confidence interval; NE, not estimable; PGY, postgraduate year; SD, standard deviation.</w:t>
      </w:r>
    </w:p>
    <w:p>
      <w:pPr>
        <w:sectPr>
          <w:pgMar w:header="708" w:bottom="1080" w:top="1080" w:right="1080" w:left="1080" w:footer="708" w:gutter="0"/>
          <w:pgSz w:h="11906" w:w="16838" w:orient="landscape"/>
          <w:type w:val="next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2026-10-17T17:31:55Z</dcterms:modified>
  <cp:category/>
</cp:coreProperties>
</file>