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dq5swzdoilu" w:id="0"/>
      <w:bookmarkEnd w:id="0"/>
      <w:r w:rsidDel="00000000" w:rsidR="00000000" w:rsidRPr="00000000">
        <w:rPr>
          <w:color w:val="4a86e8"/>
          <w:rtl w:val="0"/>
        </w:rPr>
        <w:t xml:space="preserve">Práctica Data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este ejercicio nuestro objetivo es complementar la arquitectura de entidades, componentes y mensajería que hemos creado con carga de entidades y componentes a partir de ficheros de disco (Game Data Driven). Nuestro objetivo será definir la entidad de la bola con sus componentes y propiedades a partir de uno o varios archivos json.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1.- Añade la libreria RapidJson a tu proyecto: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Tencent/rapidjson: A fast JSON parser/generator for C++ with both SAX/DOM style API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Descarga el github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Mueve la carpeta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include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la altura de tu solución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2.- Para probar que has incluido correctamente la librería y familiarizarnos con las funciones: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Añade en la carpeta de Release/Data un fichero json con contenido de ejemplo:</w:t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" w:lineRule="auto"/>
              <w:ind w:left="800"/>
              <w:jc w:val="both"/>
              <w:rPr>
                <w:rFonts w:ascii="Calibri" w:cs="Calibri" w:eastAsia="Calibri" w:hAnsi="Calibri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spacing w:line="342" w:lineRule="auto"/>
              <w:ind w:left="800"/>
              <w:jc w:val="both"/>
              <w:rPr>
                <w:rFonts w:ascii="Calibri" w:cs="Calibri" w:eastAsia="Calibri" w:hAnsi="Calibri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rtl w:val="0"/>
              </w:rPr>
              <w:t xml:space="preserve">   "hello": "world",</w:t>
            </w:r>
          </w:p>
          <w:p w:rsidR="00000000" w:rsidDel="00000000" w:rsidP="00000000" w:rsidRDefault="00000000" w:rsidRPr="00000000" w14:paraId="0000000E">
            <w:pPr>
              <w:spacing w:line="342" w:lineRule="auto"/>
              <w:ind w:left="800"/>
              <w:jc w:val="both"/>
              <w:rPr>
                <w:rFonts w:ascii="Calibri" w:cs="Calibri" w:eastAsia="Calibri" w:hAnsi="Calibri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rtl w:val="0"/>
              </w:rPr>
              <w:t xml:space="preserve">   "t": true ,</w:t>
            </w:r>
          </w:p>
          <w:p w:rsidR="00000000" w:rsidDel="00000000" w:rsidP="00000000" w:rsidRDefault="00000000" w:rsidRPr="00000000" w14:paraId="0000000F">
            <w:pPr>
              <w:spacing w:line="342" w:lineRule="auto"/>
              <w:ind w:left="800"/>
              <w:jc w:val="both"/>
              <w:rPr>
                <w:rFonts w:ascii="Calibri" w:cs="Calibri" w:eastAsia="Calibri" w:hAnsi="Calibri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rtl w:val="0"/>
              </w:rPr>
              <w:t xml:space="preserve">   "f": false,</w:t>
            </w:r>
          </w:p>
          <w:p w:rsidR="00000000" w:rsidDel="00000000" w:rsidP="00000000" w:rsidRDefault="00000000" w:rsidRPr="00000000" w14:paraId="00000010">
            <w:pPr>
              <w:spacing w:line="342" w:lineRule="auto"/>
              <w:ind w:left="800"/>
              <w:jc w:val="both"/>
              <w:rPr>
                <w:rFonts w:ascii="Calibri" w:cs="Calibri" w:eastAsia="Calibri" w:hAnsi="Calibri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rtl w:val="0"/>
              </w:rPr>
              <w:t xml:space="preserve">   "n": null,</w:t>
            </w:r>
          </w:p>
          <w:p w:rsidR="00000000" w:rsidDel="00000000" w:rsidP="00000000" w:rsidRDefault="00000000" w:rsidRPr="00000000" w14:paraId="00000011">
            <w:pPr>
              <w:spacing w:line="342" w:lineRule="auto"/>
              <w:ind w:left="800"/>
              <w:jc w:val="both"/>
              <w:rPr>
                <w:rFonts w:ascii="Calibri" w:cs="Calibri" w:eastAsia="Calibri" w:hAnsi="Calibri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rtl w:val="0"/>
              </w:rPr>
              <w:t xml:space="preserve">   "i": 123,</w:t>
            </w:r>
          </w:p>
          <w:p w:rsidR="00000000" w:rsidDel="00000000" w:rsidP="00000000" w:rsidRDefault="00000000" w:rsidRPr="00000000" w14:paraId="00000012">
            <w:pPr>
              <w:spacing w:line="342" w:lineRule="auto"/>
              <w:ind w:left="800"/>
              <w:jc w:val="both"/>
              <w:rPr>
                <w:rFonts w:ascii="Calibri" w:cs="Calibri" w:eastAsia="Calibri" w:hAnsi="Calibri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rtl w:val="0"/>
              </w:rPr>
              <w:t xml:space="preserve">   "pi": 3.1416,</w:t>
            </w:r>
          </w:p>
          <w:p w:rsidR="00000000" w:rsidDel="00000000" w:rsidP="00000000" w:rsidRDefault="00000000" w:rsidRPr="00000000" w14:paraId="00000013">
            <w:pPr>
              <w:spacing w:line="342" w:lineRule="auto"/>
              <w:ind w:left="800"/>
              <w:jc w:val="both"/>
              <w:rPr>
                <w:rFonts w:ascii="Calibri" w:cs="Calibri" w:eastAsia="Calibri" w:hAnsi="Calibri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rtl w:val="0"/>
              </w:rPr>
              <w:t xml:space="preserve">   "a": [1, 2, 3, 4]</w:t>
            </w:r>
          </w:p>
          <w:p w:rsidR="00000000" w:rsidDel="00000000" w:rsidP="00000000" w:rsidRDefault="00000000" w:rsidRPr="00000000" w14:paraId="00000014">
            <w:pPr>
              <w:spacing w:line="342" w:lineRule="auto"/>
              <w:ind w:left="80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Lee el contenido del fichero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Crear un buffer para dicho fichero: </w:t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82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200"/>
                <w:rtl w:val="0"/>
              </w:rPr>
              <w:t xml:space="preserve">// Read the file into a buffer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808080"/>
                <w:rtl w:val="0"/>
              </w:rPr>
              <w:t xml:space="preserve">char</w:t>
            </w:r>
            <w:r w:rsidDel="00000000" w:rsidR="00000000" w:rsidRPr="00000000">
              <w:rPr>
                <w:rFonts w:ascii="Calibri" w:cs="Calibri" w:eastAsia="Calibri" w:hAnsi="Calibri"/>
                <w:color w:val="27323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readBuffer[65536];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rapidjson::FileReadStream is(fp, readBuffer,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699"/>
                <w:rtl w:val="0"/>
              </w:rPr>
              <w:t xml:space="preserve">sizeof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(readBuffer));</w:t>
            </w:r>
          </w:p>
        </w:tc>
      </w:tr>
    </w:tbl>
    <w:p w:rsidR="00000000" w:rsidDel="00000000" w:rsidP="00000000" w:rsidRDefault="00000000" w:rsidRPr="00000000" w14:paraId="0000001A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Convierte el buffer en una estructura Document.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 la estructura document y convertirla a variable y pintarlas por pantalla</w:t>
      </w:r>
    </w:p>
    <w:p w:rsidR="00000000" w:rsidDel="00000000" w:rsidP="00000000" w:rsidRDefault="00000000" w:rsidRPr="00000000" w14:paraId="0000001D">
      <w:pPr>
        <w:shd w:fill="ffffff" w:val="clear"/>
        <w:spacing w:line="28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8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3.- En la práctica anterior las entidades bolas, se crean a partir de componentes directamente desde código. Para esta práctica define un schema json para construir la entidad de bola. El esquema debe contener componentes y sus valores de inicialización. (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JSON Online Validator and Formatter - JSON Lint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spacing w:line="28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8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5.- La clase entidad deberá tener un propiedad que indica el nombre del fichero json a partir del cual construirse</w:t>
      </w:r>
    </w:p>
    <w:p w:rsidR="00000000" w:rsidDel="00000000" w:rsidP="00000000" w:rsidRDefault="00000000" w:rsidRPr="00000000" w14:paraId="00000021">
      <w:pPr>
        <w:shd w:fill="ffffff" w:val="clear"/>
        <w:spacing w:line="28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8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4.- Cambia y adapta la interfaz de inicialización de tu world manager para leer los ficheros de las entidades y construir correctamente los objetos.</w:t>
      </w:r>
    </w:p>
    <w:p w:rsidR="00000000" w:rsidDel="00000000" w:rsidP="00000000" w:rsidRDefault="00000000" w:rsidRPr="00000000" w14:paraId="00000023">
      <w:pPr>
        <w:shd w:fill="ffffff" w:val="clear"/>
        <w:spacing w:line="28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8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Nota: En nuestra arquitectura para esta práctica y las sucesivas, podemos asumir que nuestro código sabe la arquitectura del schema. Es decir, no es necesario iterar a través de los json para descubrir sus campos.</w:t>
      </w:r>
    </w:p>
    <w:p w:rsidR="00000000" w:rsidDel="00000000" w:rsidP="00000000" w:rsidRDefault="00000000" w:rsidRPr="00000000" w14:paraId="00000025">
      <w:pPr>
        <w:shd w:fill="ffffff" w:val="clear"/>
        <w:spacing w:line="288" w:lineRule="auto"/>
        <w:jc w:val="both"/>
        <w:rPr>
          <w:rFonts w:ascii="Calibri" w:cs="Calibri" w:eastAsia="Calibri" w:hAnsi="Calibri"/>
          <w:color w:val="273239"/>
        </w:rPr>
      </w:pPr>
      <w:r w:rsidDel="00000000" w:rsidR="00000000" w:rsidRPr="00000000">
        <w:rPr>
          <w:rFonts w:ascii="Calibri" w:cs="Calibri" w:eastAsia="Calibri" w:hAnsi="Calibri"/>
          <w:color w:val="273239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ncent/rapidjson/" TargetMode="External"/><Relationship Id="rId7" Type="http://schemas.openxmlformats.org/officeDocument/2006/relationships/hyperlink" Target="https://jsonl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