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23A1" w:rsidRPr="00A623A1" w:rsidRDefault="00A623A1" w:rsidP="00A623A1">
      <w:pPr>
        <w:spacing w:before="100" w:beforeAutospacing="1" w:after="100" w:afterAutospacing="1" w:line="240" w:lineRule="auto"/>
        <w:outlineLvl w:val="0"/>
        <w:rPr>
          <w:rFonts w:eastAsia="Times New Roman" w:cstheme="minorHAnsi"/>
          <w:b/>
          <w:bCs/>
          <w:kern w:val="36"/>
          <w:sz w:val="28"/>
          <w:szCs w:val="28"/>
          <w:lang w:eastAsia="es-AR"/>
        </w:rPr>
      </w:pPr>
      <w:r w:rsidRPr="00A623A1">
        <w:rPr>
          <w:rFonts w:ascii="Segoe UI Symbol" w:eastAsia="Times New Roman" w:hAnsi="Segoe UI Symbol" w:cs="Segoe UI Symbol"/>
          <w:b/>
          <w:bCs/>
          <w:kern w:val="36"/>
          <w:sz w:val="28"/>
          <w:szCs w:val="28"/>
          <w:lang w:eastAsia="es-AR"/>
        </w:rPr>
        <w:t>📄</w:t>
      </w:r>
      <w:r w:rsidRPr="00A623A1">
        <w:rPr>
          <w:rFonts w:eastAsia="Times New Roman" w:cstheme="minorHAnsi"/>
          <w:b/>
          <w:bCs/>
          <w:kern w:val="36"/>
          <w:sz w:val="28"/>
          <w:szCs w:val="28"/>
          <w:lang w:eastAsia="es-AR"/>
        </w:rPr>
        <w:t xml:space="preserve"> 1. DE WAELE ET AL., 2020</w:t>
      </w:r>
    </w:p>
    <w:p w:rsidR="00A623A1" w:rsidRPr="00A623A1" w:rsidRDefault="00A623A1" w:rsidP="00A623A1">
      <w:pPr>
        <w:spacing w:before="100" w:beforeAutospacing="1" w:after="100" w:afterAutospacing="1" w:line="240" w:lineRule="auto"/>
        <w:outlineLvl w:val="1"/>
        <w:rPr>
          <w:rFonts w:eastAsia="Times New Roman" w:cstheme="minorHAnsi"/>
          <w:b/>
          <w:bCs/>
          <w:sz w:val="28"/>
          <w:szCs w:val="28"/>
          <w:lang w:eastAsia="es-AR"/>
        </w:rPr>
      </w:pPr>
      <w:proofErr w:type="spellStart"/>
      <w:r w:rsidRPr="00A623A1">
        <w:rPr>
          <w:rFonts w:eastAsia="Times New Roman" w:cstheme="minorHAnsi"/>
          <w:b/>
          <w:bCs/>
          <w:i/>
          <w:iCs/>
          <w:sz w:val="28"/>
          <w:szCs w:val="28"/>
          <w:lang w:eastAsia="es-AR"/>
        </w:rPr>
        <w:t>Nutrition</w:t>
      </w:r>
      <w:proofErr w:type="spellEnd"/>
      <w:r w:rsidRPr="00A623A1">
        <w:rPr>
          <w:rFonts w:eastAsia="Times New Roman" w:cstheme="minorHAnsi"/>
          <w:b/>
          <w:bCs/>
          <w:i/>
          <w:iCs/>
          <w:sz w:val="28"/>
          <w:szCs w:val="28"/>
          <w:lang w:eastAsia="es-AR"/>
        </w:rPr>
        <w:t xml:space="preserve"> in Sepsis: A </w:t>
      </w:r>
      <w:proofErr w:type="spellStart"/>
      <w:r w:rsidRPr="00A623A1">
        <w:rPr>
          <w:rFonts w:eastAsia="Times New Roman" w:cstheme="minorHAnsi"/>
          <w:b/>
          <w:bCs/>
          <w:i/>
          <w:iCs/>
          <w:sz w:val="28"/>
          <w:szCs w:val="28"/>
          <w:lang w:eastAsia="es-AR"/>
        </w:rPr>
        <w:t>Bench</w:t>
      </w:r>
      <w:proofErr w:type="spellEnd"/>
      <w:r w:rsidRPr="00A623A1">
        <w:rPr>
          <w:rFonts w:eastAsia="Times New Roman" w:cstheme="minorHAnsi"/>
          <w:b/>
          <w:bCs/>
          <w:i/>
          <w:iCs/>
          <w:sz w:val="28"/>
          <w:szCs w:val="28"/>
          <w:lang w:eastAsia="es-AR"/>
        </w:rPr>
        <w:t>-to-</w:t>
      </w:r>
      <w:proofErr w:type="spellStart"/>
      <w:r w:rsidRPr="00A623A1">
        <w:rPr>
          <w:rFonts w:eastAsia="Times New Roman" w:cstheme="minorHAnsi"/>
          <w:b/>
          <w:bCs/>
          <w:i/>
          <w:iCs/>
          <w:sz w:val="28"/>
          <w:szCs w:val="28"/>
          <w:lang w:eastAsia="es-AR"/>
        </w:rPr>
        <w:t>Bedside</w:t>
      </w:r>
      <w:proofErr w:type="spellEnd"/>
      <w:r w:rsidRPr="00A623A1">
        <w:rPr>
          <w:rFonts w:eastAsia="Times New Roman" w:cstheme="minorHAnsi"/>
          <w:b/>
          <w:bCs/>
          <w:i/>
          <w:iCs/>
          <w:sz w:val="28"/>
          <w:szCs w:val="28"/>
          <w:lang w:eastAsia="es-AR"/>
        </w:rPr>
        <w:t xml:space="preserve"> </w:t>
      </w:r>
      <w:proofErr w:type="spellStart"/>
      <w:r w:rsidRPr="00A623A1">
        <w:rPr>
          <w:rFonts w:eastAsia="Times New Roman" w:cstheme="minorHAnsi"/>
          <w:b/>
          <w:bCs/>
          <w:i/>
          <w:iCs/>
          <w:sz w:val="28"/>
          <w:szCs w:val="28"/>
          <w:lang w:eastAsia="es-AR"/>
        </w:rPr>
        <w:t>Review</w:t>
      </w:r>
      <w:proofErr w:type="spellEnd"/>
    </w:p>
    <w:p w:rsidR="00A623A1" w:rsidRPr="00A623A1" w:rsidRDefault="00A623A1" w:rsidP="00A623A1">
      <w:pPr>
        <w:spacing w:before="100" w:beforeAutospacing="1" w:after="100" w:afterAutospacing="1" w:line="240" w:lineRule="auto"/>
        <w:rPr>
          <w:rFonts w:eastAsia="Times New Roman" w:cstheme="minorHAnsi"/>
          <w:sz w:val="28"/>
          <w:szCs w:val="28"/>
          <w:lang w:eastAsia="es-AR"/>
        </w:rPr>
      </w:pPr>
      <w:r w:rsidRPr="00A623A1">
        <w:rPr>
          <w:rFonts w:eastAsia="Times New Roman" w:cstheme="minorHAnsi"/>
          <w:sz w:val="28"/>
          <w:szCs w:val="28"/>
          <w:lang w:eastAsia="es-AR"/>
        </w:rPr>
        <w:t xml:space="preserve">La sepsis constituye uno de los escenarios más complejos en términos de soporte nutricional debido a la profunda alteración del metabolismo energético que la caracteriza. Este estado no puede ser comprendido únicamente como un aumento del gasto energético, sino más bien como una </w:t>
      </w:r>
      <w:r w:rsidRPr="00A623A1">
        <w:rPr>
          <w:rFonts w:eastAsia="Times New Roman" w:cstheme="minorHAnsi"/>
          <w:b/>
          <w:bCs/>
          <w:sz w:val="28"/>
          <w:szCs w:val="28"/>
          <w:lang w:eastAsia="es-AR"/>
        </w:rPr>
        <w:t>reprogramación metabólica sistémica</w:t>
      </w:r>
      <w:r w:rsidRPr="00A623A1">
        <w:rPr>
          <w:rFonts w:eastAsia="Times New Roman" w:cstheme="minorHAnsi"/>
          <w:sz w:val="28"/>
          <w:szCs w:val="28"/>
          <w:lang w:eastAsia="es-AR"/>
        </w:rPr>
        <w:t>, en la cual se altera tanto la producción como la utilización de los sustratos.</w:t>
      </w:r>
    </w:p>
    <w:p w:rsidR="00A623A1" w:rsidRPr="00A623A1" w:rsidRDefault="00A623A1" w:rsidP="00A623A1">
      <w:pPr>
        <w:spacing w:before="100" w:beforeAutospacing="1" w:after="100" w:afterAutospacing="1" w:line="240" w:lineRule="auto"/>
        <w:rPr>
          <w:rFonts w:eastAsia="Times New Roman" w:cstheme="minorHAnsi"/>
          <w:sz w:val="28"/>
          <w:szCs w:val="28"/>
          <w:lang w:eastAsia="es-AR"/>
        </w:rPr>
      </w:pPr>
      <w:r w:rsidRPr="00A623A1">
        <w:rPr>
          <w:rFonts w:eastAsia="Times New Roman" w:cstheme="minorHAnsi"/>
          <w:sz w:val="28"/>
          <w:szCs w:val="28"/>
          <w:lang w:eastAsia="es-AR"/>
        </w:rPr>
        <w:t xml:space="preserve">Durante la fase aguda de la sepsis, el organismo desarrolla un perfil marcadamente catabólico, mediado por la activación de vías inflamatorias y hormonales que favorecen la movilización de reservas energéticas. La gluconeogénesis hepática se encuentra aumentada y sostenida, utilizando aminoácidos provenientes del músculo esquelético, así como lactato y glicerol. Este proceso ocurre incluso en presencia de aporte exógeno de glucosa, lo que indica una pérdida del control fisiológico </w:t>
      </w:r>
      <w:proofErr w:type="gramStart"/>
      <w:r w:rsidRPr="00A623A1">
        <w:rPr>
          <w:rFonts w:eastAsia="Times New Roman" w:cstheme="minorHAnsi"/>
          <w:sz w:val="28"/>
          <w:szCs w:val="28"/>
          <w:lang w:eastAsia="es-AR"/>
        </w:rPr>
        <w:t>de la homeostasis</w:t>
      </w:r>
      <w:proofErr w:type="gramEnd"/>
      <w:r w:rsidRPr="00A623A1">
        <w:rPr>
          <w:rFonts w:eastAsia="Times New Roman" w:cstheme="minorHAnsi"/>
          <w:sz w:val="28"/>
          <w:szCs w:val="28"/>
          <w:lang w:eastAsia="es-AR"/>
        </w:rPr>
        <w:t xml:space="preserve"> energética.</w:t>
      </w:r>
    </w:p>
    <w:p w:rsidR="00A623A1" w:rsidRPr="00A623A1" w:rsidRDefault="00A623A1" w:rsidP="00A623A1">
      <w:pPr>
        <w:spacing w:before="100" w:beforeAutospacing="1" w:after="100" w:afterAutospacing="1" w:line="240" w:lineRule="auto"/>
        <w:rPr>
          <w:rFonts w:eastAsia="Times New Roman" w:cstheme="minorHAnsi"/>
          <w:sz w:val="28"/>
          <w:szCs w:val="28"/>
          <w:lang w:eastAsia="es-AR"/>
        </w:rPr>
      </w:pPr>
      <w:r w:rsidRPr="00A623A1">
        <w:rPr>
          <w:rFonts w:eastAsia="Times New Roman" w:cstheme="minorHAnsi"/>
          <w:sz w:val="28"/>
          <w:szCs w:val="28"/>
          <w:lang w:eastAsia="es-AR"/>
        </w:rPr>
        <w:t>Simultáneamente, se desarrolla una resistencia periférica a la insulina que limita la captación de glucosa por los tejidos, favoreciendo la hiperglucemia y contribuyendo a un estado de ineficiencia metabólica. A nivel lipídico, la lipólisis se encuentra aumentada, pero la oxidación de ácidos grasos puede estar comprometida, generando acumulación de intermediarios metabólicos.</w:t>
      </w:r>
    </w:p>
    <w:p w:rsidR="00A623A1" w:rsidRPr="00A623A1" w:rsidRDefault="00A623A1" w:rsidP="00A623A1">
      <w:pPr>
        <w:spacing w:before="100" w:beforeAutospacing="1" w:after="100" w:afterAutospacing="1" w:line="240" w:lineRule="auto"/>
        <w:rPr>
          <w:rFonts w:eastAsia="Times New Roman" w:cstheme="minorHAnsi"/>
          <w:sz w:val="28"/>
          <w:szCs w:val="28"/>
          <w:lang w:eastAsia="es-AR"/>
        </w:rPr>
      </w:pPr>
      <w:r w:rsidRPr="00A623A1">
        <w:rPr>
          <w:rFonts w:eastAsia="Times New Roman" w:cstheme="minorHAnsi"/>
          <w:sz w:val="28"/>
          <w:szCs w:val="28"/>
          <w:lang w:eastAsia="es-AR"/>
        </w:rPr>
        <w:t xml:space="preserve">Uno de los aspectos más relevantes es la disfunción mitocondrial, que limita la capacidad de las células para generar ATP a partir de los sustratos disponibles. Este fenómeno ha sido conceptualizado como “hipoxia </w:t>
      </w:r>
      <w:proofErr w:type="spellStart"/>
      <w:r w:rsidRPr="00A623A1">
        <w:rPr>
          <w:rFonts w:eastAsia="Times New Roman" w:cstheme="minorHAnsi"/>
          <w:sz w:val="28"/>
          <w:szCs w:val="28"/>
          <w:lang w:eastAsia="es-AR"/>
        </w:rPr>
        <w:t>citopática</w:t>
      </w:r>
      <w:proofErr w:type="spellEnd"/>
      <w:r w:rsidRPr="00A623A1">
        <w:rPr>
          <w:rFonts w:eastAsia="Times New Roman" w:cstheme="minorHAnsi"/>
          <w:sz w:val="28"/>
          <w:szCs w:val="28"/>
          <w:lang w:eastAsia="es-AR"/>
        </w:rPr>
        <w:t>”, donde la entrega de oxígeno es adecuada pero su utilización está alterada. En este contexto, la administración de nutrientes no necesariamente mejora la disponibilidad energética celular.</w:t>
      </w:r>
    </w:p>
    <w:p w:rsidR="00A623A1" w:rsidRPr="00A623A1" w:rsidRDefault="00A623A1" w:rsidP="00A623A1">
      <w:pPr>
        <w:spacing w:before="100" w:beforeAutospacing="1" w:after="100" w:afterAutospacing="1" w:line="240" w:lineRule="auto"/>
        <w:rPr>
          <w:rFonts w:eastAsia="Times New Roman" w:cstheme="minorHAnsi"/>
          <w:sz w:val="28"/>
          <w:szCs w:val="28"/>
          <w:lang w:eastAsia="es-AR"/>
        </w:rPr>
      </w:pPr>
      <w:r w:rsidRPr="00A623A1">
        <w:rPr>
          <w:rFonts w:eastAsia="Times New Roman" w:cstheme="minorHAnsi"/>
          <w:sz w:val="28"/>
          <w:szCs w:val="28"/>
          <w:lang w:eastAsia="es-AR"/>
        </w:rPr>
        <w:t xml:space="preserve">Un concepto central desarrollado por los autores es el de </w:t>
      </w:r>
      <w:r w:rsidRPr="00A623A1">
        <w:rPr>
          <w:rFonts w:eastAsia="Times New Roman" w:cstheme="minorHAnsi"/>
          <w:b/>
          <w:bCs/>
          <w:sz w:val="28"/>
          <w:szCs w:val="28"/>
          <w:lang w:eastAsia="es-AR"/>
        </w:rPr>
        <w:t>producción endógena de energía</w:t>
      </w:r>
      <w:r w:rsidRPr="00A623A1">
        <w:rPr>
          <w:rFonts w:eastAsia="Times New Roman" w:cstheme="minorHAnsi"/>
          <w:sz w:val="28"/>
          <w:szCs w:val="28"/>
          <w:lang w:eastAsia="es-AR"/>
        </w:rPr>
        <w:t>, que en los primeros días de la enfermedad puede cubrir una proporción significativa del gasto energético total. Esto implica que el aporte exógeno, si no es cuidadosamente ajustado, puede generar sobrecarga metabólica sin beneficio clínico.</w:t>
      </w:r>
    </w:p>
    <w:p w:rsidR="00A623A1" w:rsidRPr="00A623A1" w:rsidRDefault="00A623A1" w:rsidP="00A623A1">
      <w:pPr>
        <w:spacing w:before="100" w:beforeAutospacing="1" w:after="100" w:afterAutospacing="1" w:line="240" w:lineRule="auto"/>
        <w:rPr>
          <w:rFonts w:eastAsia="Times New Roman" w:cstheme="minorHAnsi"/>
          <w:sz w:val="28"/>
          <w:szCs w:val="28"/>
          <w:lang w:eastAsia="es-AR"/>
        </w:rPr>
      </w:pPr>
      <w:r w:rsidRPr="00A623A1">
        <w:rPr>
          <w:rFonts w:eastAsia="Times New Roman" w:cstheme="minorHAnsi"/>
          <w:sz w:val="28"/>
          <w:szCs w:val="28"/>
          <w:lang w:eastAsia="es-AR"/>
        </w:rPr>
        <w:t xml:space="preserve">Desde el punto de vista clínico, esto fundamenta un enfoque </w:t>
      </w:r>
      <w:r w:rsidRPr="00A623A1">
        <w:rPr>
          <w:rFonts w:eastAsia="Times New Roman" w:cstheme="minorHAnsi"/>
          <w:b/>
          <w:bCs/>
          <w:sz w:val="28"/>
          <w:szCs w:val="28"/>
          <w:lang w:eastAsia="es-AR"/>
        </w:rPr>
        <w:t>fase-dependiente</w:t>
      </w:r>
      <w:r w:rsidRPr="00A623A1">
        <w:rPr>
          <w:rFonts w:eastAsia="Times New Roman" w:cstheme="minorHAnsi"/>
          <w:sz w:val="28"/>
          <w:szCs w:val="28"/>
          <w:lang w:eastAsia="es-AR"/>
        </w:rPr>
        <w:t xml:space="preserve"> del soporte nutricional. En la fase aguda, la prioridad es la </w:t>
      </w:r>
      <w:r w:rsidRPr="00A623A1">
        <w:rPr>
          <w:rFonts w:eastAsia="Times New Roman" w:cstheme="minorHAnsi"/>
          <w:sz w:val="28"/>
          <w:szCs w:val="28"/>
          <w:lang w:eastAsia="es-AR"/>
        </w:rPr>
        <w:lastRenderedPageBreak/>
        <w:t>estabilización hemodinámica y el control de la respuesta inflamatoria, mientras que el soporte nutricional debe ser prudente y progresivo. En fases posteriores, cuando el paciente transita hacia un estado menos catabólico, la nutrición adquiere un rol más claramente anabólico, orientado a la recuperación de la masa muscular y la función inmunológica.</w:t>
      </w:r>
    </w:p>
    <w:p w:rsidR="00A623A1" w:rsidRPr="00A623A1" w:rsidRDefault="00A623A1" w:rsidP="00A623A1">
      <w:pPr>
        <w:spacing w:before="100" w:beforeAutospacing="1" w:after="100" w:afterAutospacing="1" w:line="240" w:lineRule="auto"/>
        <w:rPr>
          <w:rFonts w:eastAsia="Times New Roman" w:cstheme="minorHAnsi"/>
          <w:sz w:val="28"/>
          <w:szCs w:val="28"/>
          <w:lang w:eastAsia="es-AR"/>
        </w:rPr>
      </w:pPr>
      <w:r w:rsidRPr="00A623A1">
        <w:rPr>
          <w:rFonts w:eastAsia="Times New Roman" w:cstheme="minorHAnsi"/>
          <w:sz w:val="28"/>
          <w:szCs w:val="28"/>
          <w:lang w:eastAsia="es-AR"/>
        </w:rPr>
        <w:t>El trabajo también aborda el concepto de “</w:t>
      </w:r>
      <w:proofErr w:type="spellStart"/>
      <w:r w:rsidRPr="00A623A1">
        <w:rPr>
          <w:rFonts w:eastAsia="Times New Roman" w:cstheme="minorHAnsi"/>
          <w:sz w:val="28"/>
          <w:szCs w:val="28"/>
          <w:lang w:eastAsia="es-AR"/>
        </w:rPr>
        <w:t>pharmaconutrition</w:t>
      </w:r>
      <w:proofErr w:type="spellEnd"/>
      <w:r w:rsidRPr="00A623A1">
        <w:rPr>
          <w:rFonts w:eastAsia="Times New Roman" w:cstheme="minorHAnsi"/>
          <w:sz w:val="28"/>
          <w:szCs w:val="28"/>
          <w:lang w:eastAsia="es-AR"/>
        </w:rPr>
        <w:t>”, evaluando el rol de nutrientes específicos como glutamina, omega-3 y antioxidantes. Sin embargo, concluye que la evidencia es insuficiente para recomendar su uso sistemático, y en algunos casos incluso sugiere potenciales efectos adversos.</w:t>
      </w:r>
    </w:p>
    <w:p w:rsidR="00A623A1" w:rsidRPr="00A623A1" w:rsidRDefault="00A623A1" w:rsidP="00A623A1">
      <w:pPr>
        <w:spacing w:before="100" w:beforeAutospacing="1" w:after="100" w:afterAutospacing="1" w:line="240" w:lineRule="auto"/>
        <w:rPr>
          <w:rFonts w:eastAsia="Times New Roman" w:cstheme="minorHAnsi"/>
          <w:sz w:val="28"/>
          <w:szCs w:val="28"/>
          <w:lang w:eastAsia="es-AR"/>
        </w:rPr>
      </w:pPr>
      <w:r w:rsidRPr="00A623A1">
        <w:rPr>
          <w:rFonts w:eastAsia="Times New Roman" w:cstheme="minorHAnsi"/>
          <w:sz w:val="28"/>
          <w:szCs w:val="28"/>
          <w:lang w:eastAsia="es-AR"/>
        </w:rPr>
        <w:t xml:space="preserve">En síntesis, este </w:t>
      </w:r>
      <w:proofErr w:type="spellStart"/>
      <w:r w:rsidRPr="00A623A1">
        <w:rPr>
          <w:rFonts w:eastAsia="Times New Roman" w:cstheme="minorHAnsi"/>
          <w:sz w:val="28"/>
          <w:szCs w:val="28"/>
          <w:lang w:eastAsia="es-AR"/>
        </w:rPr>
        <w:t>paper</w:t>
      </w:r>
      <w:proofErr w:type="spellEnd"/>
      <w:r w:rsidRPr="00A623A1">
        <w:rPr>
          <w:rFonts w:eastAsia="Times New Roman" w:cstheme="minorHAnsi"/>
          <w:sz w:val="28"/>
          <w:szCs w:val="28"/>
          <w:lang w:eastAsia="es-AR"/>
        </w:rPr>
        <w:t xml:space="preserve"> establece la base fisiopatológica que explica por qué el soporte nutricional en sepsis no puede seguir un modelo estándar, sino que debe adaptarse a la dinámica metabólica del paciente.</w:t>
      </w:r>
    </w:p>
    <w:p w:rsidR="00A623A1" w:rsidRPr="00A623A1" w:rsidRDefault="00A623A1" w:rsidP="00A623A1">
      <w:pPr>
        <w:spacing w:before="100" w:beforeAutospacing="1" w:after="100" w:afterAutospacing="1" w:line="240" w:lineRule="auto"/>
        <w:rPr>
          <w:rFonts w:eastAsia="Times New Roman" w:cstheme="minorHAnsi"/>
          <w:sz w:val="28"/>
          <w:szCs w:val="28"/>
          <w:lang w:eastAsia="es-AR"/>
        </w:rPr>
      </w:pPr>
      <w:r w:rsidRPr="00A623A1">
        <w:rPr>
          <w:rFonts w:ascii="Segoe UI Symbol" w:eastAsia="Times New Roman" w:hAnsi="Segoe UI Symbol" w:cs="Segoe UI Symbol"/>
          <w:sz w:val="28"/>
          <w:szCs w:val="28"/>
          <w:lang w:eastAsia="es-AR"/>
        </w:rPr>
        <w:t>📚</w:t>
      </w:r>
      <w:r w:rsidRPr="00A623A1">
        <w:rPr>
          <w:rFonts w:eastAsia="Times New Roman" w:cstheme="minorHAnsi"/>
          <w:sz w:val="28"/>
          <w:szCs w:val="28"/>
          <w:lang w:eastAsia="es-AR"/>
        </w:rPr>
        <w:t xml:space="preserve"> </w:t>
      </w:r>
      <w:r w:rsidRPr="00A623A1">
        <w:rPr>
          <w:rFonts w:eastAsia="Times New Roman" w:cstheme="minorHAnsi"/>
          <w:b/>
          <w:bCs/>
          <w:sz w:val="28"/>
          <w:szCs w:val="28"/>
          <w:lang w:eastAsia="es-AR"/>
        </w:rPr>
        <w:t>Referencia</w:t>
      </w:r>
      <w:r w:rsidRPr="00A623A1">
        <w:rPr>
          <w:rFonts w:eastAsia="Times New Roman" w:cstheme="minorHAnsi"/>
          <w:sz w:val="28"/>
          <w:szCs w:val="28"/>
          <w:lang w:eastAsia="es-AR"/>
        </w:rPr>
        <w:br/>
        <w:t xml:space="preserve">De </w:t>
      </w:r>
      <w:proofErr w:type="spellStart"/>
      <w:r w:rsidRPr="00A623A1">
        <w:rPr>
          <w:rFonts w:eastAsia="Times New Roman" w:cstheme="minorHAnsi"/>
          <w:sz w:val="28"/>
          <w:szCs w:val="28"/>
          <w:lang w:eastAsia="es-AR"/>
        </w:rPr>
        <w:t>Waele</w:t>
      </w:r>
      <w:proofErr w:type="spellEnd"/>
      <w:r w:rsidRPr="00A623A1">
        <w:rPr>
          <w:rFonts w:eastAsia="Times New Roman" w:cstheme="minorHAnsi"/>
          <w:sz w:val="28"/>
          <w:szCs w:val="28"/>
          <w:lang w:eastAsia="es-AR"/>
        </w:rPr>
        <w:t xml:space="preserve"> E. et al. </w:t>
      </w:r>
      <w:proofErr w:type="spellStart"/>
      <w:r w:rsidRPr="00A623A1">
        <w:rPr>
          <w:rFonts w:eastAsia="Times New Roman" w:cstheme="minorHAnsi"/>
          <w:i/>
          <w:iCs/>
          <w:sz w:val="28"/>
          <w:szCs w:val="28"/>
          <w:lang w:eastAsia="es-AR"/>
        </w:rPr>
        <w:t>Nutrition</w:t>
      </w:r>
      <w:proofErr w:type="spellEnd"/>
      <w:r w:rsidRPr="00A623A1">
        <w:rPr>
          <w:rFonts w:eastAsia="Times New Roman" w:cstheme="minorHAnsi"/>
          <w:i/>
          <w:iCs/>
          <w:sz w:val="28"/>
          <w:szCs w:val="28"/>
          <w:lang w:eastAsia="es-AR"/>
        </w:rPr>
        <w:t xml:space="preserve"> in Sepsis: A </w:t>
      </w:r>
      <w:proofErr w:type="spellStart"/>
      <w:r w:rsidRPr="00A623A1">
        <w:rPr>
          <w:rFonts w:eastAsia="Times New Roman" w:cstheme="minorHAnsi"/>
          <w:i/>
          <w:iCs/>
          <w:sz w:val="28"/>
          <w:szCs w:val="28"/>
          <w:lang w:eastAsia="es-AR"/>
        </w:rPr>
        <w:t>Bench</w:t>
      </w:r>
      <w:proofErr w:type="spellEnd"/>
      <w:r w:rsidRPr="00A623A1">
        <w:rPr>
          <w:rFonts w:eastAsia="Times New Roman" w:cstheme="minorHAnsi"/>
          <w:i/>
          <w:iCs/>
          <w:sz w:val="28"/>
          <w:szCs w:val="28"/>
          <w:lang w:eastAsia="es-AR"/>
        </w:rPr>
        <w:t>-to-</w:t>
      </w:r>
      <w:proofErr w:type="spellStart"/>
      <w:r w:rsidRPr="00A623A1">
        <w:rPr>
          <w:rFonts w:eastAsia="Times New Roman" w:cstheme="minorHAnsi"/>
          <w:i/>
          <w:iCs/>
          <w:sz w:val="28"/>
          <w:szCs w:val="28"/>
          <w:lang w:eastAsia="es-AR"/>
        </w:rPr>
        <w:t>Bedside</w:t>
      </w:r>
      <w:proofErr w:type="spellEnd"/>
      <w:r w:rsidRPr="00A623A1">
        <w:rPr>
          <w:rFonts w:eastAsia="Times New Roman" w:cstheme="minorHAnsi"/>
          <w:i/>
          <w:iCs/>
          <w:sz w:val="28"/>
          <w:szCs w:val="28"/>
          <w:lang w:eastAsia="es-AR"/>
        </w:rPr>
        <w:t xml:space="preserve"> </w:t>
      </w:r>
      <w:proofErr w:type="spellStart"/>
      <w:r w:rsidRPr="00A623A1">
        <w:rPr>
          <w:rFonts w:eastAsia="Times New Roman" w:cstheme="minorHAnsi"/>
          <w:i/>
          <w:iCs/>
          <w:sz w:val="28"/>
          <w:szCs w:val="28"/>
          <w:lang w:eastAsia="es-AR"/>
        </w:rPr>
        <w:t>Review</w:t>
      </w:r>
      <w:proofErr w:type="spellEnd"/>
      <w:r w:rsidRPr="00A623A1">
        <w:rPr>
          <w:rFonts w:eastAsia="Times New Roman" w:cstheme="minorHAnsi"/>
          <w:sz w:val="28"/>
          <w:szCs w:val="28"/>
          <w:lang w:eastAsia="es-AR"/>
        </w:rPr>
        <w:t>. 2020.</w:t>
      </w:r>
    </w:p>
    <w:p w:rsidR="00A623A1" w:rsidRPr="00A623A1" w:rsidRDefault="00EF36C6" w:rsidP="00A623A1">
      <w:pPr>
        <w:spacing w:after="0" w:line="240" w:lineRule="auto"/>
        <w:rPr>
          <w:rFonts w:eastAsia="Times New Roman" w:cstheme="minorHAnsi"/>
          <w:sz w:val="28"/>
          <w:szCs w:val="28"/>
          <w:lang w:eastAsia="es-AR"/>
        </w:rPr>
      </w:pPr>
      <w:r>
        <w:rPr>
          <w:rFonts w:eastAsia="Times New Roman" w:cstheme="minorHAnsi"/>
          <w:sz w:val="28"/>
          <w:szCs w:val="28"/>
          <w:lang w:eastAsia="es-AR"/>
        </w:rPr>
        <w:pict>
          <v:rect id="_x0000_i1025" style="width:0;height:1.5pt" o:hralign="center" o:hrstd="t" o:hr="t" fillcolor="#a0a0a0" stroked="f"/>
        </w:pict>
      </w:r>
    </w:p>
    <w:p w:rsidR="00A623A1" w:rsidRPr="00A623A1" w:rsidRDefault="00A623A1" w:rsidP="00A623A1">
      <w:pPr>
        <w:spacing w:before="100" w:beforeAutospacing="1" w:after="100" w:afterAutospacing="1" w:line="240" w:lineRule="auto"/>
        <w:outlineLvl w:val="0"/>
        <w:rPr>
          <w:rFonts w:eastAsia="Times New Roman" w:cstheme="minorHAnsi"/>
          <w:b/>
          <w:bCs/>
          <w:kern w:val="36"/>
          <w:sz w:val="28"/>
          <w:szCs w:val="28"/>
          <w:lang w:eastAsia="es-AR"/>
        </w:rPr>
      </w:pPr>
      <w:r w:rsidRPr="00A623A1">
        <w:rPr>
          <w:rFonts w:ascii="Segoe UI Symbol" w:eastAsia="Times New Roman" w:hAnsi="Segoe UI Symbol" w:cs="Segoe UI Symbol"/>
          <w:b/>
          <w:bCs/>
          <w:kern w:val="36"/>
          <w:sz w:val="28"/>
          <w:szCs w:val="28"/>
          <w:lang w:eastAsia="es-AR"/>
        </w:rPr>
        <w:t>📄</w:t>
      </w:r>
      <w:r w:rsidRPr="00A623A1">
        <w:rPr>
          <w:rFonts w:eastAsia="Times New Roman" w:cstheme="minorHAnsi"/>
          <w:b/>
          <w:bCs/>
          <w:kern w:val="36"/>
          <w:sz w:val="28"/>
          <w:szCs w:val="28"/>
          <w:lang w:eastAsia="es-AR"/>
        </w:rPr>
        <w:t xml:space="preserve"> 2. ICU MANAGEMENT REVIEW, 2025</w:t>
      </w:r>
    </w:p>
    <w:p w:rsidR="00A623A1" w:rsidRPr="00A623A1" w:rsidRDefault="00A623A1" w:rsidP="00A623A1">
      <w:pPr>
        <w:spacing w:before="100" w:beforeAutospacing="1" w:after="100" w:afterAutospacing="1" w:line="240" w:lineRule="auto"/>
        <w:outlineLvl w:val="1"/>
        <w:rPr>
          <w:rFonts w:eastAsia="Times New Roman" w:cstheme="minorHAnsi"/>
          <w:b/>
          <w:bCs/>
          <w:sz w:val="28"/>
          <w:szCs w:val="28"/>
          <w:lang w:eastAsia="es-AR"/>
        </w:rPr>
      </w:pPr>
      <w:proofErr w:type="spellStart"/>
      <w:r w:rsidRPr="00A623A1">
        <w:rPr>
          <w:rFonts w:eastAsia="Times New Roman" w:cstheme="minorHAnsi"/>
          <w:b/>
          <w:bCs/>
          <w:i/>
          <w:iCs/>
          <w:sz w:val="28"/>
          <w:szCs w:val="28"/>
          <w:lang w:eastAsia="es-AR"/>
        </w:rPr>
        <w:t>Nutrition</w:t>
      </w:r>
      <w:proofErr w:type="spellEnd"/>
      <w:r w:rsidRPr="00A623A1">
        <w:rPr>
          <w:rFonts w:eastAsia="Times New Roman" w:cstheme="minorHAnsi"/>
          <w:b/>
          <w:bCs/>
          <w:i/>
          <w:iCs/>
          <w:sz w:val="28"/>
          <w:szCs w:val="28"/>
          <w:lang w:eastAsia="es-AR"/>
        </w:rPr>
        <w:t xml:space="preserve"> in </w:t>
      </w:r>
      <w:proofErr w:type="spellStart"/>
      <w:r w:rsidRPr="00A623A1">
        <w:rPr>
          <w:rFonts w:eastAsia="Times New Roman" w:cstheme="minorHAnsi"/>
          <w:b/>
          <w:bCs/>
          <w:i/>
          <w:iCs/>
          <w:sz w:val="28"/>
          <w:szCs w:val="28"/>
          <w:lang w:eastAsia="es-AR"/>
        </w:rPr>
        <w:t>Critical</w:t>
      </w:r>
      <w:proofErr w:type="spellEnd"/>
      <w:r w:rsidRPr="00A623A1">
        <w:rPr>
          <w:rFonts w:eastAsia="Times New Roman" w:cstheme="minorHAnsi"/>
          <w:b/>
          <w:bCs/>
          <w:i/>
          <w:iCs/>
          <w:sz w:val="28"/>
          <w:szCs w:val="28"/>
          <w:lang w:eastAsia="es-AR"/>
        </w:rPr>
        <w:t xml:space="preserve"> </w:t>
      </w:r>
      <w:proofErr w:type="spellStart"/>
      <w:r w:rsidRPr="00A623A1">
        <w:rPr>
          <w:rFonts w:eastAsia="Times New Roman" w:cstheme="minorHAnsi"/>
          <w:b/>
          <w:bCs/>
          <w:i/>
          <w:iCs/>
          <w:sz w:val="28"/>
          <w:szCs w:val="28"/>
          <w:lang w:eastAsia="es-AR"/>
        </w:rPr>
        <w:t>Care</w:t>
      </w:r>
      <w:proofErr w:type="spellEnd"/>
      <w:r w:rsidRPr="00A623A1">
        <w:rPr>
          <w:rFonts w:eastAsia="Times New Roman" w:cstheme="minorHAnsi"/>
          <w:b/>
          <w:bCs/>
          <w:i/>
          <w:iCs/>
          <w:sz w:val="28"/>
          <w:szCs w:val="28"/>
          <w:lang w:eastAsia="es-AR"/>
        </w:rPr>
        <w:t xml:space="preserve">: </w:t>
      </w:r>
      <w:proofErr w:type="spellStart"/>
      <w:r w:rsidRPr="00A623A1">
        <w:rPr>
          <w:rFonts w:eastAsia="Times New Roman" w:cstheme="minorHAnsi"/>
          <w:b/>
          <w:bCs/>
          <w:i/>
          <w:iCs/>
          <w:sz w:val="28"/>
          <w:szCs w:val="28"/>
          <w:lang w:eastAsia="es-AR"/>
        </w:rPr>
        <w:t>Evidence-Based</w:t>
      </w:r>
      <w:proofErr w:type="spellEnd"/>
      <w:r w:rsidRPr="00A623A1">
        <w:rPr>
          <w:rFonts w:eastAsia="Times New Roman" w:cstheme="minorHAnsi"/>
          <w:b/>
          <w:bCs/>
          <w:i/>
          <w:iCs/>
          <w:sz w:val="28"/>
          <w:szCs w:val="28"/>
          <w:lang w:eastAsia="es-AR"/>
        </w:rPr>
        <w:t xml:space="preserve"> Management</w:t>
      </w:r>
    </w:p>
    <w:p w:rsidR="00A623A1" w:rsidRPr="00A623A1" w:rsidRDefault="00A623A1" w:rsidP="00A623A1">
      <w:pPr>
        <w:spacing w:before="100" w:beforeAutospacing="1" w:after="100" w:afterAutospacing="1" w:line="240" w:lineRule="auto"/>
        <w:rPr>
          <w:rFonts w:eastAsia="Times New Roman" w:cstheme="minorHAnsi"/>
          <w:sz w:val="28"/>
          <w:szCs w:val="28"/>
          <w:lang w:eastAsia="es-AR"/>
        </w:rPr>
      </w:pPr>
      <w:r w:rsidRPr="00A623A1">
        <w:rPr>
          <w:rFonts w:eastAsia="Times New Roman" w:cstheme="minorHAnsi"/>
          <w:sz w:val="28"/>
          <w:szCs w:val="28"/>
          <w:lang w:eastAsia="es-AR"/>
        </w:rPr>
        <w:t>Las revisiones más recientes en nutrición crítica reflejan un cambio de paradigma significativo, impulsado por la evidencia generada en ensayos clínicos aleatorizados durante la última década. Este documento sintetiza estos hallazgos y propone una reinterpretación del rol del soporte nutricional en el paciente crítico.</w:t>
      </w:r>
    </w:p>
    <w:p w:rsidR="00A623A1" w:rsidRPr="00A623A1" w:rsidRDefault="00A623A1" w:rsidP="00A623A1">
      <w:pPr>
        <w:spacing w:before="100" w:beforeAutospacing="1" w:after="100" w:afterAutospacing="1" w:line="240" w:lineRule="auto"/>
        <w:rPr>
          <w:rFonts w:eastAsia="Times New Roman" w:cstheme="minorHAnsi"/>
          <w:sz w:val="28"/>
          <w:szCs w:val="28"/>
          <w:lang w:eastAsia="es-AR"/>
        </w:rPr>
      </w:pPr>
      <w:r w:rsidRPr="00A623A1">
        <w:rPr>
          <w:rFonts w:eastAsia="Times New Roman" w:cstheme="minorHAnsi"/>
          <w:sz w:val="28"/>
          <w:szCs w:val="28"/>
          <w:lang w:eastAsia="es-AR"/>
        </w:rPr>
        <w:t xml:space="preserve">Uno de los conceptos más relevantes introducidos es el de </w:t>
      </w:r>
      <w:r w:rsidRPr="00A623A1">
        <w:rPr>
          <w:rFonts w:eastAsia="Times New Roman" w:cstheme="minorHAnsi"/>
          <w:b/>
          <w:bCs/>
          <w:sz w:val="28"/>
          <w:szCs w:val="28"/>
          <w:lang w:eastAsia="es-AR"/>
        </w:rPr>
        <w:t>“</w:t>
      </w:r>
      <w:proofErr w:type="spellStart"/>
      <w:r w:rsidRPr="00A623A1">
        <w:rPr>
          <w:rFonts w:eastAsia="Times New Roman" w:cstheme="minorHAnsi"/>
          <w:b/>
          <w:bCs/>
          <w:sz w:val="28"/>
          <w:szCs w:val="28"/>
          <w:lang w:eastAsia="es-AR"/>
        </w:rPr>
        <w:t>metabolic</w:t>
      </w:r>
      <w:proofErr w:type="spellEnd"/>
      <w:r w:rsidRPr="00A623A1">
        <w:rPr>
          <w:rFonts w:eastAsia="Times New Roman" w:cstheme="minorHAnsi"/>
          <w:b/>
          <w:bCs/>
          <w:sz w:val="28"/>
          <w:szCs w:val="28"/>
          <w:lang w:eastAsia="es-AR"/>
        </w:rPr>
        <w:t xml:space="preserve"> </w:t>
      </w:r>
      <w:proofErr w:type="spellStart"/>
      <w:r w:rsidRPr="00A623A1">
        <w:rPr>
          <w:rFonts w:eastAsia="Times New Roman" w:cstheme="minorHAnsi"/>
          <w:b/>
          <w:bCs/>
          <w:sz w:val="28"/>
          <w:szCs w:val="28"/>
          <w:lang w:eastAsia="es-AR"/>
        </w:rPr>
        <w:t>readiness</w:t>
      </w:r>
      <w:proofErr w:type="spellEnd"/>
      <w:r w:rsidRPr="00A623A1">
        <w:rPr>
          <w:rFonts w:eastAsia="Times New Roman" w:cstheme="minorHAnsi"/>
          <w:b/>
          <w:bCs/>
          <w:sz w:val="28"/>
          <w:szCs w:val="28"/>
          <w:lang w:eastAsia="es-AR"/>
        </w:rPr>
        <w:t>”</w:t>
      </w:r>
      <w:r w:rsidRPr="00A623A1">
        <w:rPr>
          <w:rFonts w:eastAsia="Times New Roman" w:cstheme="minorHAnsi"/>
          <w:sz w:val="28"/>
          <w:szCs w:val="28"/>
          <w:lang w:eastAsia="es-AR"/>
        </w:rPr>
        <w:t>, que hace referencia a la capacidad del organismo para utilizar los nutrientes administrados de manera eficiente. Este concepto surge como respuesta a la observación de que, en fases tempranas de la enfermedad crítica, el metabolismo se encuentra en un estado predominantemente catabólico y disfuncional, lo que limita la eficacia del aporte nutricional.</w:t>
      </w:r>
    </w:p>
    <w:p w:rsidR="00A623A1" w:rsidRPr="00A623A1" w:rsidRDefault="00A623A1" w:rsidP="00A623A1">
      <w:pPr>
        <w:spacing w:before="100" w:beforeAutospacing="1" w:after="100" w:afterAutospacing="1" w:line="240" w:lineRule="auto"/>
        <w:rPr>
          <w:rFonts w:eastAsia="Times New Roman" w:cstheme="minorHAnsi"/>
          <w:sz w:val="28"/>
          <w:szCs w:val="28"/>
          <w:lang w:eastAsia="es-AR"/>
        </w:rPr>
      </w:pPr>
      <w:r w:rsidRPr="00A623A1">
        <w:rPr>
          <w:rFonts w:eastAsia="Times New Roman" w:cstheme="minorHAnsi"/>
          <w:sz w:val="28"/>
          <w:szCs w:val="28"/>
          <w:lang w:eastAsia="es-AR"/>
        </w:rPr>
        <w:t xml:space="preserve">En este contexto, la administración precoz de grandes cantidades de energía o proteína puede no solo ser ineficaz, sino potencialmente </w:t>
      </w:r>
      <w:r w:rsidRPr="00A623A1">
        <w:rPr>
          <w:rFonts w:eastAsia="Times New Roman" w:cstheme="minorHAnsi"/>
          <w:sz w:val="28"/>
          <w:szCs w:val="28"/>
          <w:lang w:eastAsia="es-AR"/>
        </w:rPr>
        <w:lastRenderedPageBreak/>
        <w:t xml:space="preserve">perjudicial. Entre los mecanismos propuestos se incluyen el aumento de la producción de CO₂, la </w:t>
      </w:r>
      <w:proofErr w:type="spellStart"/>
      <w:r w:rsidRPr="00A623A1">
        <w:rPr>
          <w:rFonts w:eastAsia="Times New Roman" w:cstheme="minorHAnsi"/>
          <w:sz w:val="28"/>
          <w:szCs w:val="28"/>
          <w:lang w:eastAsia="es-AR"/>
        </w:rPr>
        <w:t>lipogénesis</w:t>
      </w:r>
      <w:proofErr w:type="spellEnd"/>
      <w:r w:rsidRPr="00A623A1">
        <w:rPr>
          <w:rFonts w:eastAsia="Times New Roman" w:cstheme="minorHAnsi"/>
          <w:sz w:val="28"/>
          <w:szCs w:val="28"/>
          <w:lang w:eastAsia="es-AR"/>
        </w:rPr>
        <w:t xml:space="preserve"> hepática y la acumulación de sustratos no utilizados, lo que puede contribuir a la disfunción orgánica.</w:t>
      </w:r>
    </w:p>
    <w:p w:rsidR="00A623A1" w:rsidRPr="00A623A1" w:rsidRDefault="00A623A1" w:rsidP="00A623A1">
      <w:pPr>
        <w:spacing w:before="100" w:beforeAutospacing="1" w:after="100" w:afterAutospacing="1" w:line="240" w:lineRule="auto"/>
        <w:rPr>
          <w:rFonts w:eastAsia="Times New Roman" w:cstheme="minorHAnsi"/>
          <w:sz w:val="28"/>
          <w:szCs w:val="28"/>
          <w:lang w:eastAsia="es-AR"/>
        </w:rPr>
      </w:pPr>
      <w:r w:rsidRPr="00A623A1">
        <w:rPr>
          <w:rFonts w:eastAsia="Times New Roman" w:cstheme="minorHAnsi"/>
          <w:sz w:val="28"/>
          <w:szCs w:val="28"/>
          <w:lang w:eastAsia="es-AR"/>
        </w:rPr>
        <w:t>Los ensayos clínicos recientes han sido clave para consolidar este cambio conceptual. Estudios como NUTRIREA-3 han demostrado que estrategias de menor aporte calórico no se asocian con peores resultados clínicos, y en algunos casos pueden reducir la incidencia de complicaciones. Por su parte, los ensayos centrados en el aporte proteico han cuestionado la utilidad de estrategias agresivas en fases tempranas, mostrando ausencia de beneficio e incluso señales de daño.</w:t>
      </w:r>
    </w:p>
    <w:p w:rsidR="00A623A1" w:rsidRPr="00A623A1" w:rsidRDefault="00A623A1" w:rsidP="00A623A1">
      <w:pPr>
        <w:spacing w:before="100" w:beforeAutospacing="1" w:after="100" w:afterAutospacing="1" w:line="240" w:lineRule="auto"/>
        <w:rPr>
          <w:rFonts w:eastAsia="Times New Roman" w:cstheme="minorHAnsi"/>
          <w:sz w:val="28"/>
          <w:szCs w:val="28"/>
          <w:lang w:eastAsia="es-AR"/>
        </w:rPr>
      </w:pPr>
      <w:r w:rsidRPr="00A623A1">
        <w:rPr>
          <w:rFonts w:eastAsia="Times New Roman" w:cstheme="minorHAnsi"/>
          <w:sz w:val="28"/>
          <w:szCs w:val="28"/>
          <w:lang w:eastAsia="es-AR"/>
        </w:rPr>
        <w:t xml:space="preserve">Estos hallazgos han llevado a la adopción de estrategias de </w:t>
      </w:r>
      <w:r w:rsidRPr="00A623A1">
        <w:rPr>
          <w:rFonts w:eastAsia="Times New Roman" w:cstheme="minorHAnsi"/>
          <w:b/>
          <w:bCs/>
          <w:sz w:val="28"/>
          <w:szCs w:val="28"/>
          <w:lang w:eastAsia="es-AR"/>
        </w:rPr>
        <w:t>restricción calórica controlada</w:t>
      </w:r>
      <w:r w:rsidRPr="00A623A1">
        <w:rPr>
          <w:rFonts w:eastAsia="Times New Roman" w:cstheme="minorHAnsi"/>
          <w:sz w:val="28"/>
          <w:szCs w:val="28"/>
          <w:lang w:eastAsia="es-AR"/>
        </w:rPr>
        <w:t xml:space="preserve"> en la fase aguda, con aportes significativamente menores a los recomendados en guías previas. Este enfoque no implica desnutrir al paciente, sino respetar las limitaciones metabólicas del organismo en ese momento.</w:t>
      </w:r>
    </w:p>
    <w:p w:rsidR="00A623A1" w:rsidRPr="00A623A1" w:rsidRDefault="00A623A1" w:rsidP="00A623A1">
      <w:pPr>
        <w:spacing w:before="100" w:beforeAutospacing="1" w:after="100" w:afterAutospacing="1" w:line="240" w:lineRule="auto"/>
        <w:rPr>
          <w:rFonts w:eastAsia="Times New Roman" w:cstheme="minorHAnsi"/>
          <w:sz w:val="28"/>
          <w:szCs w:val="28"/>
          <w:lang w:eastAsia="es-AR"/>
        </w:rPr>
      </w:pPr>
      <w:r w:rsidRPr="00A623A1">
        <w:rPr>
          <w:rFonts w:eastAsia="Times New Roman" w:cstheme="minorHAnsi"/>
          <w:sz w:val="28"/>
          <w:szCs w:val="28"/>
          <w:lang w:eastAsia="es-AR"/>
        </w:rPr>
        <w:t>Otro aspecto relevante es la creciente importancia de la individualización del soporte nutricional. Factores como el riesgo nutricional, la fase de la enfermedad y la respuesta metabólica deben ser considerados al momento de definir la estrategia terapéutica.</w:t>
      </w:r>
    </w:p>
    <w:p w:rsidR="00A623A1" w:rsidRPr="00A623A1" w:rsidRDefault="00A623A1" w:rsidP="00A623A1">
      <w:pPr>
        <w:spacing w:before="100" w:beforeAutospacing="1" w:after="100" w:afterAutospacing="1" w:line="240" w:lineRule="auto"/>
        <w:rPr>
          <w:rFonts w:eastAsia="Times New Roman" w:cstheme="minorHAnsi"/>
          <w:sz w:val="28"/>
          <w:szCs w:val="28"/>
          <w:lang w:eastAsia="es-AR"/>
        </w:rPr>
      </w:pPr>
      <w:r w:rsidRPr="00A623A1">
        <w:rPr>
          <w:rFonts w:eastAsia="Times New Roman" w:cstheme="minorHAnsi"/>
          <w:sz w:val="28"/>
          <w:szCs w:val="28"/>
          <w:lang w:eastAsia="es-AR"/>
        </w:rPr>
        <w:t>En conjunto, este documento propone un modelo en el cual la nutrición deja de ser una intervención uniforme basada en objetivos fijos, y pasa a ser una herramienta dinámica que debe adaptarse a la evolución del paciente.</w:t>
      </w:r>
    </w:p>
    <w:p w:rsidR="00A623A1" w:rsidRPr="00A623A1" w:rsidRDefault="00A623A1" w:rsidP="00A623A1">
      <w:pPr>
        <w:spacing w:before="100" w:beforeAutospacing="1" w:after="100" w:afterAutospacing="1" w:line="240" w:lineRule="auto"/>
        <w:rPr>
          <w:rFonts w:eastAsia="Times New Roman" w:cstheme="minorHAnsi"/>
          <w:sz w:val="28"/>
          <w:szCs w:val="28"/>
          <w:lang w:eastAsia="es-AR"/>
        </w:rPr>
      </w:pPr>
      <w:r w:rsidRPr="00A623A1">
        <w:rPr>
          <w:rFonts w:ascii="Segoe UI Symbol" w:eastAsia="Times New Roman" w:hAnsi="Segoe UI Symbol" w:cs="Segoe UI Symbol"/>
          <w:sz w:val="28"/>
          <w:szCs w:val="28"/>
          <w:lang w:eastAsia="es-AR"/>
        </w:rPr>
        <w:t>📚</w:t>
      </w:r>
      <w:r w:rsidRPr="00A623A1">
        <w:rPr>
          <w:rFonts w:eastAsia="Times New Roman" w:cstheme="minorHAnsi"/>
          <w:sz w:val="28"/>
          <w:szCs w:val="28"/>
          <w:lang w:eastAsia="es-AR"/>
        </w:rPr>
        <w:t xml:space="preserve"> </w:t>
      </w:r>
      <w:r w:rsidRPr="00A623A1">
        <w:rPr>
          <w:rFonts w:eastAsia="Times New Roman" w:cstheme="minorHAnsi"/>
          <w:b/>
          <w:bCs/>
          <w:sz w:val="28"/>
          <w:szCs w:val="28"/>
          <w:lang w:eastAsia="es-AR"/>
        </w:rPr>
        <w:t>Referencia</w:t>
      </w:r>
      <w:r w:rsidRPr="00A623A1">
        <w:rPr>
          <w:rFonts w:eastAsia="Times New Roman" w:cstheme="minorHAnsi"/>
          <w:sz w:val="28"/>
          <w:szCs w:val="28"/>
          <w:lang w:eastAsia="es-AR"/>
        </w:rPr>
        <w:br/>
        <w:t xml:space="preserve">Singer P. et al. </w:t>
      </w:r>
      <w:proofErr w:type="spellStart"/>
      <w:r w:rsidRPr="00A623A1">
        <w:rPr>
          <w:rFonts w:eastAsia="Times New Roman" w:cstheme="minorHAnsi"/>
          <w:i/>
          <w:iCs/>
          <w:sz w:val="28"/>
          <w:szCs w:val="28"/>
          <w:lang w:eastAsia="es-AR"/>
        </w:rPr>
        <w:t>Nutrition</w:t>
      </w:r>
      <w:proofErr w:type="spellEnd"/>
      <w:r w:rsidRPr="00A623A1">
        <w:rPr>
          <w:rFonts w:eastAsia="Times New Roman" w:cstheme="minorHAnsi"/>
          <w:i/>
          <w:iCs/>
          <w:sz w:val="28"/>
          <w:szCs w:val="28"/>
          <w:lang w:eastAsia="es-AR"/>
        </w:rPr>
        <w:t xml:space="preserve"> in </w:t>
      </w:r>
      <w:proofErr w:type="spellStart"/>
      <w:r w:rsidRPr="00A623A1">
        <w:rPr>
          <w:rFonts w:eastAsia="Times New Roman" w:cstheme="minorHAnsi"/>
          <w:i/>
          <w:iCs/>
          <w:sz w:val="28"/>
          <w:szCs w:val="28"/>
          <w:lang w:eastAsia="es-AR"/>
        </w:rPr>
        <w:t>Critical</w:t>
      </w:r>
      <w:proofErr w:type="spellEnd"/>
      <w:r w:rsidRPr="00A623A1">
        <w:rPr>
          <w:rFonts w:eastAsia="Times New Roman" w:cstheme="minorHAnsi"/>
          <w:i/>
          <w:iCs/>
          <w:sz w:val="28"/>
          <w:szCs w:val="28"/>
          <w:lang w:eastAsia="es-AR"/>
        </w:rPr>
        <w:t xml:space="preserve"> </w:t>
      </w:r>
      <w:proofErr w:type="spellStart"/>
      <w:r w:rsidRPr="00A623A1">
        <w:rPr>
          <w:rFonts w:eastAsia="Times New Roman" w:cstheme="minorHAnsi"/>
          <w:i/>
          <w:iCs/>
          <w:sz w:val="28"/>
          <w:szCs w:val="28"/>
          <w:lang w:eastAsia="es-AR"/>
        </w:rPr>
        <w:t>Care</w:t>
      </w:r>
      <w:proofErr w:type="spellEnd"/>
      <w:r w:rsidRPr="00A623A1">
        <w:rPr>
          <w:rFonts w:eastAsia="Times New Roman" w:cstheme="minorHAnsi"/>
          <w:i/>
          <w:iCs/>
          <w:sz w:val="28"/>
          <w:szCs w:val="28"/>
          <w:lang w:eastAsia="es-AR"/>
        </w:rPr>
        <w:t xml:space="preserve">: </w:t>
      </w:r>
      <w:proofErr w:type="spellStart"/>
      <w:r w:rsidRPr="00A623A1">
        <w:rPr>
          <w:rFonts w:eastAsia="Times New Roman" w:cstheme="minorHAnsi"/>
          <w:i/>
          <w:iCs/>
          <w:sz w:val="28"/>
          <w:szCs w:val="28"/>
          <w:lang w:eastAsia="es-AR"/>
        </w:rPr>
        <w:t>Evidence-Based</w:t>
      </w:r>
      <w:proofErr w:type="spellEnd"/>
      <w:r w:rsidRPr="00A623A1">
        <w:rPr>
          <w:rFonts w:eastAsia="Times New Roman" w:cstheme="minorHAnsi"/>
          <w:i/>
          <w:iCs/>
          <w:sz w:val="28"/>
          <w:szCs w:val="28"/>
          <w:lang w:eastAsia="es-AR"/>
        </w:rPr>
        <w:t xml:space="preserve"> Management</w:t>
      </w:r>
      <w:r w:rsidRPr="00A623A1">
        <w:rPr>
          <w:rFonts w:eastAsia="Times New Roman" w:cstheme="minorHAnsi"/>
          <w:sz w:val="28"/>
          <w:szCs w:val="28"/>
          <w:lang w:eastAsia="es-AR"/>
        </w:rPr>
        <w:t>. ICU Management, 2025.</w:t>
      </w:r>
    </w:p>
    <w:p w:rsidR="00A623A1" w:rsidRPr="00A623A1" w:rsidRDefault="00EF36C6" w:rsidP="00A623A1">
      <w:pPr>
        <w:spacing w:after="0" w:line="240" w:lineRule="auto"/>
        <w:rPr>
          <w:rFonts w:eastAsia="Times New Roman" w:cstheme="minorHAnsi"/>
          <w:sz w:val="28"/>
          <w:szCs w:val="28"/>
          <w:lang w:eastAsia="es-AR"/>
        </w:rPr>
      </w:pPr>
      <w:r>
        <w:rPr>
          <w:rFonts w:eastAsia="Times New Roman" w:cstheme="minorHAnsi"/>
          <w:sz w:val="28"/>
          <w:szCs w:val="28"/>
          <w:lang w:eastAsia="es-AR"/>
        </w:rPr>
        <w:pict>
          <v:rect id="_x0000_i1026" style="width:0;height:1.5pt" o:hralign="center" o:hrstd="t" o:hr="t" fillcolor="#a0a0a0" stroked="f"/>
        </w:pict>
      </w:r>
    </w:p>
    <w:p w:rsidR="00A623A1" w:rsidRPr="00A623A1" w:rsidRDefault="00A623A1" w:rsidP="00A623A1">
      <w:pPr>
        <w:spacing w:before="100" w:beforeAutospacing="1" w:after="100" w:afterAutospacing="1" w:line="240" w:lineRule="auto"/>
        <w:outlineLvl w:val="0"/>
        <w:rPr>
          <w:rFonts w:eastAsia="Times New Roman" w:cstheme="minorHAnsi"/>
          <w:b/>
          <w:bCs/>
          <w:kern w:val="36"/>
          <w:sz w:val="28"/>
          <w:szCs w:val="28"/>
          <w:lang w:eastAsia="es-AR"/>
        </w:rPr>
      </w:pPr>
      <w:r w:rsidRPr="00A623A1">
        <w:rPr>
          <w:rFonts w:ascii="Segoe UI Symbol" w:eastAsia="Times New Roman" w:hAnsi="Segoe UI Symbol" w:cs="Segoe UI Symbol"/>
          <w:b/>
          <w:bCs/>
          <w:kern w:val="36"/>
          <w:sz w:val="28"/>
          <w:szCs w:val="28"/>
          <w:lang w:eastAsia="es-AR"/>
        </w:rPr>
        <w:t>📄</w:t>
      </w:r>
      <w:r w:rsidRPr="00A623A1">
        <w:rPr>
          <w:rFonts w:eastAsia="Times New Roman" w:cstheme="minorHAnsi"/>
          <w:b/>
          <w:bCs/>
          <w:kern w:val="36"/>
          <w:sz w:val="28"/>
          <w:szCs w:val="28"/>
          <w:lang w:eastAsia="es-AR"/>
        </w:rPr>
        <w:t xml:space="preserve"> 3. ESPEN 2023</w:t>
      </w:r>
    </w:p>
    <w:p w:rsidR="00A623A1" w:rsidRPr="00A623A1" w:rsidRDefault="00A623A1" w:rsidP="00A623A1">
      <w:pPr>
        <w:spacing w:before="100" w:beforeAutospacing="1" w:after="100" w:afterAutospacing="1" w:line="240" w:lineRule="auto"/>
        <w:outlineLvl w:val="1"/>
        <w:rPr>
          <w:rFonts w:eastAsia="Times New Roman" w:cstheme="minorHAnsi"/>
          <w:b/>
          <w:bCs/>
          <w:sz w:val="28"/>
          <w:szCs w:val="28"/>
          <w:lang w:eastAsia="es-AR"/>
        </w:rPr>
      </w:pPr>
      <w:proofErr w:type="spellStart"/>
      <w:r w:rsidRPr="00A623A1">
        <w:rPr>
          <w:rFonts w:eastAsia="Times New Roman" w:cstheme="minorHAnsi"/>
          <w:b/>
          <w:bCs/>
          <w:i/>
          <w:iCs/>
          <w:sz w:val="28"/>
          <w:szCs w:val="28"/>
          <w:lang w:eastAsia="es-AR"/>
        </w:rPr>
        <w:t>Clinical</w:t>
      </w:r>
      <w:proofErr w:type="spellEnd"/>
      <w:r w:rsidRPr="00A623A1">
        <w:rPr>
          <w:rFonts w:eastAsia="Times New Roman" w:cstheme="minorHAnsi"/>
          <w:b/>
          <w:bCs/>
          <w:i/>
          <w:iCs/>
          <w:sz w:val="28"/>
          <w:szCs w:val="28"/>
          <w:lang w:eastAsia="es-AR"/>
        </w:rPr>
        <w:t xml:space="preserve"> </w:t>
      </w:r>
      <w:proofErr w:type="spellStart"/>
      <w:r w:rsidRPr="00A623A1">
        <w:rPr>
          <w:rFonts w:eastAsia="Times New Roman" w:cstheme="minorHAnsi"/>
          <w:b/>
          <w:bCs/>
          <w:i/>
          <w:iCs/>
          <w:sz w:val="28"/>
          <w:szCs w:val="28"/>
          <w:lang w:eastAsia="es-AR"/>
        </w:rPr>
        <w:t>Nutrition</w:t>
      </w:r>
      <w:proofErr w:type="spellEnd"/>
      <w:r w:rsidRPr="00A623A1">
        <w:rPr>
          <w:rFonts w:eastAsia="Times New Roman" w:cstheme="minorHAnsi"/>
          <w:b/>
          <w:bCs/>
          <w:i/>
          <w:iCs/>
          <w:sz w:val="28"/>
          <w:szCs w:val="28"/>
          <w:lang w:eastAsia="es-AR"/>
        </w:rPr>
        <w:t xml:space="preserve"> in </w:t>
      </w:r>
      <w:proofErr w:type="spellStart"/>
      <w:r w:rsidRPr="00A623A1">
        <w:rPr>
          <w:rFonts w:eastAsia="Times New Roman" w:cstheme="minorHAnsi"/>
          <w:b/>
          <w:bCs/>
          <w:i/>
          <w:iCs/>
          <w:sz w:val="28"/>
          <w:szCs w:val="28"/>
          <w:lang w:eastAsia="es-AR"/>
        </w:rPr>
        <w:t>the</w:t>
      </w:r>
      <w:proofErr w:type="spellEnd"/>
      <w:r w:rsidRPr="00A623A1">
        <w:rPr>
          <w:rFonts w:eastAsia="Times New Roman" w:cstheme="minorHAnsi"/>
          <w:b/>
          <w:bCs/>
          <w:i/>
          <w:iCs/>
          <w:sz w:val="28"/>
          <w:szCs w:val="28"/>
          <w:lang w:eastAsia="es-AR"/>
        </w:rPr>
        <w:t xml:space="preserve"> ICU</w:t>
      </w:r>
    </w:p>
    <w:p w:rsidR="00A623A1" w:rsidRPr="00A623A1" w:rsidRDefault="00A623A1" w:rsidP="00A623A1">
      <w:pPr>
        <w:spacing w:before="100" w:beforeAutospacing="1" w:after="100" w:afterAutospacing="1" w:line="240" w:lineRule="auto"/>
        <w:rPr>
          <w:rFonts w:eastAsia="Times New Roman" w:cstheme="minorHAnsi"/>
          <w:sz w:val="28"/>
          <w:szCs w:val="28"/>
          <w:lang w:eastAsia="es-AR"/>
        </w:rPr>
      </w:pPr>
      <w:r w:rsidRPr="00A623A1">
        <w:rPr>
          <w:rFonts w:eastAsia="Times New Roman" w:cstheme="minorHAnsi"/>
          <w:sz w:val="28"/>
          <w:szCs w:val="28"/>
          <w:lang w:eastAsia="es-AR"/>
        </w:rPr>
        <w:t xml:space="preserve">Las guías ESPEN 2023 constituyen una actualización práctica de las recomendaciones europeas en nutrición crítica, con un enfoque orientado a la implementación clínica. Si bien mantienen una estructura basada en </w:t>
      </w:r>
      <w:r w:rsidRPr="00A623A1">
        <w:rPr>
          <w:rFonts w:eastAsia="Times New Roman" w:cstheme="minorHAnsi"/>
          <w:sz w:val="28"/>
          <w:szCs w:val="28"/>
          <w:lang w:eastAsia="es-AR"/>
        </w:rPr>
        <w:lastRenderedPageBreak/>
        <w:t>objetivos cuantitativos, incorporan elementos que reflejan la evolución del conocimiento en el área.</w:t>
      </w:r>
    </w:p>
    <w:p w:rsidR="00A623A1" w:rsidRPr="00A623A1" w:rsidRDefault="00A623A1" w:rsidP="00A623A1">
      <w:pPr>
        <w:spacing w:before="100" w:beforeAutospacing="1" w:after="100" w:afterAutospacing="1" w:line="240" w:lineRule="auto"/>
        <w:rPr>
          <w:rFonts w:eastAsia="Times New Roman" w:cstheme="minorHAnsi"/>
          <w:sz w:val="28"/>
          <w:szCs w:val="28"/>
          <w:lang w:eastAsia="es-AR"/>
        </w:rPr>
      </w:pPr>
      <w:r w:rsidRPr="00A623A1">
        <w:rPr>
          <w:rFonts w:eastAsia="Times New Roman" w:cstheme="minorHAnsi"/>
          <w:sz w:val="28"/>
          <w:szCs w:val="28"/>
          <w:lang w:eastAsia="es-AR"/>
        </w:rPr>
        <w:t>Uno de los aspectos más relevantes es el reconocimiento explícito del riesgo de sobrealimentación en la fase aguda del paciente crítico. En este sentido, las guías recomiendan iniciar el soporte nutricional con un aporte inferior al 70% del gasto energético estimado, aumentando progresivamente a medida que el paciente se estabiliza.</w:t>
      </w:r>
    </w:p>
    <w:p w:rsidR="00A623A1" w:rsidRPr="00A623A1" w:rsidRDefault="00A623A1" w:rsidP="00A623A1">
      <w:pPr>
        <w:spacing w:before="100" w:beforeAutospacing="1" w:after="100" w:afterAutospacing="1" w:line="240" w:lineRule="auto"/>
        <w:rPr>
          <w:rFonts w:eastAsia="Times New Roman" w:cstheme="minorHAnsi"/>
          <w:sz w:val="28"/>
          <w:szCs w:val="28"/>
          <w:lang w:eastAsia="es-AR"/>
        </w:rPr>
      </w:pPr>
      <w:r w:rsidRPr="00A623A1">
        <w:rPr>
          <w:rFonts w:eastAsia="Times New Roman" w:cstheme="minorHAnsi"/>
          <w:sz w:val="28"/>
          <w:szCs w:val="28"/>
          <w:lang w:eastAsia="es-AR"/>
        </w:rPr>
        <w:t>Este enfoque se fundamenta en la comprensión de que el organismo produce una cantidad significativa de energía endógena en las fases iniciales de la enfermedad, lo que limita la necesidad de aporte exógeno. La sobrealimentación en este contexto puede generar efectos adversos, como aumento de la producción de CO₂ y disfunción metabólica.</w:t>
      </w:r>
    </w:p>
    <w:p w:rsidR="00A623A1" w:rsidRPr="00A623A1" w:rsidRDefault="00A623A1" w:rsidP="00A623A1">
      <w:pPr>
        <w:spacing w:before="100" w:beforeAutospacing="1" w:after="100" w:afterAutospacing="1" w:line="240" w:lineRule="auto"/>
        <w:rPr>
          <w:rFonts w:eastAsia="Times New Roman" w:cstheme="minorHAnsi"/>
          <w:sz w:val="28"/>
          <w:szCs w:val="28"/>
          <w:lang w:eastAsia="es-AR"/>
        </w:rPr>
      </w:pPr>
      <w:r w:rsidRPr="00A623A1">
        <w:rPr>
          <w:rFonts w:eastAsia="Times New Roman" w:cstheme="minorHAnsi"/>
          <w:sz w:val="28"/>
          <w:szCs w:val="28"/>
          <w:lang w:eastAsia="es-AR"/>
        </w:rPr>
        <w:t>En cuanto a la vía de administración, se mantiene la recomendación de iniciar nutrición enteral precoz dentro de las primeras 24–48 horas, siempre que no existan contraindicaciones. La nutrición parenteral se reserva para situaciones en las que la vía enteral no es posible o resulta insuficiente.</w:t>
      </w:r>
    </w:p>
    <w:p w:rsidR="00A623A1" w:rsidRPr="00A623A1" w:rsidRDefault="00A623A1" w:rsidP="00A623A1">
      <w:pPr>
        <w:spacing w:before="100" w:beforeAutospacing="1" w:after="100" w:afterAutospacing="1" w:line="240" w:lineRule="auto"/>
        <w:rPr>
          <w:rFonts w:eastAsia="Times New Roman" w:cstheme="minorHAnsi"/>
          <w:sz w:val="28"/>
          <w:szCs w:val="28"/>
          <w:lang w:eastAsia="es-AR"/>
        </w:rPr>
      </w:pPr>
      <w:r w:rsidRPr="00A623A1">
        <w:rPr>
          <w:rFonts w:eastAsia="Times New Roman" w:cstheme="minorHAnsi"/>
          <w:sz w:val="28"/>
          <w:szCs w:val="28"/>
          <w:lang w:eastAsia="es-AR"/>
        </w:rPr>
        <w:t>El aporte proteico recomendado se sitúa en torno a 1.3 g/kg/día, con la intención de preservar la masa muscular. Sin embargo, las guías reconocen la falta de evidencia robusta que respalde esta recomendación, especialmente en fases tempranas.</w:t>
      </w:r>
    </w:p>
    <w:p w:rsidR="00A623A1" w:rsidRPr="00A623A1" w:rsidRDefault="00A623A1" w:rsidP="00A623A1">
      <w:pPr>
        <w:spacing w:before="100" w:beforeAutospacing="1" w:after="100" w:afterAutospacing="1" w:line="240" w:lineRule="auto"/>
        <w:rPr>
          <w:rFonts w:eastAsia="Times New Roman" w:cstheme="minorHAnsi"/>
          <w:sz w:val="28"/>
          <w:szCs w:val="28"/>
          <w:lang w:eastAsia="es-AR"/>
        </w:rPr>
      </w:pPr>
      <w:r w:rsidRPr="00A623A1">
        <w:rPr>
          <w:rFonts w:eastAsia="Times New Roman" w:cstheme="minorHAnsi"/>
          <w:sz w:val="28"/>
          <w:szCs w:val="28"/>
          <w:lang w:eastAsia="es-AR"/>
        </w:rPr>
        <w:t>Un aspecto destacado es la recomendación de utilizar calorimetría indirecta para la estimación del gasto energético, lo que permitiría una mayor precisión en la prescripción nutricional. No obstante, la disponibilidad de esta herramienta es limitada en muchos centros.</w:t>
      </w:r>
    </w:p>
    <w:p w:rsidR="00A623A1" w:rsidRPr="00A623A1" w:rsidRDefault="00A623A1" w:rsidP="00A623A1">
      <w:pPr>
        <w:spacing w:before="100" w:beforeAutospacing="1" w:after="100" w:afterAutospacing="1" w:line="240" w:lineRule="auto"/>
        <w:rPr>
          <w:rFonts w:eastAsia="Times New Roman" w:cstheme="minorHAnsi"/>
          <w:sz w:val="28"/>
          <w:szCs w:val="28"/>
          <w:lang w:eastAsia="es-AR"/>
        </w:rPr>
      </w:pPr>
      <w:r w:rsidRPr="00A623A1">
        <w:rPr>
          <w:rFonts w:eastAsia="Times New Roman" w:cstheme="minorHAnsi"/>
          <w:sz w:val="28"/>
          <w:szCs w:val="28"/>
          <w:lang w:eastAsia="es-AR"/>
        </w:rPr>
        <w:t>En conjunto, ESPEN 2023 representa un modelo en transición, en el cual se incorporan conceptos del nuevo paradigma sin abandonar completamente las recomendaciones tradicionales.</w:t>
      </w:r>
    </w:p>
    <w:p w:rsidR="00A623A1" w:rsidRPr="00A623A1" w:rsidRDefault="00A623A1" w:rsidP="00A623A1">
      <w:pPr>
        <w:spacing w:before="100" w:beforeAutospacing="1" w:after="100" w:afterAutospacing="1" w:line="240" w:lineRule="auto"/>
        <w:rPr>
          <w:rFonts w:eastAsia="Times New Roman" w:cstheme="minorHAnsi"/>
          <w:sz w:val="28"/>
          <w:szCs w:val="28"/>
          <w:lang w:eastAsia="es-AR"/>
        </w:rPr>
      </w:pPr>
      <w:r w:rsidRPr="00A623A1">
        <w:rPr>
          <w:rFonts w:ascii="Segoe UI Symbol" w:eastAsia="Times New Roman" w:hAnsi="Segoe UI Symbol" w:cs="Segoe UI Symbol"/>
          <w:sz w:val="28"/>
          <w:szCs w:val="28"/>
          <w:lang w:eastAsia="es-AR"/>
        </w:rPr>
        <w:t>📚</w:t>
      </w:r>
      <w:r w:rsidRPr="00A623A1">
        <w:rPr>
          <w:rFonts w:eastAsia="Times New Roman" w:cstheme="minorHAnsi"/>
          <w:sz w:val="28"/>
          <w:szCs w:val="28"/>
          <w:lang w:eastAsia="es-AR"/>
        </w:rPr>
        <w:t xml:space="preserve"> </w:t>
      </w:r>
      <w:r w:rsidRPr="00A623A1">
        <w:rPr>
          <w:rFonts w:eastAsia="Times New Roman" w:cstheme="minorHAnsi"/>
          <w:b/>
          <w:bCs/>
          <w:sz w:val="28"/>
          <w:szCs w:val="28"/>
          <w:lang w:eastAsia="es-AR"/>
        </w:rPr>
        <w:t>Referencia</w:t>
      </w:r>
      <w:r w:rsidRPr="00A623A1">
        <w:rPr>
          <w:rFonts w:eastAsia="Times New Roman" w:cstheme="minorHAnsi"/>
          <w:sz w:val="28"/>
          <w:szCs w:val="28"/>
          <w:lang w:eastAsia="es-AR"/>
        </w:rPr>
        <w:br/>
        <w:t xml:space="preserve">Singer P. et al. </w:t>
      </w:r>
      <w:r w:rsidRPr="00A623A1">
        <w:rPr>
          <w:rFonts w:eastAsia="Times New Roman" w:cstheme="minorHAnsi"/>
          <w:i/>
          <w:iCs/>
          <w:sz w:val="28"/>
          <w:szCs w:val="28"/>
          <w:lang w:eastAsia="es-AR"/>
        </w:rPr>
        <w:t xml:space="preserve">ESPEN </w:t>
      </w:r>
      <w:proofErr w:type="spellStart"/>
      <w:r w:rsidRPr="00A623A1">
        <w:rPr>
          <w:rFonts w:eastAsia="Times New Roman" w:cstheme="minorHAnsi"/>
          <w:i/>
          <w:iCs/>
          <w:sz w:val="28"/>
          <w:szCs w:val="28"/>
          <w:lang w:eastAsia="es-AR"/>
        </w:rPr>
        <w:t>practical</w:t>
      </w:r>
      <w:proofErr w:type="spellEnd"/>
      <w:r w:rsidRPr="00A623A1">
        <w:rPr>
          <w:rFonts w:eastAsia="Times New Roman" w:cstheme="minorHAnsi"/>
          <w:i/>
          <w:iCs/>
          <w:sz w:val="28"/>
          <w:szCs w:val="28"/>
          <w:lang w:eastAsia="es-AR"/>
        </w:rPr>
        <w:t xml:space="preserve"> </w:t>
      </w:r>
      <w:proofErr w:type="spellStart"/>
      <w:r w:rsidRPr="00A623A1">
        <w:rPr>
          <w:rFonts w:eastAsia="Times New Roman" w:cstheme="minorHAnsi"/>
          <w:i/>
          <w:iCs/>
          <w:sz w:val="28"/>
          <w:szCs w:val="28"/>
          <w:lang w:eastAsia="es-AR"/>
        </w:rPr>
        <w:t>guideline</w:t>
      </w:r>
      <w:proofErr w:type="spellEnd"/>
      <w:r w:rsidRPr="00A623A1">
        <w:rPr>
          <w:rFonts w:eastAsia="Times New Roman" w:cstheme="minorHAnsi"/>
          <w:i/>
          <w:iCs/>
          <w:sz w:val="28"/>
          <w:szCs w:val="28"/>
          <w:lang w:eastAsia="es-AR"/>
        </w:rPr>
        <w:t xml:space="preserve">: </w:t>
      </w:r>
      <w:proofErr w:type="spellStart"/>
      <w:r w:rsidRPr="00A623A1">
        <w:rPr>
          <w:rFonts w:eastAsia="Times New Roman" w:cstheme="minorHAnsi"/>
          <w:i/>
          <w:iCs/>
          <w:sz w:val="28"/>
          <w:szCs w:val="28"/>
          <w:lang w:eastAsia="es-AR"/>
        </w:rPr>
        <w:t>clinical</w:t>
      </w:r>
      <w:proofErr w:type="spellEnd"/>
      <w:r w:rsidRPr="00A623A1">
        <w:rPr>
          <w:rFonts w:eastAsia="Times New Roman" w:cstheme="minorHAnsi"/>
          <w:i/>
          <w:iCs/>
          <w:sz w:val="28"/>
          <w:szCs w:val="28"/>
          <w:lang w:eastAsia="es-AR"/>
        </w:rPr>
        <w:t xml:space="preserve"> </w:t>
      </w:r>
      <w:proofErr w:type="spellStart"/>
      <w:r w:rsidRPr="00A623A1">
        <w:rPr>
          <w:rFonts w:eastAsia="Times New Roman" w:cstheme="minorHAnsi"/>
          <w:i/>
          <w:iCs/>
          <w:sz w:val="28"/>
          <w:szCs w:val="28"/>
          <w:lang w:eastAsia="es-AR"/>
        </w:rPr>
        <w:t>nutrition</w:t>
      </w:r>
      <w:proofErr w:type="spellEnd"/>
      <w:r w:rsidRPr="00A623A1">
        <w:rPr>
          <w:rFonts w:eastAsia="Times New Roman" w:cstheme="minorHAnsi"/>
          <w:i/>
          <w:iCs/>
          <w:sz w:val="28"/>
          <w:szCs w:val="28"/>
          <w:lang w:eastAsia="es-AR"/>
        </w:rPr>
        <w:t xml:space="preserve"> in </w:t>
      </w:r>
      <w:proofErr w:type="spellStart"/>
      <w:r w:rsidRPr="00A623A1">
        <w:rPr>
          <w:rFonts w:eastAsia="Times New Roman" w:cstheme="minorHAnsi"/>
          <w:i/>
          <w:iCs/>
          <w:sz w:val="28"/>
          <w:szCs w:val="28"/>
          <w:lang w:eastAsia="es-AR"/>
        </w:rPr>
        <w:t>the</w:t>
      </w:r>
      <w:proofErr w:type="spellEnd"/>
      <w:r w:rsidRPr="00A623A1">
        <w:rPr>
          <w:rFonts w:eastAsia="Times New Roman" w:cstheme="minorHAnsi"/>
          <w:i/>
          <w:iCs/>
          <w:sz w:val="28"/>
          <w:szCs w:val="28"/>
          <w:lang w:eastAsia="es-AR"/>
        </w:rPr>
        <w:t xml:space="preserve"> ICU</w:t>
      </w:r>
      <w:r w:rsidRPr="00A623A1">
        <w:rPr>
          <w:rFonts w:eastAsia="Times New Roman" w:cstheme="minorHAnsi"/>
          <w:sz w:val="28"/>
          <w:szCs w:val="28"/>
          <w:lang w:eastAsia="es-AR"/>
        </w:rPr>
        <w:t>. 2023.</w:t>
      </w:r>
    </w:p>
    <w:p w:rsidR="00A623A1" w:rsidRPr="00A623A1" w:rsidRDefault="00EF36C6" w:rsidP="00A623A1">
      <w:pPr>
        <w:spacing w:after="0" w:line="240" w:lineRule="auto"/>
        <w:rPr>
          <w:rFonts w:eastAsia="Times New Roman" w:cstheme="minorHAnsi"/>
          <w:sz w:val="28"/>
          <w:szCs w:val="28"/>
          <w:lang w:eastAsia="es-AR"/>
        </w:rPr>
      </w:pPr>
      <w:r>
        <w:rPr>
          <w:rFonts w:eastAsia="Times New Roman" w:cstheme="minorHAnsi"/>
          <w:sz w:val="28"/>
          <w:szCs w:val="28"/>
          <w:lang w:eastAsia="es-AR"/>
        </w:rPr>
        <w:pict>
          <v:rect id="_x0000_i1027" style="width:0;height:1.5pt" o:hralign="center" o:hrstd="t" o:hr="t" fillcolor="#a0a0a0" stroked="f"/>
        </w:pict>
      </w:r>
    </w:p>
    <w:p w:rsidR="00A623A1" w:rsidRPr="00A623A1" w:rsidRDefault="00A623A1" w:rsidP="00A623A1">
      <w:pPr>
        <w:spacing w:before="100" w:beforeAutospacing="1" w:after="100" w:afterAutospacing="1" w:line="240" w:lineRule="auto"/>
        <w:outlineLvl w:val="0"/>
        <w:rPr>
          <w:rFonts w:eastAsia="Times New Roman" w:cstheme="minorHAnsi"/>
          <w:b/>
          <w:bCs/>
          <w:kern w:val="36"/>
          <w:sz w:val="28"/>
          <w:szCs w:val="28"/>
          <w:lang w:eastAsia="es-AR"/>
        </w:rPr>
      </w:pPr>
      <w:r w:rsidRPr="00A623A1">
        <w:rPr>
          <w:rFonts w:ascii="Segoe UI Symbol" w:eastAsia="Times New Roman" w:hAnsi="Segoe UI Symbol" w:cs="Segoe UI Symbol"/>
          <w:b/>
          <w:bCs/>
          <w:kern w:val="36"/>
          <w:sz w:val="28"/>
          <w:szCs w:val="28"/>
          <w:lang w:eastAsia="es-AR"/>
        </w:rPr>
        <w:t>📄</w:t>
      </w:r>
      <w:r w:rsidRPr="00A623A1">
        <w:rPr>
          <w:rFonts w:eastAsia="Times New Roman" w:cstheme="minorHAnsi"/>
          <w:b/>
          <w:bCs/>
          <w:kern w:val="36"/>
          <w:sz w:val="28"/>
          <w:szCs w:val="28"/>
          <w:lang w:eastAsia="es-AR"/>
        </w:rPr>
        <w:t xml:space="preserve"> 4. IMPLEMENTACIÓN ESPEN</w:t>
      </w:r>
    </w:p>
    <w:p w:rsidR="00A623A1" w:rsidRPr="00A623A1" w:rsidRDefault="00A623A1" w:rsidP="00A623A1">
      <w:pPr>
        <w:spacing w:before="100" w:beforeAutospacing="1" w:after="100" w:afterAutospacing="1" w:line="240" w:lineRule="auto"/>
        <w:outlineLvl w:val="1"/>
        <w:rPr>
          <w:rFonts w:eastAsia="Times New Roman" w:cstheme="minorHAnsi"/>
          <w:b/>
          <w:bCs/>
          <w:sz w:val="28"/>
          <w:szCs w:val="28"/>
          <w:lang w:eastAsia="es-AR"/>
        </w:rPr>
      </w:pPr>
      <w:r w:rsidRPr="00A623A1">
        <w:rPr>
          <w:rFonts w:eastAsia="Times New Roman" w:cstheme="minorHAnsi"/>
          <w:b/>
          <w:bCs/>
          <w:sz w:val="28"/>
          <w:szCs w:val="28"/>
          <w:lang w:eastAsia="es-AR"/>
        </w:rPr>
        <w:lastRenderedPageBreak/>
        <w:t>(</w:t>
      </w:r>
      <w:proofErr w:type="spellStart"/>
      <w:r w:rsidRPr="00A623A1">
        <w:rPr>
          <w:rFonts w:eastAsia="Times New Roman" w:cstheme="minorHAnsi"/>
          <w:b/>
          <w:bCs/>
          <w:sz w:val="28"/>
          <w:szCs w:val="28"/>
          <w:lang w:eastAsia="es-AR"/>
        </w:rPr>
        <w:t>Thibault</w:t>
      </w:r>
      <w:proofErr w:type="spellEnd"/>
      <w:r w:rsidRPr="00A623A1">
        <w:rPr>
          <w:rFonts w:eastAsia="Times New Roman" w:cstheme="minorHAnsi"/>
          <w:b/>
          <w:bCs/>
          <w:sz w:val="28"/>
          <w:szCs w:val="28"/>
          <w:lang w:eastAsia="es-AR"/>
        </w:rPr>
        <w:t xml:space="preserve"> et al., 2023)</w:t>
      </w:r>
    </w:p>
    <w:p w:rsidR="00A623A1" w:rsidRPr="00A623A1" w:rsidRDefault="00A623A1" w:rsidP="00A623A1">
      <w:pPr>
        <w:spacing w:before="100" w:beforeAutospacing="1" w:after="100" w:afterAutospacing="1" w:line="240" w:lineRule="auto"/>
        <w:rPr>
          <w:rFonts w:eastAsia="Times New Roman" w:cstheme="minorHAnsi"/>
          <w:sz w:val="28"/>
          <w:szCs w:val="28"/>
          <w:lang w:eastAsia="es-AR"/>
        </w:rPr>
      </w:pPr>
      <w:r w:rsidRPr="00A623A1">
        <w:rPr>
          <w:rFonts w:eastAsia="Times New Roman" w:cstheme="minorHAnsi"/>
          <w:sz w:val="28"/>
          <w:szCs w:val="28"/>
          <w:lang w:eastAsia="es-AR"/>
        </w:rPr>
        <w:t>El documento de implementación de las guías ESPEN introduce una dimensión frecuentemente subestimada en la nutrición crítica: la brecha entre la evidencia disponible y su aplicación en la práctica clínica.</w:t>
      </w:r>
    </w:p>
    <w:p w:rsidR="00A623A1" w:rsidRPr="00A623A1" w:rsidRDefault="00A623A1" w:rsidP="00A623A1">
      <w:pPr>
        <w:spacing w:before="100" w:beforeAutospacing="1" w:after="100" w:afterAutospacing="1" w:line="240" w:lineRule="auto"/>
        <w:rPr>
          <w:rFonts w:eastAsia="Times New Roman" w:cstheme="minorHAnsi"/>
          <w:sz w:val="28"/>
          <w:szCs w:val="28"/>
          <w:lang w:eastAsia="es-AR"/>
        </w:rPr>
      </w:pPr>
      <w:r w:rsidRPr="00A623A1">
        <w:rPr>
          <w:rFonts w:eastAsia="Times New Roman" w:cstheme="minorHAnsi"/>
          <w:sz w:val="28"/>
          <w:szCs w:val="28"/>
          <w:lang w:eastAsia="es-AR"/>
        </w:rPr>
        <w:t>A pesar de contar con recomendaciones claras, la adherencia a las mismas es variable. Factores como la falta de recursos, la ausencia de protocolos estandarizados y la limitada formación específica del equipo de salud contribuyen a esta situación.</w:t>
      </w:r>
    </w:p>
    <w:p w:rsidR="00A623A1" w:rsidRPr="00A623A1" w:rsidRDefault="00A623A1" w:rsidP="00A623A1">
      <w:pPr>
        <w:spacing w:before="100" w:beforeAutospacing="1" w:after="100" w:afterAutospacing="1" w:line="240" w:lineRule="auto"/>
        <w:rPr>
          <w:rFonts w:eastAsia="Times New Roman" w:cstheme="minorHAnsi"/>
          <w:sz w:val="28"/>
          <w:szCs w:val="28"/>
          <w:lang w:eastAsia="es-AR"/>
        </w:rPr>
      </w:pPr>
      <w:r w:rsidRPr="00A623A1">
        <w:rPr>
          <w:rFonts w:eastAsia="Times New Roman" w:cstheme="minorHAnsi"/>
          <w:sz w:val="28"/>
          <w:szCs w:val="28"/>
          <w:lang w:eastAsia="es-AR"/>
        </w:rPr>
        <w:t>Uno de los hallazgos más relevantes es la baja utilización de herramientas como la calorimetría indirecta, lo que limita la capacidad de individualizar el soporte nutricional. Asimismo, la evaluación sistemática del riesgo nutricional no se realiza de manera consistente, lo que dificulta la identificación de pacientes que podrían beneficiarse de intervenciones más intensivas.</w:t>
      </w:r>
    </w:p>
    <w:p w:rsidR="00A623A1" w:rsidRPr="00A623A1" w:rsidRDefault="00A623A1" w:rsidP="00A623A1">
      <w:pPr>
        <w:spacing w:before="100" w:beforeAutospacing="1" w:after="100" w:afterAutospacing="1" w:line="240" w:lineRule="auto"/>
        <w:rPr>
          <w:rFonts w:eastAsia="Times New Roman" w:cstheme="minorHAnsi"/>
          <w:sz w:val="28"/>
          <w:szCs w:val="28"/>
          <w:lang w:eastAsia="es-AR"/>
        </w:rPr>
      </w:pPr>
      <w:r w:rsidRPr="00A623A1">
        <w:rPr>
          <w:rFonts w:eastAsia="Times New Roman" w:cstheme="minorHAnsi"/>
          <w:sz w:val="28"/>
          <w:szCs w:val="28"/>
          <w:lang w:eastAsia="es-AR"/>
        </w:rPr>
        <w:t>El documento propone un enfoque basado en la integración de la nutrición dentro del proceso asistencial, con un rol activo de equipos interdisciplinarios y la implementación de protocolos estandarizados.</w:t>
      </w:r>
    </w:p>
    <w:p w:rsidR="00A623A1" w:rsidRPr="00A623A1" w:rsidRDefault="00A623A1" w:rsidP="00A623A1">
      <w:pPr>
        <w:spacing w:before="100" w:beforeAutospacing="1" w:after="100" w:afterAutospacing="1" w:line="240" w:lineRule="auto"/>
        <w:rPr>
          <w:rFonts w:eastAsia="Times New Roman" w:cstheme="minorHAnsi"/>
          <w:sz w:val="28"/>
          <w:szCs w:val="28"/>
          <w:lang w:eastAsia="es-AR"/>
        </w:rPr>
      </w:pPr>
      <w:r w:rsidRPr="00A623A1">
        <w:rPr>
          <w:rFonts w:eastAsia="Times New Roman" w:cstheme="minorHAnsi"/>
          <w:sz w:val="28"/>
          <w:szCs w:val="28"/>
          <w:lang w:eastAsia="es-AR"/>
        </w:rPr>
        <w:t>Este enfoque implica reconocer a la nutrición como una intervención crítica, que requiere planificación, monitoreo y ajuste continuo, al igual que otras terapias en la unidad de cuidados intensivos.</w:t>
      </w:r>
    </w:p>
    <w:p w:rsidR="00A623A1" w:rsidRPr="00A623A1" w:rsidRDefault="00A623A1" w:rsidP="00A623A1">
      <w:pPr>
        <w:spacing w:before="100" w:beforeAutospacing="1" w:after="100" w:afterAutospacing="1" w:line="240" w:lineRule="auto"/>
        <w:rPr>
          <w:rFonts w:eastAsia="Times New Roman" w:cstheme="minorHAnsi"/>
          <w:sz w:val="28"/>
          <w:szCs w:val="28"/>
          <w:lang w:eastAsia="es-AR"/>
        </w:rPr>
      </w:pPr>
      <w:r w:rsidRPr="00A623A1">
        <w:rPr>
          <w:rFonts w:ascii="Segoe UI Symbol" w:eastAsia="Times New Roman" w:hAnsi="Segoe UI Symbol" w:cs="Segoe UI Symbol"/>
          <w:sz w:val="28"/>
          <w:szCs w:val="28"/>
          <w:lang w:eastAsia="es-AR"/>
        </w:rPr>
        <w:t>📚</w:t>
      </w:r>
      <w:r w:rsidRPr="00A623A1">
        <w:rPr>
          <w:rFonts w:eastAsia="Times New Roman" w:cstheme="minorHAnsi"/>
          <w:sz w:val="28"/>
          <w:szCs w:val="28"/>
          <w:lang w:eastAsia="es-AR"/>
        </w:rPr>
        <w:t xml:space="preserve"> </w:t>
      </w:r>
      <w:r w:rsidRPr="00A623A1">
        <w:rPr>
          <w:rFonts w:eastAsia="Times New Roman" w:cstheme="minorHAnsi"/>
          <w:b/>
          <w:bCs/>
          <w:sz w:val="28"/>
          <w:szCs w:val="28"/>
          <w:lang w:eastAsia="es-AR"/>
        </w:rPr>
        <w:t>Referencia</w:t>
      </w:r>
      <w:r w:rsidRPr="00A623A1">
        <w:rPr>
          <w:rFonts w:eastAsia="Times New Roman" w:cstheme="minorHAnsi"/>
          <w:sz w:val="28"/>
          <w:szCs w:val="28"/>
          <w:lang w:eastAsia="es-AR"/>
        </w:rPr>
        <w:br/>
      </w:r>
      <w:proofErr w:type="spellStart"/>
      <w:r w:rsidRPr="00A623A1">
        <w:rPr>
          <w:rFonts w:eastAsia="Times New Roman" w:cstheme="minorHAnsi"/>
          <w:sz w:val="28"/>
          <w:szCs w:val="28"/>
          <w:lang w:eastAsia="es-AR"/>
        </w:rPr>
        <w:t>Thibault</w:t>
      </w:r>
      <w:proofErr w:type="spellEnd"/>
      <w:r w:rsidRPr="00A623A1">
        <w:rPr>
          <w:rFonts w:eastAsia="Times New Roman" w:cstheme="minorHAnsi"/>
          <w:sz w:val="28"/>
          <w:szCs w:val="28"/>
          <w:lang w:eastAsia="es-AR"/>
        </w:rPr>
        <w:t xml:space="preserve"> R. et al. </w:t>
      </w:r>
      <w:proofErr w:type="spellStart"/>
      <w:r w:rsidRPr="00A623A1">
        <w:rPr>
          <w:rFonts w:eastAsia="Times New Roman" w:cstheme="minorHAnsi"/>
          <w:i/>
          <w:iCs/>
          <w:sz w:val="28"/>
          <w:szCs w:val="28"/>
          <w:lang w:eastAsia="es-AR"/>
        </w:rPr>
        <w:t>Implementation</w:t>
      </w:r>
      <w:proofErr w:type="spellEnd"/>
      <w:r w:rsidRPr="00A623A1">
        <w:rPr>
          <w:rFonts w:eastAsia="Times New Roman" w:cstheme="minorHAnsi"/>
          <w:i/>
          <w:iCs/>
          <w:sz w:val="28"/>
          <w:szCs w:val="28"/>
          <w:lang w:eastAsia="es-AR"/>
        </w:rPr>
        <w:t xml:space="preserve"> of </w:t>
      </w:r>
      <w:proofErr w:type="spellStart"/>
      <w:r w:rsidRPr="00A623A1">
        <w:rPr>
          <w:rFonts w:eastAsia="Times New Roman" w:cstheme="minorHAnsi"/>
          <w:i/>
          <w:iCs/>
          <w:sz w:val="28"/>
          <w:szCs w:val="28"/>
          <w:lang w:eastAsia="es-AR"/>
        </w:rPr>
        <w:t>the</w:t>
      </w:r>
      <w:proofErr w:type="spellEnd"/>
      <w:r w:rsidRPr="00A623A1">
        <w:rPr>
          <w:rFonts w:eastAsia="Times New Roman" w:cstheme="minorHAnsi"/>
          <w:i/>
          <w:iCs/>
          <w:sz w:val="28"/>
          <w:szCs w:val="28"/>
          <w:lang w:eastAsia="es-AR"/>
        </w:rPr>
        <w:t xml:space="preserve"> ESPEN </w:t>
      </w:r>
      <w:proofErr w:type="spellStart"/>
      <w:r w:rsidRPr="00A623A1">
        <w:rPr>
          <w:rFonts w:eastAsia="Times New Roman" w:cstheme="minorHAnsi"/>
          <w:i/>
          <w:iCs/>
          <w:sz w:val="28"/>
          <w:szCs w:val="28"/>
          <w:lang w:eastAsia="es-AR"/>
        </w:rPr>
        <w:t>guideline</w:t>
      </w:r>
      <w:proofErr w:type="spellEnd"/>
      <w:r w:rsidRPr="00A623A1">
        <w:rPr>
          <w:rFonts w:eastAsia="Times New Roman" w:cstheme="minorHAnsi"/>
          <w:i/>
          <w:iCs/>
          <w:sz w:val="28"/>
          <w:szCs w:val="28"/>
          <w:lang w:eastAsia="es-AR"/>
        </w:rPr>
        <w:t xml:space="preserve"> in ICU</w:t>
      </w:r>
      <w:r w:rsidRPr="00A623A1">
        <w:rPr>
          <w:rFonts w:eastAsia="Times New Roman" w:cstheme="minorHAnsi"/>
          <w:sz w:val="28"/>
          <w:szCs w:val="28"/>
          <w:lang w:eastAsia="es-AR"/>
        </w:rPr>
        <w:t>. 2023.</w:t>
      </w:r>
    </w:p>
    <w:p w:rsidR="00A623A1" w:rsidRPr="00A623A1" w:rsidRDefault="00EF36C6" w:rsidP="00A623A1">
      <w:pPr>
        <w:spacing w:after="0" w:line="240" w:lineRule="auto"/>
        <w:rPr>
          <w:rFonts w:eastAsia="Times New Roman" w:cstheme="minorHAnsi"/>
          <w:sz w:val="28"/>
          <w:szCs w:val="28"/>
          <w:lang w:eastAsia="es-AR"/>
        </w:rPr>
      </w:pPr>
      <w:r>
        <w:rPr>
          <w:rFonts w:eastAsia="Times New Roman" w:cstheme="minorHAnsi"/>
          <w:sz w:val="28"/>
          <w:szCs w:val="28"/>
          <w:lang w:eastAsia="es-AR"/>
        </w:rPr>
        <w:pict>
          <v:rect id="_x0000_i1028" style="width:0;height:1.5pt" o:hralign="center" o:hrstd="t" o:hr="t" fillcolor="#a0a0a0" stroked="f"/>
        </w:pict>
      </w:r>
    </w:p>
    <w:p w:rsidR="00A623A1" w:rsidRPr="00A623A1" w:rsidRDefault="00A623A1" w:rsidP="00A623A1">
      <w:pPr>
        <w:spacing w:before="100" w:beforeAutospacing="1" w:after="100" w:afterAutospacing="1" w:line="240" w:lineRule="auto"/>
        <w:outlineLvl w:val="0"/>
        <w:rPr>
          <w:rFonts w:eastAsia="Times New Roman" w:cstheme="minorHAnsi"/>
          <w:b/>
          <w:bCs/>
          <w:kern w:val="36"/>
          <w:sz w:val="28"/>
          <w:szCs w:val="28"/>
          <w:lang w:eastAsia="es-AR"/>
        </w:rPr>
      </w:pPr>
      <w:r w:rsidRPr="00A623A1">
        <w:rPr>
          <w:rFonts w:ascii="Segoe UI Symbol" w:eastAsia="Times New Roman" w:hAnsi="Segoe UI Symbol" w:cs="Segoe UI Symbol"/>
          <w:b/>
          <w:bCs/>
          <w:kern w:val="36"/>
          <w:sz w:val="28"/>
          <w:szCs w:val="28"/>
          <w:lang w:eastAsia="es-AR"/>
        </w:rPr>
        <w:t>📄</w:t>
      </w:r>
      <w:r w:rsidRPr="00A623A1">
        <w:rPr>
          <w:rFonts w:eastAsia="Times New Roman" w:cstheme="minorHAnsi"/>
          <w:b/>
          <w:bCs/>
          <w:kern w:val="36"/>
          <w:sz w:val="28"/>
          <w:szCs w:val="28"/>
          <w:lang w:eastAsia="es-AR"/>
        </w:rPr>
        <w:t xml:space="preserve"> 5. ASPEN 2021</w:t>
      </w:r>
    </w:p>
    <w:p w:rsidR="00A623A1" w:rsidRPr="00A623A1" w:rsidRDefault="00A623A1" w:rsidP="00A623A1">
      <w:pPr>
        <w:spacing w:before="100" w:beforeAutospacing="1" w:after="100" w:afterAutospacing="1" w:line="240" w:lineRule="auto"/>
        <w:outlineLvl w:val="1"/>
        <w:rPr>
          <w:rFonts w:eastAsia="Times New Roman" w:cstheme="minorHAnsi"/>
          <w:b/>
          <w:bCs/>
          <w:sz w:val="28"/>
          <w:szCs w:val="28"/>
          <w:lang w:eastAsia="es-AR"/>
        </w:rPr>
      </w:pPr>
      <w:r w:rsidRPr="00A623A1">
        <w:rPr>
          <w:rFonts w:eastAsia="Times New Roman" w:cstheme="minorHAnsi"/>
          <w:b/>
          <w:bCs/>
          <w:sz w:val="28"/>
          <w:szCs w:val="28"/>
          <w:lang w:eastAsia="es-AR"/>
        </w:rPr>
        <w:t>(</w:t>
      </w:r>
      <w:proofErr w:type="spellStart"/>
      <w:r w:rsidRPr="00A623A1">
        <w:rPr>
          <w:rFonts w:eastAsia="Times New Roman" w:cstheme="minorHAnsi"/>
          <w:b/>
          <w:bCs/>
          <w:sz w:val="28"/>
          <w:szCs w:val="28"/>
          <w:lang w:eastAsia="es-AR"/>
        </w:rPr>
        <w:t>Compher</w:t>
      </w:r>
      <w:proofErr w:type="spellEnd"/>
      <w:r w:rsidRPr="00A623A1">
        <w:rPr>
          <w:rFonts w:eastAsia="Times New Roman" w:cstheme="minorHAnsi"/>
          <w:b/>
          <w:bCs/>
          <w:sz w:val="28"/>
          <w:szCs w:val="28"/>
          <w:lang w:eastAsia="es-AR"/>
        </w:rPr>
        <w:t xml:space="preserve"> et al.)</w:t>
      </w:r>
    </w:p>
    <w:p w:rsidR="00A623A1" w:rsidRPr="00A623A1" w:rsidRDefault="00A623A1" w:rsidP="00A623A1">
      <w:pPr>
        <w:spacing w:before="100" w:beforeAutospacing="1" w:after="100" w:afterAutospacing="1" w:line="240" w:lineRule="auto"/>
        <w:rPr>
          <w:rFonts w:eastAsia="Times New Roman" w:cstheme="minorHAnsi"/>
          <w:sz w:val="28"/>
          <w:szCs w:val="28"/>
          <w:lang w:eastAsia="es-AR"/>
        </w:rPr>
      </w:pPr>
      <w:r w:rsidRPr="00A623A1">
        <w:rPr>
          <w:rFonts w:eastAsia="Times New Roman" w:cstheme="minorHAnsi"/>
          <w:sz w:val="28"/>
          <w:szCs w:val="28"/>
          <w:lang w:eastAsia="es-AR"/>
        </w:rPr>
        <w:t xml:space="preserve">Las guías ASPEN 2021 representan uno de los análisis más robustos de la evidencia disponible en nutrición crítica. Basadas en un gran número de ensayos clínicos, estas guías concluyen que no existen diferencias significativas en </w:t>
      </w:r>
      <w:proofErr w:type="spellStart"/>
      <w:r w:rsidRPr="00A623A1">
        <w:rPr>
          <w:rFonts w:eastAsia="Times New Roman" w:cstheme="minorHAnsi"/>
          <w:sz w:val="28"/>
          <w:szCs w:val="28"/>
          <w:lang w:eastAsia="es-AR"/>
        </w:rPr>
        <w:t>outcomes</w:t>
      </w:r>
      <w:proofErr w:type="spellEnd"/>
      <w:r w:rsidRPr="00A623A1">
        <w:rPr>
          <w:rFonts w:eastAsia="Times New Roman" w:cstheme="minorHAnsi"/>
          <w:sz w:val="28"/>
          <w:szCs w:val="28"/>
          <w:lang w:eastAsia="es-AR"/>
        </w:rPr>
        <w:t xml:space="preserve"> clínicos entre distintas estrategias de soporte nutricional.</w:t>
      </w:r>
    </w:p>
    <w:p w:rsidR="00A623A1" w:rsidRPr="00A623A1" w:rsidRDefault="00A623A1" w:rsidP="00A623A1">
      <w:pPr>
        <w:spacing w:before="100" w:beforeAutospacing="1" w:after="100" w:afterAutospacing="1" w:line="240" w:lineRule="auto"/>
        <w:rPr>
          <w:rFonts w:eastAsia="Times New Roman" w:cstheme="minorHAnsi"/>
          <w:sz w:val="28"/>
          <w:szCs w:val="28"/>
          <w:lang w:eastAsia="es-AR"/>
        </w:rPr>
      </w:pPr>
      <w:r w:rsidRPr="00A623A1">
        <w:rPr>
          <w:rFonts w:eastAsia="Times New Roman" w:cstheme="minorHAnsi"/>
          <w:sz w:val="28"/>
          <w:szCs w:val="28"/>
          <w:lang w:eastAsia="es-AR"/>
        </w:rPr>
        <w:lastRenderedPageBreak/>
        <w:t>Este hallazgo desafía la noción tradicional de que un mayor aporte nutricional se asocia con mejores resultados. En respuesta, las guías proponen un rango amplio de aporte energético, reflejando la incertidumbre respecto al nivel óptimo.</w:t>
      </w:r>
    </w:p>
    <w:p w:rsidR="00A623A1" w:rsidRPr="00A623A1" w:rsidRDefault="00A623A1" w:rsidP="00A623A1">
      <w:pPr>
        <w:spacing w:before="100" w:beforeAutospacing="1" w:after="100" w:afterAutospacing="1" w:line="240" w:lineRule="auto"/>
        <w:rPr>
          <w:rFonts w:eastAsia="Times New Roman" w:cstheme="minorHAnsi"/>
          <w:sz w:val="28"/>
          <w:szCs w:val="28"/>
          <w:lang w:eastAsia="es-AR"/>
        </w:rPr>
      </w:pPr>
      <w:r w:rsidRPr="00A623A1">
        <w:rPr>
          <w:rFonts w:eastAsia="Times New Roman" w:cstheme="minorHAnsi"/>
          <w:sz w:val="28"/>
          <w:szCs w:val="28"/>
          <w:lang w:eastAsia="es-AR"/>
        </w:rPr>
        <w:t>En cuanto a proteínas, se mantienen recomendaciones elevadas, aunque se reconoce la falta de evidencia sólida que respalde su impacto clínico.</w:t>
      </w:r>
    </w:p>
    <w:p w:rsidR="00A623A1" w:rsidRPr="00A623A1" w:rsidRDefault="00A623A1" w:rsidP="00A623A1">
      <w:pPr>
        <w:spacing w:before="100" w:beforeAutospacing="1" w:after="100" w:afterAutospacing="1" w:line="240" w:lineRule="auto"/>
        <w:rPr>
          <w:rFonts w:eastAsia="Times New Roman" w:cstheme="minorHAnsi"/>
          <w:sz w:val="28"/>
          <w:szCs w:val="28"/>
          <w:lang w:eastAsia="es-AR"/>
        </w:rPr>
      </w:pPr>
      <w:r w:rsidRPr="00A623A1">
        <w:rPr>
          <w:rFonts w:eastAsia="Times New Roman" w:cstheme="minorHAnsi"/>
          <w:sz w:val="28"/>
          <w:szCs w:val="28"/>
          <w:lang w:eastAsia="es-AR"/>
        </w:rPr>
        <w:t>Otro aspecto relevante es la ausencia de diferencias entre nutrición enteral y parenteral cuando se comparan estrategias equivalentes en términos de aporte energético.</w:t>
      </w:r>
    </w:p>
    <w:p w:rsidR="00A623A1" w:rsidRPr="00A623A1" w:rsidRDefault="00A623A1" w:rsidP="00A623A1">
      <w:pPr>
        <w:spacing w:before="100" w:beforeAutospacing="1" w:after="100" w:afterAutospacing="1" w:line="240" w:lineRule="auto"/>
        <w:rPr>
          <w:rFonts w:eastAsia="Times New Roman" w:cstheme="minorHAnsi"/>
          <w:sz w:val="28"/>
          <w:szCs w:val="28"/>
          <w:lang w:eastAsia="es-AR"/>
        </w:rPr>
      </w:pPr>
      <w:r w:rsidRPr="00A623A1">
        <w:rPr>
          <w:rFonts w:eastAsia="Times New Roman" w:cstheme="minorHAnsi"/>
          <w:sz w:val="28"/>
          <w:szCs w:val="28"/>
          <w:lang w:eastAsia="es-AR"/>
        </w:rPr>
        <w:t>En conjunto, ASPEN 2021 pone de manifiesto las limitaciones del conocimiento actual y la necesidad de continuar investigando el rol del soporte nutricional en el paciente crítico.</w:t>
      </w:r>
    </w:p>
    <w:p w:rsidR="00A623A1" w:rsidRPr="00A623A1" w:rsidRDefault="00A623A1" w:rsidP="00A623A1">
      <w:pPr>
        <w:spacing w:before="100" w:beforeAutospacing="1" w:after="100" w:afterAutospacing="1" w:line="240" w:lineRule="auto"/>
        <w:rPr>
          <w:rFonts w:eastAsia="Times New Roman" w:cstheme="minorHAnsi"/>
          <w:sz w:val="28"/>
          <w:szCs w:val="28"/>
          <w:lang w:eastAsia="es-AR"/>
        </w:rPr>
      </w:pPr>
      <w:r w:rsidRPr="00A623A1">
        <w:rPr>
          <w:rFonts w:ascii="Segoe UI Symbol" w:eastAsia="Times New Roman" w:hAnsi="Segoe UI Symbol" w:cs="Segoe UI Symbol"/>
          <w:sz w:val="28"/>
          <w:szCs w:val="28"/>
          <w:lang w:eastAsia="es-AR"/>
        </w:rPr>
        <w:t>📚</w:t>
      </w:r>
      <w:r w:rsidRPr="00A623A1">
        <w:rPr>
          <w:rFonts w:eastAsia="Times New Roman" w:cstheme="minorHAnsi"/>
          <w:sz w:val="28"/>
          <w:szCs w:val="28"/>
          <w:lang w:eastAsia="es-AR"/>
        </w:rPr>
        <w:t xml:space="preserve"> </w:t>
      </w:r>
      <w:r w:rsidRPr="00A623A1">
        <w:rPr>
          <w:rFonts w:eastAsia="Times New Roman" w:cstheme="minorHAnsi"/>
          <w:b/>
          <w:bCs/>
          <w:sz w:val="28"/>
          <w:szCs w:val="28"/>
          <w:lang w:eastAsia="es-AR"/>
        </w:rPr>
        <w:t>Referencia</w:t>
      </w:r>
      <w:r w:rsidRPr="00A623A1">
        <w:rPr>
          <w:rFonts w:eastAsia="Times New Roman" w:cstheme="minorHAnsi"/>
          <w:sz w:val="28"/>
          <w:szCs w:val="28"/>
          <w:lang w:eastAsia="es-AR"/>
        </w:rPr>
        <w:br/>
      </w:r>
      <w:proofErr w:type="spellStart"/>
      <w:r w:rsidRPr="00A623A1">
        <w:rPr>
          <w:rFonts w:eastAsia="Times New Roman" w:cstheme="minorHAnsi"/>
          <w:sz w:val="28"/>
          <w:szCs w:val="28"/>
          <w:lang w:eastAsia="es-AR"/>
        </w:rPr>
        <w:t>Compher</w:t>
      </w:r>
      <w:proofErr w:type="spellEnd"/>
      <w:r w:rsidRPr="00A623A1">
        <w:rPr>
          <w:rFonts w:eastAsia="Times New Roman" w:cstheme="minorHAnsi"/>
          <w:sz w:val="28"/>
          <w:szCs w:val="28"/>
          <w:lang w:eastAsia="es-AR"/>
        </w:rPr>
        <w:t xml:space="preserve"> C. et al. </w:t>
      </w:r>
      <w:r w:rsidRPr="00A623A1">
        <w:rPr>
          <w:rFonts w:eastAsia="Times New Roman" w:cstheme="minorHAnsi"/>
          <w:i/>
          <w:iCs/>
          <w:sz w:val="28"/>
          <w:szCs w:val="28"/>
          <w:lang w:eastAsia="es-AR"/>
        </w:rPr>
        <w:t xml:space="preserve">ASPEN </w:t>
      </w:r>
      <w:proofErr w:type="spellStart"/>
      <w:r w:rsidRPr="00A623A1">
        <w:rPr>
          <w:rFonts w:eastAsia="Times New Roman" w:cstheme="minorHAnsi"/>
          <w:i/>
          <w:iCs/>
          <w:sz w:val="28"/>
          <w:szCs w:val="28"/>
          <w:lang w:eastAsia="es-AR"/>
        </w:rPr>
        <w:t>Guidelines</w:t>
      </w:r>
      <w:proofErr w:type="spellEnd"/>
      <w:r w:rsidRPr="00A623A1">
        <w:rPr>
          <w:rFonts w:eastAsia="Times New Roman" w:cstheme="minorHAnsi"/>
          <w:i/>
          <w:iCs/>
          <w:sz w:val="28"/>
          <w:szCs w:val="28"/>
          <w:lang w:eastAsia="es-AR"/>
        </w:rPr>
        <w:t xml:space="preserve"> </w:t>
      </w:r>
      <w:proofErr w:type="spellStart"/>
      <w:r w:rsidRPr="00A623A1">
        <w:rPr>
          <w:rFonts w:eastAsia="Times New Roman" w:cstheme="minorHAnsi"/>
          <w:i/>
          <w:iCs/>
          <w:sz w:val="28"/>
          <w:szCs w:val="28"/>
          <w:lang w:eastAsia="es-AR"/>
        </w:rPr>
        <w:t>for</w:t>
      </w:r>
      <w:proofErr w:type="spellEnd"/>
      <w:r w:rsidRPr="00A623A1">
        <w:rPr>
          <w:rFonts w:eastAsia="Times New Roman" w:cstheme="minorHAnsi"/>
          <w:i/>
          <w:iCs/>
          <w:sz w:val="28"/>
          <w:szCs w:val="28"/>
          <w:lang w:eastAsia="es-AR"/>
        </w:rPr>
        <w:t xml:space="preserve"> </w:t>
      </w:r>
      <w:proofErr w:type="spellStart"/>
      <w:r w:rsidRPr="00A623A1">
        <w:rPr>
          <w:rFonts w:eastAsia="Times New Roman" w:cstheme="minorHAnsi"/>
          <w:i/>
          <w:iCs/>
          <w:sz w:val="28"/>
          <w:szCs w:val="28"/>
          <w:lang w:eastAsia="es-AR"/>
        </w:rPr>
        <w:t>Nutrition</w:t>
      </w:r>
      <w:proofErr w:type="spellEnd"/>
      <w:r w:rsidRPr="00A623A1">
        <w:rPr>
          <w:rFonts w:eastAsia="Times New Roman" w:cstheme="minorHAnsi"/>
          <w:i/>
          <w:iCs/>
          <w:sz w:val="28"/>
          <w:szCs w:val="28"/>
          <w:lang w:eastAsia="es-AR"/>
        </w:rPr>
        <w:t xml:space="preserve"> </w:t>
      </w:r>
      <w:proofErr w:type="spellStart"/>
      <w:r w:rsidRPr="00A623A1">
        <w:rPr>
          <w:rFonts w:eastAsia="Times New Roman" w:cstheme="minorHAnsi"/>
          <w:i/>
          <w:iCs/>
          <w:sz w:val="28"/>
          <w:szCs w:val="28"/>
          <w:lang w:eastAsia="es-AR"/>
        </w:rPr>
        <w:t>Support</w:t>
      </w:r>
      <w:proofErr w:type="spellEnd"/>
      <w:r w:rsidRPr="00A623A1">
        <w:rPr>
          <w:rFonts w:eastAsia="Times New Roman" w:cstheme="minorHAnsi"/>
          <w:i/>
          <w:iCs/>
          <w:sz w:val="28"/>
          <w:szCs w:val="28"/>
          <w:lang w:eastAsia="es-AR"/>
        </w:rPr>
        <w:t xml:space="preserve"> </w:t>
      </w:r>
      <w:proofErr w:type="spellStart"/>
      <w:r w:rsidRPr="00A623A1">
        <w:rPr>
          <w:rFonts w:eastAsia="Times New Roman" w:cstheme="minorHAnsi"/>
          <w:i/>
          <w:iCs/>
          <w:sz w:val="28"/>
          <w:szCs w:val="28"/>
          <w:lang w:eastAsia="es-AR"/>
        </w:rPr>
        <w:t>Therapy</w:t>
      </w:r>
      <w:proofErr w:type="spellEnd"/>
      <w:r w:rsidRPr="00A623A1">
        <w:rPr>
          <w:rFonts w:eastAsia="Times New Roman" w:cstheme="minorHAnsi"/>
          <w:sz w:val="28"/>
          <w:szCs w:val="28"/>
          <w:lang w:eastAsia="es-AR"/>
        </w:rPr>
        <w:t>. 2021.</w:t>
      </w:r>
    </w:p>
    <w:p w:rsidR="006E1DF8" w:rsidRDefault="006E1DF8">
      <w:pPr>
        <w:rPr>
          <w:rFonts w:cstheme="minorHAnsi"/>
          <w:sz w:val="28"/>
          <w:szCs w:val="28"/>
        </w:rPr>
      </w:pPr>
    </w:p>
    <w:p w:rsidR="00EF36C6" w:rsidRDefault="00EF36C6">
      <w:pPr>
        <w:rPr>
          <w:rFonts w:cstheme="minorHAnsi"/>
          <w:sz w:val="28"/>
          <w:szCs w:val="28"/>
        </w:rPr>
      </w:pPr>
    </w:p>
    <w:p w:rsidR="00EF36C6" w:rsidRDefault="00EF36C6">
      <w:pPr>
        <w:rPr>
          <w:rFonts w:cstheme="minorHAnsi"/>
          <w:sz w:val="28"/>
          <w:szCs w:val="28"/>
        </w:rPr>
      </w:pPr>
    </w:p>
    <w:p w:rsidR="00EF36C6" w:rsidRDefault="00EF36C6">
      <w:pPr>
        <w:rPr>
          <w:rFonts w:cstheme="minorHAnsi"/>
          <w:sz w:val="28"/>
          <w:szCs w:val="28"/>
        </w:rPr>
      </w:pPr>
    </w:p>
    <w:p w:rsidR="00EF36C6" w:rsidRDefault="00EF36C6">
      <w:pPr>
        <w:rPr>
          <w:rFonts w:cstheme="minorHAnsi"/>
          <w:sz w:val="28"/>
          <w:szCs w:val="28"/>
        </w:rPr>
      </w:pPr>
    </w:p>
    <w:p w:rsidR="00EF36C6" w:rsidRDefault="00EF36C6">
      <w:pPr>
        <w:rPr>
          <w:rFonts w:cstheme="minorHAnsi"/>
          <w:sz w:val="28"/>
          <w:szCs w:val="28"/>
        </w:rPr>
      </w:pPr>
    </w:p>
    <w:p w:rsidR="00EF36C6" w:rsidRDefault="00EF36C6">
      <w:pPr>
        <w:rPr>
          <w:rFonts w:cstheme="minorHAnsi"/>
          <w:sz w:val="28"/>
          <w:szCs w:val="28"/>
        </w:rPr>
      </w:pPr>
    </w:p>
    <w:p w:rsidR="00EF36C6" w:rsidRDefault="00EF36C6">
      <w:pPr>
        <w:rPr>
          <w:rFonts w:cstheme="minorHAnsi"/>
          <w:sz w:val="28"/>
          <w:szCs w:val="28"/>
        </w:rPr>
      </w:pPr>
    </w:p>
    <w:p w:rsidR="00EF36C6" w:rsidRDefault="00EF36C6">
      <w:pPr>
        <w:rPr>
          <w:rFonts w:cstheme="minorHAnsi"/>
          <w:sz w:val="28"/>
          <w:szCs w:val="28"/>
        </w:rPr>
      </w:pPr>
    </w:p>
    <w:p w:rsidR="00EF36C6" w:rsidRDefault="00EF36C6">
      <w:pPr>
        <w:rPr>
          <w:rFonts w:cstheme="minorHAnsi"/>
          <w:sz w:val="28"/>
          <w:szCs w:val="28"/>
        </w:rPr>
      </w:pPr>
    </w:p>
    <w:p w:rsidR="00EF36C6" w:rsidRDefault="00EF36C6">
      <w:pPr>
        <w:rPr>
          <w:rFonts w:cstheme="minorHAnsi"/>
          <w:sz w:val="28"/>
          <w:szCs w:val="28"/>
        </w:rPr>
      </w:pPr>
    </w:p>
    <w:p w:rsidR="00EF36C6" w:rsidRDefault="00EF36C6">
      <w:pPr>
        <w:rPr>
          <w:rFonts w:cstheme="minorHAnsi"/>
          <w:sz w:val="28"/>
          <w:szCs w:val="28"/>
        </w:rPr>
      </w:pPr>
    </w:p>
    <w:p w:rsidR="00EF36C6" w:rsidRDefault="00EF36C6">
      <w:pPr>
        <w:rPr>
          <w:rFonts w:cstheme="minorHAnsi"/>
          <w:sz w:val="28"/>
          <w:szCs w:val="28"/>
        </w:rPr>
      </w:pPr>
    </w:p>
    <w:p w:rsidR="00EF36C6" w:rsidRDefault="00EF36C6">
      <w:pPr>
        <w:rPr>
          <w:rFonts w:cstheme="minorHAnsi"/>
          <w:sz w:val="28"/>
          <w:szCs w:val="28"/>
        </w:rPr>
      </w:pPr>
    </w:p>
    <w:p w:rsidR="00EF36C6" w:rsidRDefault="00EF36C6">
      <w:pPr>
        <w:rPr>
          <w:rFonts w:cstheme="minorHAnsi"/>
          <w:sz w:val="28"/>
          <w:szCs w:val="28"/>
        </w:rPr>
      </w:pPr>
    </w:p>
    <w:p w:rsidR="00EF36C6" w:rsidRDefault="00EF36C6">
      <w:pPr>
        <w:rPr>
          <w:rFonts w:cstheme="minorHAnsi"/>
          <w:sz w:val="28"/>
          <w:szCs w:val="28"/>
        </w:rPr>
      </w:pPr>
      <w:bookmarkStart w:id="0" w:name="_GoBack"/>
      <w:bookmarkEnd w:id="0"/>
    </w:p>
    <w:p w:rsidR="00EF36C6" w:rsidRPr="00EF36C6" w:rsidRDefault="00EF36C6" w:rsidP="00EF36C6">
      <w:pPr>
        <w:spacing w:before="100" w:beforeAutospacing="1" w:after="100" w:afterAutospacing="1" w:line="240" w:lineRule="auto"/>
        <w:outlineLvl w:val="0"/>
        <w:rPr>
          <w:rFonts w:eastAsia="Times New Roman" w:cstheme="minorHAnsi"/>
          <w:b/>
          <w:bCs/>
          <w:kern w:val="36"/>
          <w:sz w:val="24"/>
          <w:szCs w:val="24"/>
          <w:lang w:eastAsia="es-AR"/>
        </w:rPr>
      </w:pPr>
      <w:r w:rsidRPr="00EF36C6">
        <w:rPr>
          <w:rFonts w:eastAsia="Times New Roman" w:cstheme="minorHAnsi"/>
          <w:b/>
          <w:bCs/>
          <w:kern w:val="36"/>
          <w:sz w:val="24"/>
          <w:szCs w:val="24"/>
          <w:lang w:eastAsia="es-AR"/>
        </w:rPr>
        <w:t>NUTRICIÓN EN PACIENTE CRÍTICO SÉPTICO</w:t>
      </w:r>
    </w:p>
    <w:p w:rsidR="00EF36C6" w:rsidRPr="00EF36C6" w:rsidRDefault="00EF36C6" w:rsidP="00EF36C6">
      <w:pPr>
        <w:spacing w:before="100" w:beforeAutospacing="1" w:after="100" w:afterAutospacing="1" w:line="240" w:lineRule="auto"/>
        <w:outlineLvl w:val="1"/>
        <w:rPr>
          <w:rFonts w:eastAsia="Times New Roman" w:cstheme="minorHAnsi"/>
          <w:b/>
          <w:bCs/>
          <w:sz w:val="24"/>
          <w:szCs w:val="24"/>
          <w:lang w:eastAsia="es-AR"/>
        </w:rPr>
      </w:pPr>
      <w:r w:rsidRPr="00EF36C6">
        <w:rPr>
          <w:rFonts w:eastAsia="Times New Roman" w:cstheme="minorHAnsi"/>
          <w:b/>
          <w:bCs/>
          <w:sz w:val="24"/>
          <w:szCs w:val="24"/>
          <w:lang w:eastAsia="es-AR"/>
        </w:rPr>
        <w:t>Evolución del paradigma: de la reposición calórica a la intervención metabólica</w:t>
      </w:r>
    </w:p>
    <w:p w:rsidR="00EF36C6" w:rsidRPr="00EF36C6" w:rsidRDefault="00EF36C6" w:rsidP="00EF36C6">
      <w:pPr>
        <w:spacing w:after="0" w:line="240" w:lineRule="auto"/>
        <w:rPr>
          <w:rFonts w:eastAsia="Times New Roman" w:cstheme="minorHAnsi"/>
          <w:sz w:val="24"/>
          <w:szCs w:val="24"/>
          <w:lang w:eastAsia="es-AR"/>
        </w:rPr>
      </w:pPr>
      <w:r w:rsidRPr="00EF36C6">
        <w:rPr>
          <w:rFonts w:eastAsia="Times New Roman" w:cstheme="minorHAnsi"/>
          <w:sz w:val="24"/>
          <w:szCs w:val="24"/>
          <w:lang w:eastAsia="es-AR"/>
        </w:rPr>
        <w:pict>
          <v:rect id="_x0000_i1029" style="width:0;height:1.5pt" o:hralign="center" o:hrstd="t" o:hr="t" fillcolor="#a0a0a0" stroked="f"/>
        </w:pict>
      </w:r>
    </w:p>
    <w:p w:rsidR="00EF36C6" w:rsidRPr="00EF36C6" w:rsidRDefault="00EF36C6" w:rsidP="00EF36C6">
      <w:pPr>
        <w:spacing w:before="100" w:beforeAutospacing="1" w:after="100" w:afterAutospacing="1" w:line="240" w:lineRule="auto"/>
        <w:outlineLvl w:val="0"/>
        <w:rPr>
          <w:rFonts w:eastAsia="Times New Roman" w:cstheme="minorHAnsi"/>
          <w:b/>
          <w:bCs/>
          <w:kern w:val="36"/>
          <w:sz w:val="24"/>
          <w:szCs w:val="24"/>
          <w:lang w:eastAsia="es-AR"/>
        </w:rPr>
      </w:pPr>
      <w:r w:rsidRPr="00EF36C6">
        <w:rPr>
          <w:rFonts w:ascii="Segoe UI Symbol" w:eastAsia="Times New Roman" w:hAnsi="Segoe UI Symbol" w:cs="Segoe UI Symbol"/>
          <w:b/>
          <w:bCs/>
          <w:kern w:val="36"/>
          <w:sz w:val="24"/>
          <w:szCs w:val="24"/>
          <w:lang w:eastAsia="es-AR"/>
        </w:rPr>
        <w:t>🔬</w:t>
      </w:r>
      <w:r w:rsidRPr="00EF36C6">
        <w:rPr>
          <w:rFonts w:eastAsia="Times New Roman" w:cstheme="minorHAnsi"/>
          <w:b/>
          <w:bCs/>
          <w:kern w:val="36"/>
          <w:sz w:val="24"/>
          <w:szCs w:val="24"/>
          <w:lang w:eastAsia="es-AR"/>
        </w:rPr>
        <w:t xml:space="preserve"> INTRODUCCIÓN</w:t>
      </w:r>
    </w:p>
    <w:p w:rsidR="00EF36C6" w:rsidRPr="00EF36C6" w:rsidRDefault="00EF36C6" w:rsidP="00EF36C6">
      <w:pPr>
        <w:spacing w:before="100" w:beforeAutospacing="1" w:after="100" w:afterAutospacing="1" w:line="240" w:lineRule="auto"/>
        <w:rPr>
          <w:rFonts w:eastAsia="Times New Roman" w:cstheme="minorHAnsi"/>
          <w:sz w:val="24"/>
          <w:szCs w:val="24"/>
          <w:lang w:eastAsia="es-AR"/>
        </w:rPr>
      </w:pPr>
      <w:r w:rsidRPr="00EF36C6">
        <w:rPr>
          <w:rFonts w:eastAsia="Times New Roman" w:cstheme="minorHAnsi"/>
          <w:sz w:val="24"/>
          <w:szCs w:val="24"/>
          <w:lang w:eastAsia="es-AR"/>
        </w:rPr>
        <w:t>El soporte nutricional en el paciente crítico ha sido históricamente considerado un componente esencial del manejo integral, con el objetivo de prevenir la desnutrición, preservar la masa muscular y mejorar los resultados clínicos. Sin embargo, en el contexto de la sepsis, este enfoque tradicional ha sido progresivamente cuestionado debido a la complejidad del estado metabólico asociado.</w:t>
      </w:r>
    </w:p>
    <w:p w:rsidR="00EF36C6" w:rsidRPr="00EF36C6" w:rsidRDefault="00EF36C6" w:rsidP="00EF36C6">
      <w:pPr>
        <w:spacing w:before="100" w:beforeAutospacing="1" w:after="100" w:afterAutospacing="1" w:line="240" w:lineRule="auto"/>
        <w:rPr>
          <w:rFonts w:eastAsia="Times New Roman" w:cstheme="minorHAnsi"/>
          <w:sz w:val="24"/>
          <w:szCs w:val="24"/>
          <w:lang w:eastAsia="es-AR"/>
        </w:rPr>
      </w:pPr>
      <w:r w:rsidRPr="00EF36C6">
        <w:rPr>
          <w:rFonts w:eastAsia="Times New Roman" w:cstheme="minorHAnsi"/>
          <w:sz w:val="24"/>
          <w:szCs w:val="24"/>
          <w:lang w:eastAsia="es-AR"/>
        </w:rPr>
        <w:t>La sepsis se caracteriza por una respuesta inflamatoria desregulada que induce profundas alteraciones en el metabolismo energético, generando un estado de catabolismo sostenido, resistencia anabólica y disfunción en la utilización de sustratos. En este escenario, la administración de nutrientes no necesariamente se traduce en un beneficio clínico, y puede incluso resultar perjudicial si no se adapta a la fisiopatología subyacente.</w:t>
      </w:r>
    </w:p>
    <w:p w:rsidR="00EF36C6" w:rsidRPr="00EF36C6" w:rsidRDefault="00EF36C6" w:rsidP="00EF36C6">
      <w:pPr>
        <w:spacing w:before="100" w:beforeAutospacing="1" w:after="100" w:afterAutospacing="1" w:line="240" w:lineRule="auto"/>
        <w:rPr>
          <w:rFonts w:eastAsia="Times New Roman" w:cstheme="minorHAnsi"/>
          <w:sz w:val="24"/>
          <w:szCs w:val="24"/>
          <w:lang w:eastAsia="es-AR"/>
        </w:rPr>
      </w:pPr>
      <w:r w:rsidRPr="00EF36C6">
        <w:rPr>
          <w:rFonts w:eastAsia="Times New Roman" w:cstheme="minorHAnsi"/>
          <w:sz w:val="24"/>
          <w:szCs w:val="24"/>
          <w:lang w:eastAsia="es-AR"/>
        </w:rPr>
        <w:t>En los últimos años, la evidencia proveniente de estudios experimentales, ensayos clínicos y guías internacionales ha impulsado un cambio de paradigma en la nutrición del paciente crítico séptico. Este trabajo tiene como objetivo analizar esta evolución, integrando los principales hallazgos de la literatura reciente y su impacto en la práctica clínica.</w:t>
      </w:r>
    </w:p>
    <w:p w:rsidR="00EF36C6" w:rsidRPr="00EF36C6" w:rsidRDefault="00EF36C6" w:rsidP="00EF36C6">
      <w:pPr>
        <w:spacing w:after="0" w:line="240" w:lineRule="auto"/>
        <w:rPr>
          <w:rFonts w:eastAsia="Times New Roman" w:cstheme="minorHAnsi"/>
          <w:sz w:val="24"/>
          <w:szCs w:val="24"/>
          <w:lang w:eastAsia="es-AR"/>
        </w:rPr>
      </w:pPr>
      <w:r w:rsidRPr="00EF36C6">
        <w:rPr>
          <w:rFonts w:eastAsia="Times New Roman" w:cstheme="minorHAnsi"/>
          <w:sz w:val="24"/>
          <w:szCs w:val="24"/>
          <w:lang w:eastAsia="es-AR"/>
        </w:rPr>
        <w:pict>
          <v:rect id="_x0000_i1030" style="width:0;height:1.5pt" o:hralign="center" o:hrstd="t" o:hr="t" fillcolor="#a0a0a0" stroked="f"/>
        </w:pict>
      </w:r>
    </w:p>
    <w:p w:rsidR="00EF36C6" w:rsidRPr="00EF36C6" w:rsidRDefault="00EF36C6" w:rsidP="00EF36C6">
      <w:pPr>
        <w:spacing w:before="100" w:beforeAutospacing="1" w:after="100" w:afterAutospacing="1" w:line="240" w:lineRule="auto"/>
        <w:outlineLvl w:val="0"/>
        <w:rPr>
          <w:rFonts w:eastAsia="Times New Roman" w:cstheme="minorHAnsi"/>
          <w:b/>
          <w:bCs/>
          <w:kern w:val="36"/>
          <w:sz w:val="24"/>
          <w:szCs w:val="24"/>
          <w:lang w:eastAsia="es-AR"/>
        </w:rPr>
      </w:pPr>
      <w:r w:rsidRPr="00EF36C6">
        <w:rPr>
          <w:rFonts w:ascii="Calibri" w:eastAsia="Times New Roman" w:hAnsi="Calibri" w:cs="Calibri"/>
          <w:b/>
          <w:bCs/>
          <w:kern w:val="36"/>
          <w:sz w:val="24"/>
          <w:szCs w:val="24"/>
          <w:lang w:eastAsia="es-AR"/>
        </w:rPr>
        <w:t>🧠</w:t>
      </w:r>
      <w:r w:rsidRPr="00EF36C6">
        <w:rPr>
          <w:rFonts w:eastAsia="Times New Roman" w:cstheme="minorHAnsi"/>
          <w:b/>
          <w:bCs/>
          <w:kern w:val="36"/>
          <w:sz w:val="24"/>
          <w:szCs w:val="24"/>
          <w:lang w:eastAsia="es-AR"/>
        </w:rPr>
        <w:t xml:space="preserve"> DESARROLLO</w:t>
      </w:r>
    </w:p>
    <w:p w:rsidR="00EF36C6" w:rsidRPr="00EF36C6" w:rsidRDefault="00EF36C6" w:rsidP="00EF36C6">
      <w:pPr>
        <w:spacing w:before="100" w:beforeAutospacing="1" w:after="100" w:afterAutospacing="1" w:line="240" w:lineRule="auto"/>
        <w:outlineLvl w:val="1"/>
        <w:rPr>
          <w:rFonts w:eastAsia="Times New Roman" w:cstheme="minorHAnsi"/>
          <w:b/>
          <w:bCs/>
          <w:sz w:val="24"/>
          <w:szCs w:val="24"/>
          <w:lang w:eastAsia="es-AR"/>
        </w:rPr>
      </w:pPr>
      <w:r w:rsidRPr="00EF36C6">
        <w:rPr>
          <w:rFonts w:eastAsia="Times New Roman" w:cstheme="minorHAnsi"/>
          <w:b/>
          <w:bCs/>
          <w:sz w:val="24"/>
          <w:szCs w:val="24"/>
          <w:lang w:eastAsia="es-AR"/>
        </w:rPr>
        <w:t>1. Reprogramación metabólica en la sepsis</w:t>
      </w:r>
    </w:p>
    <w:p w:rsidR="00EF36C6" w:rsidRPr="00EF36C6" w:rsidRDefault="00EF36C6" w:rsidP="00EF36C6">
      <w:pPr>
        <w:spacing w:before="100" w:beforeAutospacing="1" w:after="100" w:afterAutospacing="1" w:line="240" w:lineRule="auto"/>
        <w:rPr>
          <w:rFonts w:eastAsia="Times New Roman" w:cstheme="minorHAnsi"/>
          <w:sz w:val="24"/>
          <w:szCs w:val="24"/>
          <w:lang w:eastAsia="es-AR"/>
        </w:rPr>
      </w:pPr>
      <w:r w:rsidRPr="00EF36C6">
        <w:rPr>
          <w:rFonts w:eastAsia="Times New Roman" w:cstheme="minorHAnsi"/>
          <w:sz w:val="24"/>
          <w:szCs w:val="24"/>
          <w:lang w:eastAsia="es-AR"/>
        </w:rPr>
        <w:t xml:space="preserve">La sepsis induce una reprogramación metabólica compleja que afecta múltiples vías energéticas. Durante la fase aguda, se observa un aumento sostenido </w:t>
      </w:r>
      <w:proofErr w:type="gramStart"/>
      <w:r w:rsidRPr="00EF36C6">
        <w:rPr>
          <w:rFonts w:eastAsia="Times New Roman" w:cstheme="minorHAnsi"/>
          <w:sz w:val="24"/>
          <w:szCs w:val="24"/>
          <w:lang w:eastAsia="es-AR"/>
        </w:rPr>
        <w:t>de la gluconeogénesis</w:t>
      </w:r>
      <w:proofErr w:type="gramEnd"/>
      <w:r w:rsidRPr="00EF36C6">
        <w:rPr>
          <w:rFonts w:eastAsia="Times New Roman" w:cstheme="minorHAnsi"/>
          <w:sz w:val="24"/>
          <w:szCs w:val="24"/>
          <w:lang w:eastAsia="es-AR"/>
        </w:rPr>
        <w:t xml:space="preserve"> hepática, alimentada por la proteólisis muscular y la movilización de sustratos como lactato y glicerol. Este proceso ocurre de manera independiente del aporte exógeno de nutrientes, lo que refleja una pérdida de los mecanismos de regulación fisiológica.</w:t>
      </w:r>
    </w:p>
    <w:p w:rsidR="00EF36C6" w:rsidRPr="00EF36C6" w:rsidRDefault="00EF36C6" w:rsidP="00EF36C6">
      <w:pPr>
        <w:spacing w:before="100" w:beforeAutospacing="1" w:after="100" w:afterAutospacing="1" w:line="240" w:lineRule="auto"/>
        <w:rPr>
          <w:rFonts w:eastAsia="Times New Roman" w:cstheme="minorHAnsi"/>
          <w:sz w:val="24"/>
          <w:szCs w:val="24"/>
          <w:lang w:eastAsia="es-AR"/>
        </w:rPr>
      </w:pPr>
      <w:r w:rsidRPr="00EF36C6">
        <w:rPr>
          <w:rFonts w:eastAsia="Times New Roman" w:cstheme="minorHAnsi"/>
          <w:sz w:val="24"/>
          <w:szCs w:val="24"/>
          <w:lang w:eastAsia="es-AR"/>
        </w:rPr>
        <w:t xml:space="preserve">Simultáneamente, la resistencia a la insulina limita la captación periférica de glucosa, contribuyendo a la hiperglucemia y a una utilización ineficiente de la energía disponible. A nivel mitocondrial, la disfunción en la </w:t>
      </w:r>
      <w:proofErr w:type="spellStart"/>
      <w:r w:rsidRPr="00EF36C6">
        <w:rPr>
          <w:rFonts w:eastAsia="Times New Roman" w:cstheme="minorHAnsi"/>
          <w:sz w:val="24"/>
          <w:szCs w:val="24"/>
          <w:lang w:eastAsia="es-AR"/>
        </w:rPr>
        <w:t>fosforilación</w:t>
      </w:r>
      <w:proofErr w:type="spellEnd"/>
      <w:r w:rsidRPr="00EF36C6">
        <w:rPr>
          <w:rFonts w:eastAsia="Times New Roman" w:cstheme="minorHAnsi"/>
          <w:sz w:val="24"/>
          <w:szCs w:val="24"/>
          <w:lang w:eastAsia="es-AR"/>
        </w:rPr>
        <w:t xml:space="preserve"> oxidativa reduce la capacidad de generación de ATP, fenómeno que ha sido descrito como hipoxia </w:t>
      </w:r>
      <w:proofErr w:type="spellStart"/>
      <w:r w:rsidRPr="00EF36C6">
        <w:rPr>
          <w:rFonts w:eastAsia="Times New Roman" w:cstheme="minorHAnsi"/>
          <w:sz w:val="24"/>
          <w:szCs w:val="24"/>
          <w:lang w:eastAsia="es-AR"/>
        </w:rPr>
        <w:t>citopática</w:t>
      </w:r>
      <w:proofErr w:type="spellEnd"/>
      <w:r w:rsidRPr="00EF36C6">
        <w:rPr>
          <w:rFonts w:eastAsia="Times New Roman" w:cstheme="minorHAnsi"/>
          <w:sz w:val="24"/>
          <w:szCs w:val="24"/>
          <w:lang w:eastAsia="es-AR"/>
        </w:rPr>
        <w:t>.</w:t>
      </w:r>
    </w:p>
    <w:p w:rsidR="00EF36C6" w:rsidRPr="00EF36C6" w:rsidRDefault="00EF36C6" w:rsidP="00EF36C6">
      <w:pPr>
        <w:spacing w:before="100" w:beforeAutospacing="1" w:after="100" w:afterAutospacing="1" w:line="240" w:lineRule="auto"/>
        <w:rPr>
          <w:rFonts w:eastAsia="Times New Roman" w:cstheme="minorHAnsi"/>
          <w:sz w:val="24"/>
          <w:szCs w:val="24"/>
          <w:lang w:eastAsia="es-AR"/>
        </w:rPr>
      </w:pPr>
      <w:r w:rsidRPr="00EF36C6">
        <w:rPr>
          <w:rFonts w:eastAsia="Times New Roman" w:cstheme="minorHAnsi"/>
          <w:sz w:val="24"/>
          <w:szCs w:val="24"/>
          <w:lang w:eastAsia="es-AR"/>
        </w:rPr>
        <w:lastRenderedPageBreak/>
        <w:t>En este contexto, el organismo produce una cantidad significativa de energía endógena, que puede cubrir una proporción considerable del gasto energético total en los primeros días de la enfermedad crítica. Esta producción limita la necesidad de aporte exógeno y plantea el riesgo de sobrealimentación si se administran calorías en exceso.</w:t>
      </w:r>
    </w:p>
    <w:p w:rsidR="00EF36C6" w:rsidRPr="00EF36C6" w:rsidRDefault="00EF36C6" w:rsidP="00EF36C6">
      <w:pPr>
        <w:spacing w:after="0" w:line="240" w:lineRule="auto"/>
        <w:rPr>
          <w:rFonts w:eastAsia="Times New Roman" w:cstheme="minorHAnsi"/>
          <w:sz w:val="24"/>
          <w:szCs w:val="24"/>
          <w:lang w:eastAsia="es-AR"/>
        </w:rPr>
      </w:pPr>
      <w:r w:rsidRPr="00EF36C6">
        <w:rPr>
          <w:rFonts w:eastAsia="Times New Roman" w:cstheme="minorHAnsi"/>
          <w:sz w:val="24"/>
          <w:szCs w:val="24"/>
          <w:lang w:eastAsia="es-AR"/>
        </w:rPr>
        <w:pict>
          <v:rect id="_x0000_i1031" style="width:0;height:1.5pt" o:hralign="center" o:hrstd="t" o:hr="t" fillcolor="#a0a0a0" stroked="f"/>
        </w:pict>
      </w:r>
    </w:p>
    <w:p w:rsidR="00EF36C6" w:rsidRPr="00EF36C6" w:rsidRDefault="00EF36C6" w:rsidP="00EF36C6">
      <w:pPr>
        <w:spacing w:before="100" w:beforeAutospacing="1" w:after="100" w:afterAutospacing="1" w:line="240" w:lineRule="auto"/>
        <w:outlineLvl w:val="1"/>
        <w:rPr>
          <w:rFonts w:eastAsia="Times New Roman" w:cstheme="minorHAnsi"/>
          <w:b/>
          <w:bCs/>
          <w:sz w:val="24"/>
          <w:szCs w:val="24"/>
          <w:lang w:eastAsia="es-AR"/>
        </w:rPr>
      </w:pPr>
      <w:r w:rsidRPr="00EF36C6">
        <w:rPr>
          <w:rFonts w:eastAsia="Times New Roman" w:cstheme="minorHAnsi"/>
          <w:b/>
          <w:bCs/>
          <w:sz w:val="24"/>
          <w:szCs w:val="24"/>
          <w:lang w:eastAsia="es-AR"/>
        </w:rPr>
        <w:t>2. Limitaciones del enfoque tradicional</w:t>
      </w:r>
    </w:p>
    <w:p w:rsidR="00EF36C6" w:rsidRPr="00EF36C6" w:rsidRDefault="00EF36C6" w:rsidP="00EF36C6">
      <w:pPr>
        <w:spacing w:before="100" w:beforeAutospacing="1" w:after="100" w:afterAutospacing="1" w:line="240" w:lineRule="auto"/>
        <w:rPr>
          <w:rFonts w:eastAsia="Times New Roman" w:cstheme="minorHAnsi"/>
          <w:sz w:val="24"/>
          <w:szCs w:val="24"/>
          <w:lang w:eastAsia="es-AR"/>
        </w:rPr>
      </w:pPr>
      <w:r w:rsidRPr="00EF36C6">
        <w:rPr>
          <w:rFonts w:eastAsia="Times New Roman" w:cstheme="minorHAnsi"/>
          <w:sz w:val="24"/>
          <w:szCs w:val="24"/>
          <w:lang w:eastAsia="es-AR"/>
        </w:rPr>
        <w:t>El modelo clásico de soporte nutricional se basaba en la premisa de que el cumplimiento temprano de los requerimientos calóricos y proteicos mejoraría los resultados clínicos. Sin embargo, la evidencia acumulada ha cuestionado esta hipótesis.</w:t>
      </w:r>
    </w:p>
    <w:p w:rsidR="00EF36C6" w:rsidRPr="00EF36C6" w:rsidRDefault="00EF36C6" w:rsidP="00EF36C6">
      <w:pPr>
        <w:spacing w:before="100" w:beforeAutospacing="1" w:after="100" w:afterAutospacing="1" w:line="240" w:lineRule="auto"/>
        <w:rPr>
          <w:rFonts w:eastAsia="Times New Roman" w:cstheme="minorHAnsi"/>
          <w:sz w:val="24"/>
          <w:szCs w:val="24"/>
          <w:lang w:eastAsia="es-AR"/>
        </w:rPr>
      </w:pPr>
      <w:r w:rsidRPr="00EF36C6">
        <w:rPr>
          <w:rFonts w:eastAsia="Times New Roman" w:cstheme="minorHAnsi"/>
          <w:sz w:val="24"/>
          <w:szCs w:val="24"/>
          <w:lang w:eastAsia="es-AR"/>
        </w:rPr>
        <w:t xml:space="preserve">Las guías ASPEN 2021, basadas en un análisis de múltiples ensayos clínicos aleatorizados, demostraron que no existen diferencias significativas en mortalidad, infecciones, duración de ventilación mecánica ni estadía hospitalaria entre estrategias de mayor o menor aporte nutricional. Estos hallazgos sugieren que la cantidad de energía administrada no es el principal determinante de los </w:t>
      </w:r>
      <w:proofErr w:type="spellStart"/>
      <w:r w:rsidRPr="00EF36C6">
        <w:rPr>
          <w:rFonts w:eastAsia="Times New Roman" w:cstheme="minorHAnsi"/>
          <w:sz w:val="24"/>
          <w:szCs w:val="24"/>
          <w:lang w:eastAsia="es-AR"/>
        </w:rPr>
        <w:t>outcomes</w:t>
      </w:r>
      <w:proofErr w:type="spellEnd"/>
      <w:r w:rsidRPr="00EF36C6">
        <w:rPr>
          <w:rFonts w:eastAsia="Times New Roman" w:cstheme="minorHAnsi"/>
          <w:sz w:val="24"/>
          <w:szCs w:val="24"/>
          <w:lang w:eastAsia="es-AR"/>
        </w:rPr>
        <w:t xml:space="preserve"> en el paciente crítico.</w:t>
      </w:r>
    </w:p>
    <w:p w:rsidR="00EF36C6" w:rsidRPr="00EF36C6" w:rsidRDefault="00EF36C6" w:rsidP="00EF36C6">
      <w:pPr>
        <w:spacing w:before="100" w:beforeAutospacing="1" w:after="100" w:afterAutospacing="1" w:line="240" w:lineRule="auto"/>
        <w:rPr>
          <w:rFonts w:eastAsia="Times New Roman" w:cstheme="minorHAnsi"/>
          <w:sz w:val="24"/>
          <w:szCs w:val="24"/>
          <w:lang w:eastAsia="es-AR"/>
        </w:rPr>
      </w:pPr>
      <w:r w:rsidRPr="00EF36C6">
        <w:rPr>
          <w:rFonts w:eastAsia="Times New Roman" w:cstheme="minorHAnsi"/>
          <w:sz w:val="24"/>
          <w:szCs w:val="24"/>
          <w:lang w:eastAsia="es-AR"/>
        </w:rPr>
        <w:t xml:space="preserve">Asimismo, la evidencia reciente ha mostrado que estrategias de aporte nutricional más agresivas en fases tempranas pueden asociarse con efectos adversos, como aumento de la producción de CO₂, </w:t>
      </w:r>
      <w:proofErr w:type="spellStart"/>
      <w:r w:rsidRPr="00EF36C6">
        <w:rPr>
          <w:rFonts w:eastAsia="Times New Roman" w:cstheme="minorHAnsi"/>
          <w:sz w:val="24"/>
          <w:szCs w:val="24"/>
          <w:lang w:eastAsia="es-AR"/>
        </w:rPr>
        <w:t>lipogénesis</w:t>
      </w:r>
      <w:proofErr w:type="spellEnd"/>
      <w:r w:rsidRPr="00EF36C6">
        <w:rPr>
          <w:rFonts w:eastAsia="Times New Roman" w:cstheme="minorHAnsi"/>
          <w:sz w:val="24"/>
          <w:szCs w:val="24"/>
          <w:lang w:eastAsia="es-AR"/>
        </w:rPr>
        <w:t xml:space="preserve"> hepática y disfunción metabólica.</w:t>
      </w:r>
    </w:p>
    <w:p w:rsidR="00EF36C6" w:rsidRPr="00EF36C6" w:rsidRDefault="00EF36C6" w:rsidP="00EF36C6">
      <w:pPr>
        <w:spacing w:after="0" w:line="240" w:lineRule="auto"/>
        <w:rPr>
          <w:rFonts w:eastAsia="Times New Roman" w:cstheme="minorHAnsi"/>
          <w:sz w:val="24"/>
          <w:szCs w:val="24"/>
          <w:lang w:eastAsia="es-AR"/>
        </w:rPr>
      </w:pPr>
      <w:r w:rsidRPr="00EF36C6">
        <w:rPr>
          <w:rFonts w:eastAsia="Times New Roman" w:cstheme="minorHAnsi"/>
          <w:sz w:val="24"/>
          <w:szCs w:val="24"/>
          <w:lang w:eastAsia="es-AR"/>
        </w:rPr>
        <w:pict>
          <v:rect id="_x0000_i1032" style="width:0;height:1.5pt" o:hralign="center" o:hrstd="t" o:hr="t" fillcolor="#a0a0a0" stroked="f"/>
        </w:pict>
      </w:r>
    </w:p>
    <w:p w:rsidR="00EF36C6" w:rsidRPr="00EF36C6" w:rsidRDefault="00EF36C6" w:rsidP="00EF36C6">
      <w:pPr>
        <w:spacing w:before="100" w:beforeAutospacing="1" w:after="100" w:afterAutospacing="1" w:line="240" w:lineRule="auto"/>
        <w:outlineLvl w:val="1"/>
        <w:rPr>
          <w:rFonts w:eastAsia="Times New Roman" w:cstheme="minorHAnsi"/>
          <w:b/>
          <w:bCs/>
          <w:sz w:val="24"/>
          <w:szCs w:val="24"/>
          <w:lang w:eastAsia="es-AR"/>
        </w:rPr>
      </w:pPr>
      <w:r w:rsidRPr="00EF36C6">
        <w:rPr>
          <w:rFonts w:eastAsia="Times New Roman" w:cstheme="minorHAnsi"/>
          <w:b/>
          <w:bCs/>
          <w:sz w:val="24"/>
          <w:szCs w:val="24"/>
          <w:lang w:eastAsia="es-AR"/>
        </w:rPr>
        <w:t>3. El concepto de “</w:t>
      </w:r>
      <w:proofErr w:type="spellStart"/>
      <w:r w:rsidRPr="00EF36C6">
        <w:rPr>
          <w:rFonts w:eastAsia="Times New Roman" w:cstheme="minorHAnsi"/>
          <w:b/>
          <w:bCs/>
          <w:sz w:val="24"/>
          <w:szCs w:val="24"/>
          <w:lang w:eastAsia="es-AR"/>
        </w:rPr>
        <w:t>metabolic</w:t>
      </w:r>
      <w:proofErr w:type="spellEnd"/>
      <w:r w:rsidRPr="00EF36C6">
        <w:rPr>
          <w:rFonts w:eastAsia="Times New Roman" w:cstheme="minorHAnsi"/>
          <w:b/>
          <w:bCs/>
          <w:sz w:val="24"/>
          <w:szCs w:val="24"/>
          <w:lang w:eastAsia="es-AR"/>
        </w:rPr>
        <w:t xml:space="preserve"> </w:t>
      </w:r>
      <w:proofErr w:type="spellStart"/>
      <w:r w:rsidRPr="00EF36C6">
        <w:rPr>
          <w:rFonts w:eastAsia="Times New Roman" w:cstheme="minorHAnsi"/>
          <w:b/>
          <w:bCs/>
          <w:sz w:val="24"/>
          <w:szCs w:val="24"/>
          <w:lang w:eastAsia="es-AR"/>
        </w:rPr>
        <w:t>readiness</w:t>
      </w:r>
      <w:proofErr w:type="spellEnd"/>
      <w:r w:rsidRPr="00EF36C6">
        <w:rPr>
          <w:rFonts w:eastAsia="Times New Roman" w:cstheme="minorHAnsi"/>
          <w:b/>
          <w:bCs/>
          <w:sz w:val="24"/>
          <w:szCs w:val="24"/>
          <w:lang w:eastAsia="es-AR"/>
        </w:rPr>
        <w:t>”</w:t>
      </w:r>
    </w:p>
    <w:p w:rsidR="00EF36C6" w:rsidRPr="00EF36C6" w:rsidRDefault="00EF36C6" w:rsidP="00EF36C6">
      <w:pPr>
        <w:spacing w:before="100" w:beforeAutospacing="1" w:after="100" w:afterAutospacing="1" w:line="240" w:lineRule="auto"/>
        <w:rPr>
          <w:rFonts w:eastAsia="Times New Roman" w:cstheme="minorHAnsi"/>
          <w:sz w:val="24"/>
          <w:szCs w:val="24"/>
          <w:lang w:eastAsia="es-AR"/>
        </w:rPr>
      </w:pPr>
      <w:r w:rsidRPr="00EF36C6">
        <w:rPr>
          <w:rFonts w:eastAsia="Times New Roman" w:cstheme="minorHAnsi"/>
          <w:sz w:val="24"/>
          <w:szCs w:val="24"/>
          <w:lang w:eastAsia="es-AR"/>
        </w:rPr>
        <w:t>Uno de los aportes más relevantes de la literatura reciente es la introducción del concepto de “</w:t>
      </w:r>
      <w:proofErr w:type="spellStart"/>
      <w:r w:rsidRPr="00EF36C6">
        <w:rPr>
          <w:rFonts w:eastAsia="Times New Roman" w:cstheme="minorHAnsi"/>
          <w:sz w:val="24"/>
          <w:szCs w:val="24"/>
          <w:lang w:eastAsia="es-AR"/>
        </w:rPr>
        <w:t>metabolic</w:t>
      </w:r>
      <w:proofErr w:type="spellEnd"/>
      <w:r w:rsidRPr="00EF36C6">
        <w:rPr>
          <w:rFonts w:eastAsia="Times New Roman" w:cstheme="minorHAnsi"/>
          <w:sz w:val="24"/>
          <w:szCs w:val="24"/>
          <w:lang w:eastAsia="es-AR"/>
        </w:rPr>
        <w:t xml:space="preserve"> </w:t>
      </w:r>
      <w:proofErr w:type="spellStart"/>
      <w:r w:rsidRPr="00EF36C6">
        <w:rPr>
          <w:rFonts w:eastAsia="Times New Roman" w:cstheme="minorHAnsi"/>
          <w:sz w:val="24"/>
          <w:szCs w:val="24"/>
          <w:lang w:eastAsia="es-AR"/>
        </w:rPr>
        <w:t>readiness</w:t>
      </w:r>
      <w:proofErr w:type="spellEnd"/>
      <w:r w:rsidRPr="00EF36C6">
        <w:rPr>
          <w:rFonts w:eastAsia="Times New Roman" w:cstheme="minorHAnsi"/>
          <w:sz w:val="24"/>
          <w:szCs w:val="24"/>
          <w:lang w:eastAsia="es-AR"/>
        </w:rPr>
        <w:t>”, que describe la capacidad del organismo para utilizar de manera eficiente los nutrientes administrados.</w:t>
      </w:r>
    </w:p>
    <w:p w:rsidR="00EF36C6" w:rsidRPr="00EF36C6" w:rsidRDefault="00EF36C6" w:rsidP="00EF36C6">
      <w:pPr>
        <w:spacing w:before="100" w:beforeAutospacing="1" w:after="100" w:afterAutospacing="1" w:line="240" w:lineRule="auto"/>
        <w:rPr>
          <w:rFonts w:eastAsia="Times New Roman" w:cstheme="minorHAnsi"/>
          <w:sz w:val="24"/>
          <w:szCs w:val="24"/>
          <w:lang w:eastAsia="es-AR"/>
        </w:rPr>
      </w:pPr>
      <w:r w:rsidRPr="00EF36C6">
        <w:rPr>
          <w:rFonts w:eastAsia="Times New Roman" w:cstheme="minorHAnsi"/>
          <w:sz w:val="24"/>
          <w:szCs w:val="24"/>
          <w:lang w:eastAsia="es-AR"/>
        </w:rPr>
        <w:t>Durante la fase aguda de la sepsis, esta capacidad se encuentra limitada debido a la predominancia del estado catabólico y la disfunción metabólica. En este contexto, la administración precoz de grandes cantidades de energía o proteína puede resultar ineficaz o perjudicial.</w:t>
      </w:r>
    </w:p>
    <w:p w:rsidR="00EF36C6" w:rsidRPr="00EF36C6" w:rsidRDefault="00EF36C6" w:rsidP="00EF36C6">
      <w:pPr>
        <w:spacing w:before="100" w:beforeAutospacing="1" w:after="100" w:afterAutospacing="1" w:line="240" w:lineRule="auto"/>
        <w:rPr>
          <w:rFonts w:eastAsia="Times New Roman" w:cstheme="minorHAnsi"/>
          <w:sz w:val="24"/>
          <w:szCs w:val="24"/>
          <w:lang w:eastAsia="es-AR"/>
        </w:rPr>
      </w:pPr>
      <w:r w:rsidRPr="00EF36C6">
        <w:rPr>
          <w:rFonts w:eastAsia="Times New Roman" w:cstheme="minorHAnsi"/>
          <w:sz w:val="24"/>
          <w:szCs w:val="24"/>
          <w:lang w:eastAsia="es-AR"/>
        </w:rPr>
        <w:t xml:space="preserve">Ensayos clínicos recientes, como NUTRIREA-3, EFFORT y </w:t>
      </w:r>
      <w:proofErr w:type="spellStart"/>
      <w:r w:rsidRPr="00EF36C6">
        <w:rPr>
          <w:rFonts w:eastAsia="Times New Roman" w:cstheme="minorHAnsi"/>
          <w:sz w:val="24"/>
          <w:szCs w:val="24"/>
          <w:lang w:eastAsia="es-AR"/>
        </w:rPr>
        <w:t>PRECISe</w:t>
      </w:r>
      <w:proofErr w:type="spellEnd"/>
      <w:r w:rsidRPr="00EF36C6">
        <w:rPr>
          <w:rFonts w:eastAsia="Times New Roman" w:cstheme="minorHAnsi"/>
          <w:sz w:val="24"/>
          <w:szCs w:val="24"/>
          <w:lang w:eastAsia="es-AR"/>
        </w:rPr>
        <w:t>, han reforzado esta idea al mostrar que estrategias de menor aporte calórico o proteico no empeoran los resultados clínicos, e incluso pueden reducir complicaciones en determinados subgrupos.</w:t>
      </w:r>
    </w:p>
    <w:p w:rsidR="00EF36C6" w:rsidRPr="00EF36C6" w:rsidRDefault="00EF36C6" w:rsidP="00EF36C6">
      <w:pPr>
        <w:spacing w:before="100" w:beforeAutospacing="1" w:after="100" w:afterAutospacing="1" w:line="240" w:lineRule="auto"/>
        <w:rPr>
          <w:rFonts w:eastAsia="Times New Roman" w:cstheme="minorHAnsi"/>
          <w:sz w:val="24"/>
          <w:szCs w:val="24"/>
          <w:lang w:eastAsia="es-AR"/>
        </w:rPr>
      </w:pPr>
      <w:r w:rsidRPr="00EF36C6">
        <w:rPr>
          <w:rFonts w:eastAsia="Times New Roman" w:cstheme="minorHAnsi"/>
          <w:sz w:val="24"/>
          <w:szCs w:val="24"/>
          <w:lang w:eastAsia="es-AR"/>
        </w:rPr>
        <w:t>Estos hallazgos han llevado a la adopción de estrategias de restricción calórica controlada en la fase aguda, con progresión gradual del soporte nutricional a medida que el paciente se estabiliza.</w:t>
      </w:r>
    </w:p>
    <w:p w:rsidR="00EF36C6" w:rsidRPr="00EF36C6" w:rsidRDefault="00EF36C6" w:rsidP="00EF36C6">
      <w:pPr>
        <w:spacing w:after="0" w:line="240" w:lineRule="auto"/>
        <w:rPr>
          <w:rFonts w:eastAsia="Times New Roman" w:cstheme="minorHAnsi"/>
          <w:sz w:val="24"/>
          <w:szCs w:val="24"/>
          <w:lang w:eastAsia="es-AR"/>
        </w:rPr>
      </w:pPr>
      <w:r w:rsidRPr="00EF36C6">
        <w:rPr>
          <w:rFonts w:eastAsia="Times New Roman" w:cstheme="minorHAnsi"/>
          <w:sz w:val="24"/>
          <w:szCs w:val="24"/>
          <w:lang w:eastAsia="es-AR"/>
        </w:rPr>
        <w:lastRenderedPageBreak/>
        <w:pict>
          <v:rect id="_x0000_i1033" style="width:0;height:1.5pt" o:hralign="center" o:hrstd="t" o:hr="t" fillcolor="#a0a0a0" stroked="f"/>
        </w:pict>
      </w:r>
    </w:p>
    <w:p w:rsidR="00EF36C6" w:rsidRPr="00EF36C6" w:rsidRDefault="00EF36C6" w:rsidP="00EF36C6">
      <w:pPr>
        <w:spacing w:before="100" w:beforeAutospacing="1" w:after="100" w:afterAutospacing="1" w:line="240" w:lineRule="auto"/>
        <w:outlineLvl w:val="1"/>
        <w:rPr>
          <w:rFonts w:eastAsia="Times New Roman" w:cstheme="minorHAnsi"/>
          <w:b/>
          <w:bCs/>
          <w:sz w:val="24"/>
          <w:szCs w:val="24"/>
          <w:lang w:eastAsia="es-AR"/>
        </w:rPr>
      </w:pPr>
      <w:r w:rsidRPr="00EF36C6">
        <w:rPr>
          <w:rFonts w:eastAsia="Times New Roman" w:cstheme="minorHAnsi"/>
          <w:b/>
          <w:bCs/>
          <w:sz w:val="24"/>
          <w:szCs w:val="24"/>
          <w:lang w:eastAsia="es-AR"/>
        </w:rPr>
        <w:t>4. Recomendaciones actuales y transición conceptual</w:t>
      </w:r>
    </w:p>
    <w:p w:rsidR="00EF36C6" w:rsidRPr="00EF36C6" w:rsidRDefault="00EF36C6" w:rsidP="00EF36C6">
      <w:pPr>
        <w:spacing w:before="100" w:beforeAutospacing="1" w:after="100" w:afterAutospacing="1" w:line="240" w:lineRule="auto"/>
        <w:rPr>
          <w:rFonts w:eastAsia="Times New Roman" w:cstheme="minorHAnsi"/>
          <w:sz w:val="24"/>
          <w:szCs w:val="24"/>
          <w:lang w:eastAsia="es-AR"/>
        </w:rPr>
      </w:pPr>
      <w:r w:rsidRPr="00EF36C6">
        <w:rPr>
          <w:rFonts w:eastAsia="Times New Roman" w:cstheme="minorHAnsi"/>
          <w:sz w:val="24"/>
          <w:szCs w:val="24"/>
          <w:lang w:eastAsia="es-AR"/>
        </w:rPr>
        <w:t>Las guías ESPEN 2023 reflejan un modelo en transición, en el cual se incorporan conceptos del nuevo paradigma sin abandonar completamente las recomendaciones tradicionales. Estas guías recomiendan iniciar el soporte nutricional de manera precoz, preferentemente por vía enteral, pero con un aporte inicial inferior al 70% del gasto energético estimado, aumentando progresivamente en los días siguientes.</w:t>
      </w:r>
    </w:p>
    <w:p w:rsidR="00EF36C6" w:rsidRPr="00EF36C6" w:rsidRDefault="00EF36C6" w:rsidP="00EF36C6">
      <w:pPr>
        <w:spacing w:before="100" w:beforeAutospacing="1" w:after="100" w:afterAutospacing="1" w:line="240" w:lineRule="auto"/>
        <w:rPr>
          <w:rFonts w:eastAsia="Times New Roman" w:cstheme="minorHAnsi"/>
          <w:sz w:val="24"/>
          <w:szCs w:val="24"/>
          <w:lang w:eastAsia="es-AR"/>
        </w:rPr>
      </w:pPr>
      <w:r w:rsidRPr="00EF36C6">
        <w:rPr>
          <w:rFonts w:eastAsia="Times New Roman" w:cstheme="minorHAnsi"/>
          <w:sz w:val="24"/>
          <w:szCs w:val="24"/>
          <w:lang w:eastAsia="es-AR"/>
        </w:rPr>
        <w:t>En cuanto a proteínas, se propone un objetivo de aproximadamente 1.3 g/kg/día, aunque la evidencia que respalda esta recomendación es limitada, especialmente en fases tempranas.</w:t>
      </w:r>
    </w:p>
    <w:p w:rsidR="00EF36C6" w:rsidRPr="00EF36C6" w:rsidRDefault="00EF36C6" w:rsidP="00EF36C6">
      <w:pPr>
        <w:spacing w:before="100" w:beforeAutospacing="1" w:after="100" w:afterAutospacing="1" w:line="240" w:lineRule="auto"/>
        <w:rPr>
          <w:rFonts w:eastAsia="Times New Roman" w:cstheme="minorHAnsi"/>
          <w:sz w:val="24"/>
          <w:szCs w:val="24"/>
          <w:lang w:eastAsia="es-AR"/>
        </w:rPr>
      </w:pPr>
      <w:r w:rsidRPr="00EF36C6">
        <w:rPr>
          <w:rFonts w:eastAsia="Times New Roman" w:cstheme="minorHAnsi"/>
          <w:sz w:val="24"/>
          <w:szCs w:val="24"/>
          <w:lang w:eastAsia="es-AR"/>
        </w:rPr>
        <w:t>El énfasis en la progresión y la individualización del soporte nutricional representa un avance respecto a modelos previos, aunque persisten áreas de incertidumbre.</w:t>
      </w:r>
    </w:p>
    <w:p w:rsidR="00EF36C6" w:rsidRPr="00EF36C6" w:rsidRDefault="00EF36C6" w:rsidP="00EF36C6">
      <w:pPr>
        <w:spacing w:after="0" w:line="240" w:lineRule="auto"/>
        <w:rPr>
          <w:rFonts w:eastAsia="Times New Roman" w:cstheme="minorHAnsi"/>
          <w:sz w:val="24"/>
          <w:szCs w:val="24"/>
          <w:lang w:eastAsia="es-AR"/>
        </w:rPr>
      </w:pPr>
      <w:r w:rsidRPr="00EF36C6">
        <w:rPr>
          <w:rFonts w:eastAsia="Times New Roman" w:cstheme="minorHAnsi"/>
          <w:sz w:val="24"/>
          <w:szCs w:val="24"/>
          <w:lang w:eastAsia="es-AR"/>
        </w:rPr>
        <w:pict>
          <v:rect id="_x0000_i1034" style="width:0;height:1.5pt" o:hralign="center" o:hrstd="t" o:hr="t" fillcolor="#a0a0a0" stroked="f"/>
        </w:pict>
      </w:r>
    </w:p>
    <w:p w:rsidR="00EF36C6" w:rsidRPr="00EF36C6" w:rsidRDefault="00EF36C6" w:rsidP="00EF36C6">
      <w:pPr>
        <w:spacing w:before="100" w:beforeAutospacing="1" w:after="100" w:afterAutospacing="1" w:line="240" w:lineRule="auto"/>
        <w:outlineLvl w:val="1"/>
        <w:rPr>
          <w:rFonts w:eastAsia="Times New Roman" w:cstheme="minorHAnsi"/>
          <w:b/>
          <w:bCs/>
          <w:sz w:val="24"/>
          <w:szCs w:val="24"/>
          <w:lang w:eastAsia="es-AR"/>
        </w:rPr>
      </w:pPr>
      <w:r w:rsidRPr="00EF36C6">
        <w:rPr>
          <w:rFonts w:eastAsia="Times New Roman" w:cstheme="minorHAnsi"/>
          <w:b/>
          <w:bCs/>
          <w:sz w:val="24"/>
          <w:szCs w:val="24"/>
          <w:lang w:eastAsia="es-AR"/>
        </w:rPr>
        <w:t>5. Brecha entre evidencia y práctica</w:t>
      </w:r>
    </w:p>
    <w:p w:rsidR="00EF36C6" w:rsidRPr="00EF36C6" w:rsidRDefault="00EF36C6" w:rsidP="00EF36C6">
      <w:pPr>
        <w:spacing w:before="100" w:beforeAutospacing="1" w:after="100" w:afterAutospacing="1" w:line="240" w:lineRule="auto"/>
        <w:rPr>
          <w:rFonts w:eastAsia="Times New Roman" w:cstheme="minorHAnsi"/>
          <w:sz w:val="24"/>
          <w:szCs w:val="24"/>
          <w:lang w:eastAsia="es-AR"/>
        </w:rPr>
      </w:pPr>
      <w:r w:rsidRPr="00EF36C6">
        <w:rPr>
          <w:rFonts w:eastAsia="Times New Roman" w:cstheme="minorHAnsi"/>
          <w:sz w:val="24"/>
          <w:szCs w:val="24"/>
          <w:lang w:eastAsia="es-AR"/>
        </w:rPr>
        <w:t>A pesar de la disponibilidad de guías y recomendaciones, la implementación del soporte nutricional en la práctica clínica presenta importantes limitaciones. Estudios de implementación han mostrado una baja adherencia a las recomendaciones, con variabilidad significativa entre centros.</w:t>
      </w:r>
    </w:p>
    <w:p w:rsidR="00EF36C6" w:rsidRPr="00EF36C6" w:rsidRDefault="00EF36C6" w:rsidP="00EF36C6">
      <w:pPr>
        <w:spacing w:before="100" w:beforeAutospacing="1" w:after="100" w:afterAutospacing="1" w:line="240" w:lineRule="auto"/>
        <w:rPr>
          <w:rFonts w:eastAsia="Times New Roman" w:cstheme="minorHAnsi"/>
          <w:sz w:val="24"/>
          <w:szCs w:val="24"/>
          <w:lang w:eastAsia="es-AR"/>
        </w:rPr>
      </w:pPr>
      <w:r w:rsidRPr="00EF36C6">
        <w:rPr>
          <w:rFonts w:eastAsia="Times New Roman" w:cstheme="minorHAnsi"/>
          <w:sz w:val="24"/>
          <w:szCs w:val="24"/>
          <w:lang w:eastAsia="es-AR"/>
        </w:rPr>
        <w:t>Factores como la falta de recursos, la limitada disponibilidad de herramientas como la calorimetría indirecta y la ausencia de protocolos estandarizados contribuyen a esta situación. Esto pone de manifiesto la necesidad de abordar la nutrición no solo desde el punto de vista teórico, sino también como un proceso asistencial que requiere organización, monitoreo y evaluación continua.</w:t>
      </w:r>
    </w:p>
    <w:p w:rsidR="00EF36C6" w:rsidRPr="00EF36C6" w:rsidRDefault="00EF36C6" w:rsidP="00EF36C6">
      <w:pPr>
        <w:spacing w:after="0" w:line="240" w:lineRule="auto"/>
        <w:rPr>
          <w:rFonts w:eastAsia="Times New Roman" w:cstheme="minorHAnsi"/>
          <w:sz w:val="24"/>
          <w:szCs w:val="24"/>
          <w:lang w:eastAsia="es-AR"/>
        </w:rPr>
      </w:pPr>
      <w:r w:rsidRPr="00EF36C6">
        <w:rPr>
          <w:rFonts w:eastAsia="Times New Roman" w:cstheme="minorHAnsi"/>
          <w:sz w:val="24"/>
          <w:szCs w:val="24"/>
          <w:lang w:eastAsia="es-AR"/>
        </w:rPr>
        <w:pict>
          <v:rect id="_x0000_i1035" style="width:0;height:1.5pt" o:hralign="center" o:hrstd="t" o:hr="t" fillcolor="#a0a0a0" stroked="f"/>
        </w:pict>
      </w:r>
    </w:p>
    <w:p w:rsidR="00EF36C6" w:rsidRPr="00EF36C6" w:rsidRDefault="00EF36C6" w:rsidP="00EF36C6">
      <w:pPr>
        <w:spacing w:before="100" w:beforeAutospacing="1" w:after="100" w:afterAutospacing="1" w:line="240" w:lineRule="auto"/>
        <w:outlineLvl w:val="0"/>
        <w:rPr>
          <w:rFonts w:eastAsia="Times New Roman" w:cstheme="minorHAnsi"/>
          <w:b/>
          <w:bCs/>
          <w:kern w:val="36"/>
          <w:sz w:val="24"/>
          <w:szCs w:val="24"/>
          <w:lang w:eastAsia="es-AR"/>
        </w:rPr>
      </w:pPr>
      <w:r w:rsidRPr="00EF36C6">
        <w:rPr>
          <w:rFonts w:ascii="Segoe UI Symbol" w:eastAsia="Times New Roman" w:hAnsi="Segoe UI Symbol" w:cs="Segoe UI Symbol"/>
          <w:b/>
          <w:bCs/>
          <w:kern w:val="36"/>
          <w:sz w:val="24"/>
          <w:szCs w:val="24"/>
          <w:lang w:eastAsia="es-AR"/>
        </w:rPr>
        <w:t>⚖️</w:t>
      </w:r>
      <w:r w:rsidRPr="00EF36C6">
        <w:rPr>
          <w:rFonts w:eastAsia="Times New Roman" w:cstheme="minorHAnsi"/>
          <w:b/>
          <w:bCs/>
          <w:kern w:val="36"/>
          <w:sz w:val="24"/>
          <w:szCs w:val="24"/>
          <w:lang w:eastAsia="es-AR"/>
        </w:rPr>
        <w:t xml:space="preserve"> DISCUSI</w:t>
      </w:r>
      <w:r w:rsidRPr="00EF36C6">
        <w:rPr>
          <w:rFonts w:ascii="Calibri" w:eastAsia="Times New Roman" w:hAnsi="Calibri" w:cs="Calibri"/>
          <w:b/>
          <w:bCs/>
          <w:kern w:val="36"/>
          <w:sz w:val="24"/>
          <w:szCs w:val="24"/>
          <w:lang w:eastAsia="es-AR"/>
        </w:rPr>
        <w:t>Ó</w:t>
      </w:r>
      <w:r w:rsidRPr="00EF36C6">
        <w:rPr>
          <w:rFonts w:eastAsia="Times New Roman" w:cstheme="minorHAnsi"/>
          <w:b/>
          <w:bCs/>
          <w:kern w:val="36"/>
          <w:sz w:val="24"/>
          <w:szCs w:val="24"/>
          <w:lang w:eastAsia="es-AR"/>
        </w:rPr>
        <w:t>N</w:t>
      </w:r>
    </w:p>
    <w:p w:rsidR="00EF36C6" w:rsidRPr="00EF36C6" w:rsidRDefault="00EF36C6" w:rsidP="00EF36C6">
      <w:pPr>
        <w:spacing w:before="100" w:beforeAutospacing="1" w:after="100" w:afterAutospacing="1" w:line="240" w:lineRule="auto"/>
        <w:rPr>
          <w:rFonts w:eastAsia="Times New Roman" w:cstheme="minorHAnsi"/>
          <w:sz w:val="24"/>
          <w:szCs w:val="24"/>
          <w:lang w:eastAsia="es-AR"/>
        </w:rPr>
      </w:pPr>
      <w:r w:rsidRPr="00EF36C6">
        <w:rPr>
          <w:rFonts w:eastAsia="Times New Roman" w:cstheme="minorHAnsi"/>
          <w:sz w:val="24"/>
          <w:szCs w:val="24"/>
          <w:lang w:eastAsia="es-AR"/>
        </w:rPr>
        <w:t>La evolución del conocimiento en nutrición crítica ha llevado a una reinterpretación del rol del soporte nutricional en el paciente séptico. Lejos de ser una intervención orientada exclusivamente a cubrir requerimientos, la nutrición debe ser entendida como una herramienta que interactúa con un sistema metabólico dinámico y, en ocasiones, disfuncional.</w:t>
      </w:r>
    </w:p>
    <w:p w:rsidR="00EF36C6" w:rsidRPr="00EF36C6" w:rsidRDefault="00EF36C6" w:rsidP="00EF36C6">
      <w:pPr>
        <w:spacing w:before="100" w:beforeAutospacing="1" w:after="100" w:afterAutospacing="1" w:line="240" w:lineRule="auto"/>
        <w:rPr>
          <w:rFonts w:eastAsia="Times New Roman" w:cstheme="minorHAnsi"/>
          <w:sz w:val="24"/>
          <w:szCs w:val="24"/>
          <w:lang w:eastAsia="es-AR"/>
        </w:rPr>
      </w:pPr>
      <w:r w:rsidRPr="00EF36C6">
        <w:rPr>
          <w:rFonts w:eastAsia="Times New Roman" w:cstheme="minorHAnsi"/>
          <w:sz w:val="24"/>
          <w:szCs w:val="24"/>
          <w:lang w:eastAsia="es-AR"/>
        </w:rPr>
        <w:t xml:space="preserve">El reconocimiento de la producción endógena de energía, la resistencia anabólica y la disfunción mitocondrial ha permitido comprender por qué el aporte nutricional precoz e intensivo no siempre se traduce en beneficios clínicos. En este contexto, el </w:t>
      </w:r>
      <w:proofErr w:type="spellStart"/>
      <w:r w:rsidRPr="00EF36C6">
        <w:rPr>
          <w:rFonts w:eastAsia="Times New Roman" w:cstheme="minorHAnsi"/>
          <w:sz w:val="24"/>
          <w:szCs w:val="24"/>
          <w:lang w:eastAsia="es-AR"/>
        </w:rPr>
        <w:t>timing</w:t>
      </w:r>
      <w:proofErr w:type="spellEnd"/>
      <w:r w:rsidRPr="00EF36C6">
        <w:rPr>
          <w:rFonts w:eastAsia="Times New Roman" w:cstheme="minorHAnsi"/>
          <w:sz w:val="24"/>
          <w:szCs w:val="24"/>
          <w:lang w:eastAsia="es-AR"/>
        </w:rPr>
        <w:t xml:space="preserve"> y la adecuación del soporte nutricional adquieren mayor relevancia que la cantidad absoluta de nutrientes administrados.</w:t>
      </w:r>
    </w:p>
    <w:p w:rsidR="00EF36C6" w:rsidRPr="00EF36C6" w:rsidRDefault="00EF36C6" w:rsidP="00EF36C6">
      <w:pPr>
        <w:spacing w:before="100" w:beforeAutospacing="1" w:after="100" w:afterAutospacing="1" w:line="240" w:lineRule="auto"/>
        <w:rPr>
          <w:rFonts w:eastAsia="Times New Roman" w:cstheme="minorHAnsi"/>
          <w:sz w:val="24"/>
          <w:szCs w:val="24"/>
          <w:lang w:eastAsia="es-AR"/>
        </w:rPr>
      </w:pPr>
      <w:r w:rsidRPr="00EF36C6">
        <w:rPr>
          <w:rFonts w:eastAsia="Times New Roman" w:cstheme="minorHAnsi"/>
          <w:sz w:val="24"/>
          <w:szCs w:val="24"/>
          <w:lang w:eastAsia="es-AR"/>
        </w:rPr>
        <w:lastRenderedPageBreak/>
        <w:t>Sin embargo, persisten importantes áreas de incertidumbre, particularmente en relación con el aporte proteico óptimo y el momento adecuado para intensificar el soporte nutricional. Asimismo, la heterogeneidad de los estudios disponibles limita la generalización de los resultados.</w:t>
      </w:r>
    </w:p>
    <w:p w:rsidR="00EF36C6" w:rsidRPr="00EF36C6" w:rsidRDefault="00EF36C6" w:rsidP="00EF36C6">
      <w:pPr>
        <w:spacing w:before="100" w:beforeAutospacing="1" w:after="100" w:afterAutospacing="1" w:line="240" w:lineRule="auto"/>
        <w:rPr>
          <w:rFonts w:eastAsia="Times New Roman" w:cstheme="minorHAnsi"/>
          <w:sz w:val="24"/>
          <w:szCs w:val="24"/>
          <w:lang w:eastAsia="es-AR"/>
        </w:rPr>
      </w:pPr>
      <w:r w:rsidRPr="00EF36C6">
        <w:rPr>
          <w:rFonts w:eastAsia="Times New Roman" w:cstheme="minorHAnsi"/>
          <w:sz w:val="24"/>
          <w:szCs w:val="24"/>
          <w:lang w:eastAsia="es-AR"/>
        </w:rPr>
        <w:t xml:space="preserve">Otro aspecto relevante es la brecha entre la evidencia y la práctica clínica, que sugiere que la mejora en los </w:t>
      </w:r>
      <w:proofErr w:type="spellStart"/>
      <w:r w:rsidRPr="00EF36C6">
        <w:rPr>
          <w:rFonts w:eastAsia="Times New Roman" w:cstheme="minorHAnsi"/>
          <w:sz w:val="24"/>
          <w:szCs w:val="24"/>
          <w:lang w:eastAsia="es-AR"/>
        </w:rPr>
        <w:t>outcomes</w:t>
      </w:r>
      <w:proofErr w:type="spellEnd"/>
      <w:r w:rsidRPr="00EF36C6">
        <w:rPr>
          <w:rFonts w:eastAsia="Times New Roman" w:cstheme="minorHAnsi"/>
          <w:sz w:val="24"/>
          <w:szCs w:val="24"/>
          <w:lang w:eastAsia="es-AR"/>
        </w:rPr>
        <w:t xml:space="preserve"> no depende únicamente de la generación de conocimiento, sino también de su adecuada implementación.</w:t>
      </w:r>
    </w:p>
    <w:p w:rsidR="00EF36C6" w:rsidRPr="00EF36C6" w:rsidRDefault="00EF36C6" w:rsidP="00EF36C6">
      <w:pPr>
        <w:spacing w:after="0" w:line="240" w:lineRule="auto"/>
        <w:rPr>
          <w:rFonts w:eastAsia="Times New Roman" w:cstheme="minorHAnsi"/>
          <w:sz w:val="24"/>
          <w:szCs w:val="24"/>
          <w:lang w:eastAsia="es-AR"/>
        </w:rPr>
      </w:pPr>
      <w:r w:rsidRPr="00EF36C6">
        <w:rPr>
          <w:rFonts w:eastAsia="Times New Roman" w:cstheme="minorHAnsi"/>
          <w:sz w:val="24"/>
          <w:szCs w:val="24"/>
          <w:lang w:eastAsia="es-AR"/>
        </w:rPr>
        <w:pict>
          <v:rect id="_x0000_i1036" style="width:0;height:1.5pt" o:hralign="center" o:hrstd="t" o:hr="t" fillcolor="#a0a0a0" stroked="f"/>
        </w:pict>
      </w:r>
    </w:p>
    <w:p w:rsidR="00EF36C6" w:rsidRPr="00EF36C6" w:rsidRDefault="00EF36C6" w:rsidP="00EF36C6">
      <w:pPr>
        <w:spacing w:before="100" w:beforeAutospacing="1" w:after="100" w:afterAutospacing="1" w:line="240" w:lineRule="auto"/>
        <w:outlineLvl w:val="0"/>
        <w:rPr>
          <w:rFonts w:eastAsia="Times New Roman" w:cstheme="minorHAnsi"/>
          <w:b/>
          <w:bCs/>
          <w:kern w:val="36"/>
          <w:sz w:val="24"/>
          <w:szCs w:val="24"/>
          <w:lang w:eastAsia="es-AR"/>
        </w:rPr>
      </w:pPr>
      <w:r w:rsidRPr="00EF36C6">
        <w:rPr>
          <w:rFonts w:ascii="Calibri" w:eastAsia="Times New Roman" w:hAnsi="Calibri" w:cs="Calibri"/>
          <w:b/>
          <w:bCs/>
          <w:kern w:val="36"/>
          <w:sz w:val="24"/>
          <w:szCs w:val="24"/>
          <w:lang w:eastAsia="es-AR"/>
        </w:rPr>
        <w:t>🧠</w:t>
      </w:r>
      <w:r w:rsidRPr="00EF36C6">
        <w:rPr>
          <w:rFonts w:eastAsia="Times New Roman" w:cstheme="minorHAnsi"/>
          <w:b/>
          <w:bCs/>
          <w:kern w:val="36"/>
          <w:sz w:val="24"/>
          <w:szCs w:val="24"/>
          <w:lang w:eastAsia="es-AR"/>
        </w:rPr>
        <w:t xml:space="preserve"> CONCLUSIÓN</w:t>
      </w:r>
    </w:p>
    <w:p w:rsidR="00EF36C6" w:rsidRPr="00EF36C6" w:rsidRDefault="00EF36C6" w:rsidP="00EF36C6">
      <w:pPr>
        <w:spacing w:before="100" w:beforeAutospacing="1" w:after="100" w:afterAutospacing="1" w:line="240" w:lineRule="auto"/>
        <w:rPr>
          <w:rFonts w:eastAsia="Times New Roman" w:cstheme="minorHAnsi"/>
          <w:sz w:val="24"/>
          <w:szCs w:val="24"/>
          <w:lang w:eastAsia="es-AR"/>
        </w:rPr>
      </w:pPr>
      <w:r w:rsidRPr="00EF36C6">
        <w:rPr>
          <w:rFonts w:eastAsia="Times New Roman" w:cstheme="minorHAnsi"/>
          <w:sz w:val="24"/>
          <w:szCs w:val="24"/>
          <w:lang w:eastAsia="es-AR"/>
        </w:rPr>
        <w:t>La nutrición en el paciente crítico séptico ha experimentado un cambio de paradigma significativo en los últimos años. La evidencia actual sugiere que el enfoque tradicional basado en el cumplimiento precoz de los requerimientos nutricionales debe ser reemplazado por una estrategia más flexible y adaptada a la fisiopatología del paciente.</w:t>
      </w:r>
    </w:p>
    <w:p w:rsidR="00EF36C6" w:rsidRPr="00EF36C6" w:rsidRDefault="00EF36C6" w:rsidP="00EF36C6">
      <w:pPr>
        <w:spacing w:before="100" w:beforeAutospacing="1" w:after="100" w:afterAutospacing="1" w:line="240" w:lineRule="auto"/>
        <w:rPr>
          <w:rFonts w:eastAsia="Times New Roman" w:cstheme="minorHAnsi"/>
          <w:sz w:val="24"/>
          <w:szCs w:val="24"/>
          <w:lang w:eastAsia="es-AR"/>
        </w:rPr>
      </w:pPr>
      <w:r w:rsidRPr="00EF36C6">
        <w:rPr>
          <w:rFonts w:eastAsia="Times New Roman" w:cstheme="minorHAnsi"/>
          <w:sz w:val="24"/>
          <w:szCs w:val="24"/>
          <w:lang w:eastAsia="es-AR"/>
        </w:rPr>
        <w:t>En este nuevo modelo, la nutrición se concibe como una intervención metabólica fase-dependiente, en la cual el objetivo inicial no es cubrir requerimientos, sino evitar el daño asociado a la sobrealimentación, progresando de manera gradual hacia objetivos más ambiciosos a medida que el paciente evoluciona.</w:t>
      </w:r>
    </w:p>
    <w:p w:rsidR="00EF36C6" w:rsidRPr="00EF36C6" w:rsidRDefault="00EF36C6" w:rsidP="00EF36C6">
      <w:pPr>
        <w:spacing w:before="100" w:beforeAutospacing="1" w:after="100" w:afterAutospacing="1" w:line="240" w:lineRule="auto"/>
        <w:rPr>
          <w:rFonts w:eastAsia="Times New Roman" w:cstheme="minorHAnsi"/>
          <w:sz w:val="24"/>
          <w:szCs w:val="24"/>
          <w:lang w:eastAsia="es-AR"/>
        </w:rPr>
      </w:pPr>
      <w:r w:rsidRPr="00EF36C6">
        <w:rPr>
          <w:rFonts w:eastAsia="Times New Roman" w:cstheme="minorHAnsi"/>
          <w:sz w:val="24"/>
          <w:szCs w:val="24"/>
          <w:lang w:eastAsia="es-AR"/>
        </w:rPr>
        <w:t>La integración de la evidencia disponible con la práctica clínica representa el principal desafío en la actualidad, y constituye una oportunidad para mejorar el abordaje del paciente crítico desde una perspectiva más fisiológica y personalizada.</w:t>
      </w:r>
    </w:p>
    <w:p w:rsidR="00EF36C6" w:rsidRPr="00A623A1" w:rsidRDefault="00EF36C6">
      <w:pPr>
        <w:rPr>
          <w:rFonts w:cstheme="minorHAnsi"/>
          <w:sz w:val="28"/>
          <w:szCs w:val="28"/>
        </w:rPr>
      </w:pPr>
    </w:p>
    <w:sectPr w:rsidR="00EF36C6" w:rsidRPr="00A623A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23A1"/>
    <w:rsid w:val="006E1DF8"/>
    <w:rsid w:val="00A623A1"/>
    <w:rsid w:val="00EF36C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C9218"/>
  <w15:chartTrackingRefBased/>
  <w15:docId w15:val="{0FA54F90-490A-49DC-9B6A-E59D7333E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EF36C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2">
    <w:name w:val="heading 2"/>
    <w:basedOn w:val="Normal"/>
    <w:link w:val="Ttulo2Car"/>
    <w:uiPriority w:val="9"/>
    <w:qFormat/>
    <w:rsid w:val="00EF36C6"/>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A623A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623A1"/>
    <w:rPr>
      <w:rFonts w:ascii="Segoe UI" w:hAnsi="Segoe UI" w:cs="Segoe UI"/>
      <w:sz w:val="18"/>
      <w:szCs w:val="18"/>
    </w:rPr>
  </w:style>
  <w:style w:type="character" w:customStyle="1" w:styleId="Ttulo1Car">
    <w:name w:val="Título 1 Car"/>
    <w:basedOn w:val="Fuentedeprrafopredeter"/>
    <w:link w:val="Ttulo1"/>
    <w:uiPriority w:val="9"/>
    <w:rsid w:val="00EF36C6"/>
    <w:rPr>
      <w:rFonts w:ascii="Times New Roman" w:eastAsia="Times New Roman" w:hAnsi="Times New Roman" w:cs="Times New Roman"/>
      <w:b/>
      <w:bCs/>
      <w:kern w:val="36"/>
      <w:sz w:val="48"/>
      <w:szCs w:val="48"/>
      <w:lang w:eastAsia="es-AR"/>
    </w:rPr>
  </w:style>
  <w:style w:type="character" w:customStyle="1" w:styleId="Ttulo2Car">
    <w:name w:val="Título 2 Car"/>
    <w:basedOn w:val="Fuentedeprrafopredeter"/>
    <w:link w:val="Ttulo2"/>
    <w:uiPriority w:val="9"/>
    <w:rsid w:val="00EF36C6"/>
    <w:rPr>
      <w:rFonts w:ascii="Times New Roman" w:eastAsia="Times New Roman" w:hAnsi="Times New Roman" w:cs="Times New Roman"/>
      <w:b/>
      <w:bCs/>
      <w:sz w:val="36"/>
      <w:szCs w:val="36"/>
      <w:lang w:eastAsia="es-AR"/>
    </w:rPr>
  </w:style>
  <w:style w:type="paragraph" w:styleId="NormalWeb">
    <w:name w:val="Normal (Web)"/>
    <w:basedOn w:val="Normal"/>
    <w:uiPriority w:val="99"/>
    <w:semiHidden/>
    <w:unhideWhenUsed/>
    <w:rsid w:val="00EF36C6"/>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356975">
      <w:bodyDiv w:val="1"/>
      <w:marLeft w:val="0"/>
      <w:marRight w:val="0"/>
      <w:marTop w:val="0"/>
      <w:marBottom w:val="0"/>
      <w:divBdr>
        <w:top w:val="none" w:sz="0" w:space="0" w:color="auto"/>
        <w:left w:val="none" w:sz="0" w:space="0" w:color="auto"/>
        <w:bottom w:val="none" w:sz="0" w:space="0" w:color="auto"/>
        <w:right w:val="none" w:sz="0" w:space="0" w:color="auto"/>
      </w:divBdr>
      <w:divsChild>
        <w:div w:id="2014646864">
          <w:marLeft w:val="0"/>
          <w:marRight w:val="0"/>
          <w:marTop w:val="0"/>
          <w:marBottom w:val="0"/>
          <w:divBdr>
            <w:top w:val="none" w:sz="0" w:space="0" w:color="auto"/>
            <w:left w:val="none" w:sz="0" w:space="0" w:color="auto"/>
            <w:bottom w:val="none" w:sz="0" w:space="0" w:color="auto"/>
            <w:right w:val="none" w:sz="0" w:space="0" w:color="auto"/>
          </w:divBdr>
          <w:divsChild>
            <w:div w:id="895816939">
              <w:marLeft w:val="0"/>
              <w:marRight w:val="0"/>
              <w:marTop w:val="0"/>
              <w:marBottom w:val="0"/>
              <w:divBdr>
                <w:top w:val="none" w:sz="0" w:space="0" w:color="auto"/>
                <w:left w:val="none" w:sz="0" w:space="0" w:color="auto"/>
                <w:bottom w:val="none" w:sz="0" w:space="0" w:color="auto"/>
                <w:right w:val="none" w:sz="0" w:space="0" w:color="auto"/>
              </w:divBdr>
              <w:divsChild>
                <w:div w:id="770393551">
                  <w:marLeft w:val="0"/>
                  <w:marRight w:val="0"/>
                  <w:marTop w:val="0"/>
                  <w:marBottom w:val="0"/>
                  <w:divBdr>
                    <w:top w:val="none" w:sz="0" w:space="0" w:color="auto"/>
                    <w:left w:val="none" w:sz="0" w:space="0" w:color="auto"/>
                    <w:bottom w:val="none" w:sz="0" w:space="0" w:color="auto"/>
                    <w:right w:val="none" w:sz="0" w:space="0" w:color="auto"/>
                  </w:divBdr>
                  <w:divsChild>
                    <w:div w:id="930895929">
                      <w:marLeft w:val="0"/>
                      <w:marRight w:val="0"/>
                      <w:marTop w:val="0"/>
                      <w:marBottom w:val="0"/>
                      <w:divBdr>
                        <w:top w:val="none" w:sz="0" w:space="0" w:color="auto"/>
                        <w:left w:val="none" w:sz="0" w:space="0" w:color="auto"/>
                        <w:bottom w:val="none" w:sz="0" w:space="0" w:color="auto"/>
                        <w:right w:val="none" w:sz="0" w:space="0" w:color="auto"/>
                      </w:divBdr>
                      <w:divsChild>
                        <w:div w:id="1720938098">
                          <w:marLeft w:val="0"/>
                          <w:marRight w:val="0"/>
                          <w:marTop w:val="0"/>
                          <w:marBottom w:val="0"/>
                          <w:divBdr>
                            <w:top w:val="none" w:sz="0" w:space="0" w:color="auto"/>
                            <w:left w:val="none" w:sz="0" w:space="0" w:color="auto"/>
                            <w:bottom w:val="none" w:sz="0" w:space="0" w:color="auto"/>
                            <w:right w:val="none" w:sz="0" w:space="0" w:color="auto"/>
                          </w:divBdr>
                          <w:divsChild>
                            <w:div w:id="78396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4975959">
          <w:marLeft w:val="0"/>
          <w:marRight w:val="0"/>
          <w:marTop w:val="0"/>
          <w:marBottom w:val="0"/>
          <w:divBdr>
            <w:top w:val="none" w:sz="0" w:space="0" w:color="auto"/>
            <w:left w:val="none" w:sz="0" w:space="0" w:color="auto"/>
            <w:bottom w:val="none" w:sz="0" w:space="0" w:color="auto"/>
            <w:right w:val="none" w:sz="0" w:space="0" w:color="auto"/>
          </w:divBdr>
          <w:divsChild>
            <w:div w:id="1423529651">
              <w:marLeft w:val="0"/>
              <w:marRight w:val="0"/>
              <w:marTop w:val="0"/>
              <w:marBottom w:val="0"/>
              <w:divBdr>
                <w:top w:val="none" w:sz="0" w:space="0" w:color="auto"/>
                <w:left w:val="none" w:sz="0" w:space="0" w:color="auto"/>
                <w:bottom w:val="none" w:sz="0" w:space="0" w:color="auto"/>
                <w:right w:val="none" w:sz="0" w:space="0" w:color="auto"/>
              </w:divBdr>
              <w:divsChild>
                <w:div w:id="686520758">
                  <w:marLeft w:val="0"/>
                  <w:marRight w:val="0"/>
                  <w:marTop w:val="0"/>
                  <w:marBottom w:val="0"/>
                  <w:divBdr>
                    <w:top w:val="none" w:sz="0" w:space="0" w:color="auto"/>
                    <w:left w:val="none" w:sz="0" w:space="0" w:color="auto"/>
                    <w:bottom w:val="none" w:sz="0" w:space="0" w:color="auto"/>
                    <w:right w:val="none" w:sz="0" w:space="0" w:color="auto"/>
                  </w:divBdr>
                  <w:divsChild>
                    <w:div w:id="1448742771">
                      <w:marLeft w:val="0"/>
                      <w:marRight w:val="0"/>
                      <w:marTop w:val="0"/>
                      <w:marBottom w:val="0"/>
                      <w:divBdr>
                        <w:top w:val="none" w:sz="0" w:space="0" w:color="auto"/>
                        <w:left w:val="none" w:sz="0" w:space="0" w:color="auto"/>
                        <w:bottom w:val="none" w:sz="0" w:space="0" w:color="auto"/>
                        <w:right w:val="none" w:sz="0" w:space="0" w:color="auto"/>
                      </w:divBdr>
                      <w:divsChild>
                        <w:div w:id="1773208528">
                          <w:marLeft w:val="0"/>
                          <w:marRight w:val="0"/>
                          <w:marTop w:val="0"/>
                          <w:marBottom w:val="0"/>
                          <w:divBdr>
                            <w:top w:val="none" w:sz="0" w:space="0" w:color="auto"/>
                            <w:left w:val="none" w:sz="0" w:space="0" w:color="auto"/>
                            <w:bottom w:val="none" w:sz="0" w:space="0" w:color="auto"/>
                            <w:right w:val="none" w:sz="0" w:space="0" w:color="auto"/>
                          </w:divBdr>
                          <w:divsChild>
                            <w:div w:id="1345741146">
                              <w:marLeft w:val="0"/>
                              <w:marRight w:val="0"/>
                              <w:marTop w:val="0"/>
                              <w:marBottom w:val="0"/>
                              <w:divBdr>
                                <w:top w:val="none" w:sz="0" w:space="0" w:color="auto"/>
                                <w:left w:val="none" w:sz="0" w:space="0" w:color="auto"/>
                                <w:bottom w:val="none" w:sz="0" w:space="0" w:color="auto"/>
                                <w:right w:val="none" w:sz="0" w:space="0" w:color="auto"/>
                              </w:divBdr>
                              <w:divsChild>
                                <w:div w:id="21871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1624471">
          <w:marLeft w:val="0"/>
          <w:marRight w:val="0"/>
          <w:marTop w:val="0"/>
          <w:marBottom w:val="0"/>
          <w:divBdr>
            <w:top w:val="none" w:sz="0" w:space="0" w:color="auto"/>
            <w:left w:val="none" w:sz="0" w:space="0" w:color="auto"/>
            <w:bottom w:val="none" w:sz="0" w:space="0" w:color="auto"/>
            <w:right w:val="none" w:sz="0" w:space="0" w:color="auto"/>
          </w:divBdr>
          <w:divsChild>
            <w:div w:id="508912144">
              <w:marLeft w:val="0"/>
              <w:marRight w:val="0"/>
              <w:marTop w:val="0"/>
              <w:marBottom w:val="0"/>
              <w:divBdr>
                <w:top w:val="none" w:sz="0" w:space="0" w:color="auto"/>
                <w:left w:val="none" w:sz="0" w:space="0" w:color="auto"/>
                <w:bottom w:val="none" w:sz="0" w:space="0" w:color="auto"/>
                <w:right w:val="none" w:sz="0" w:space="0" w:color="auto"/>
              </w:divBdr>
              <w:divsChild>
                <w:div w:id="50807650">
                  <w:marLeft w:val="0"/>
                  <w:marRight w:val="0"/>
                  <w:marTop w:val="0"/>
                  <w:marBottom w:val="0"/>
                  <w:divBdr>
                    <w:top w:val="none" w:sz="0" w:space="0" w:color="auto"/>
                    <w:left w:val="none" w:sz="0" w:space="0" w:color="auto"/>
                    <w:bottom w:val="none" w:sz="0" w:space="0" w:color="auto"/>
                    <w:right w:val="none" w:sz="0" w:space="0" w:color="auto"/>
                  </w:divBdr>
                  <w:divsChild>
                    <w:div w:id="104547953">
                      <w:marLeft w:val="0"/>
                      <w:marRight w:val="0"/>
                      <w:marTop w:val="0"/>
                      <w:marBottom w:val="0"/>
                      <w:divBdr>
                        <w:top w:val="none" w:sz="0" w:space="0" w:color="auto"/>
                        <w:left w:val="none" w:sz="0" w:space="0" w:color="auto"/>
                        <w:bottom w:val="none" w:sz="0" w:space="0" w:color="auto"/>
                        <w:right w:val="none" w:sz="0" w:space="0" w:color="auto"/>
                      </w:divBdr>
                      <w:divsChild>
                        <w:div w:id="849872583">
                          <w:marLeft w:val="0"/>
                          <w:marRight w:val="0"/>
                          <w:marTop w:val="0"/>
                          <w:marBottom w:val="0"/>
                          <w:divBdr>
                            <w:top w:val="none" w:sz="0" w:space="0" w:color="auto"/>
                            <w:left w:val="none" w:sz="0" w:space="0" w:color="auto"/>
                            <w:bottom w:val="none" w:sz="0" w:space="0" w:color="auto"/>
                            <w:right w:val="none" w:sz="0" w:space="0" w:color="auto"/>
                          </w:divBdr>
                          <w:divsChild>
                            <w:div w:id="141185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1997454">
      <w:bodyDiv w:val="1"/>
      <w:marLeft w:val="0"/>
      <w:marRight w:val="0"/>
      <w:marTop w:val="0"/>
      <w:marBottom w:val="0"/>
      <w:divBdr>
        <w:top w:val="none" w:sz="0" w:space="0" w:color="auto"/>
        <w:left w:val="none" w:sz="0" w:space="0" w:color="auto"/>
        <w:bottom w:val="none" w:sz="0" w:space="0" w:color="auto"/>
        <w:right w:val="none" w:sz="0" w:space="0" w:color="auto"/>
      </w:divBdr>
    </w:div>
    <w:div w:id="776095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2847</Words>
  <Characters>15662</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Marcelo Verde</dc:creator>
  <cp:keywords/>
  <dc:description/>
  <cp:lastModifiedBy>Javier Marcelo Verde</cp:lastModifiedBy>
  <cp:revision>2</cp:revision>
  <cp:lastPrinted>2026-03-28T14:04:00Z</cp:lastPrinted>
  <dcterms:created xsi:type="dcterms:W3CDTF">2026-03-28T14:00:00Z</dcterms:created>
  <dcterms:modified xsi:type="dcterms:W3CDTF">2026-03-28T14:08:00Z</dcterms:modified>
</cp:coreProperties>
</file>