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568E7" w14:textId="77777777" w:rsidR="007A7369" w:rsidRDefault="00000000">
      <w:pPr>
        <w:spacing w:after="40"/>
      </w:pPr>
      <w:r>
        <w:rPr>
          <w:b/>
          <w:bCs/>
          <w:spacing w:val="40"/>
          <w:sz w:val="30"/>
          <w:szCs w:val="30"/>
        </w:rPr>
        <w:t>BASTA</w:t>
      </w:r>
    </w:p>
    <w:p w14:paraId="5D16321E" w14:textId="77777777" w:rsidR="007A7369" w:rsidRDefault="00000000">
      <w:pPr>
        <w:pBdr>
          <w:bottom w:val="single" w:sz="18" w:space="4" w:color="C0392B"/>
        </w:pBdr>
        <w:spacing w:after="200"/>
      </w:pPr>
      <w:r>
        <w:rPr>
          <w:color w:val="6B6B6B"/>
          <w:sz w:val="19"/>
          <w:szCs w:val="19"/>
        </w:rPr>
        <w:t>Coleta e Análise Administrativa de Contratos</w:t>
      </w:r>
    </w:p>
    <w:p w14:paraId="378D9EB0" w14:textId="77777777" w:rsidR="007A7369" w:rsidRDefault="00000000">
      <w:pPr>
        <w:spacing w:after="60"/>
      </w:pPr>
      <w:r>
        <w:rPr>
          <w:b/>
          <w:bCs/>
          <w:sz w:val="44"/>
          <w:szCs w:val="44"/>
        </w:rPr>
        <w:t>Verificação de Contratos de Crédito</w:t>
      </w:r>
    </w:p>
    <w:p w14:paraId="4F0D8E18" w14:textId="77777777" w:rsidR="007A7369" w:rsidRDefault="00000000">
      <w:pPr>
        <w:spacing w:after="220"/>
      </w:pPr>
      <w:r>
        <w:rPr>
          <w:color w:val="8B271C"/>
          <w:sz w:val="26"/>
          <w:szCs w:val="26"/>
        </w:rPr>
        <w:t>Lógica de otimização, arquitetura e escopo da Frente 1</w:t>
      </w:r>
    </w:p>
    <w:p w14:paraId="5611057C" w14:textId="77777777" w:rsidR="007A7369" w:rsidRDefault="00000000">
      <w:pPr>
        <w:spacing w:after="30"/>
      </w:pPr>
      <w:r>
        <w:rPr>
          <w:color w:val="6B6B6B"/>
          <w:sz w:val="19"/>
          <w:szCs w:val="19"/>
        </w:rPr>
        <w:t>Documento de alinhamento  ·  Time de Produto &amp; Tecnologia</w:t>
      </w:r>
    </w:p>
    <w:p w14:paraId="660C4CEC" w14:textId="77777777" w:rsidR="007A7369" w:rsidRDefault="00000000">
      <w:pPr>
        <w:spacing w:after="240"/>
      </w:pPr>
      <w:r>
        <w:rPr>
          <w:color w:val="6B6B6B"/>
          <w:sz w:val="19"/>
          <w:szCs w:val="19"/>
        </w:rPr>
        <w:t>Junho de 2026  ·  v1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704B5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0392B"/>
            </w:tcBorders>
            <w:shd w:val="clear" w:color="auto" w:fill="F4F1EC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00EFE2A3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Em uma frase</w:t>
            </w:r>
          </w:p>
          <w:p w14:paraId="0DD64615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Lemos o contrato com IA </w:t>
            </w:r>
            <w:r>
              <w:rPr>
                <w:b/>
                <w:bCs/>
                <w:sz w:val="19"/>
                <w:szCs w:val="19"/>
              </w:rPr>
              <w:t>uma única vez</w:t>
            </w:r>
            <w:r>
              <w:rPr>
                <w:sz w:val="19"/>
                <w:szCs w:val="19"/>
              </w:rPr>
              <w:t>, extraímos um conjunto estruturado de dados e deixamos a verificação dos abusos para um motor de regras barato e determinístico — usando IA só onde ela é insubstituível.</w:t>
            </w:r>
          </w:p>
        </w:tc>
      </w:tr>
    </w:tbl>
    <w:p w14:paraId="153B39BB" w14:textId="77777777" w:rsidR="007A7369" w:rsidRDefault="007A7369">
      <w:pPr>
        <w:spacing w:after="180"/>
      </w:pPr>
    </w:p>
    <w:p w14:paraId="1C2283FE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01 — CONTEXTO</w:t>
      </w:r>
    </w:p>
    <w:p w14:paraId="732E5E91" w14:textId="77777777" w:rsidR="007A7369" w:rsidRDefault="00000000">
      <w:pPr>
        <w:pStyle w:val="Heading1"/>
      </w:pPr>
      <w:r>
        <w:t>Por que estamos avançando assim</w:t>
      </w:r>
    </w:p>
    <w:p w14:paraId="54EEE2D3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6B80A61F" w14:textId="77777777" w:rsidR="007A7369" w:rsidRDefault="00000000">
      <w:pPr>
        <w:spacing w:after="140" w:line="276" w:lineRule="auto"/>
      </w:pPr>
      <w:r>
        <w:t xml:space="preserve">A frente de identificação de </w:t>
      </w:r>
      <w:r>
        <w:rPr>
          <w:b/>
          <w:bCs/>
        </w:rPr>
        <w:t>indícios de abusos bancários</w:t>
      </w:r>
      <w:r>
        <w:t xml:space="preserve"> precisa, em vários casos, do contrato de crédito do cliente. Ler contratos com IA é a parte </w:t>
      </w:r>
      <w:r>
        <w:rPr>
          <w:b/>
          <w:bCs/>
        </w:rPr>
        <w:t>cara</w:t>
      </w:r>
      <w:r>
        <w:t xml:space="preserve"> do processo: consome muitos tokens e não escala se for repetida a cada abuso analisado.</w:t>
      </w:r>
    </w:p>
    <w:p w14:paraId="4171DB90" w14:textId="77777777" w:rsidR="007A7369" w:rsidRDefault="00000000">
      <w:pPr>
        <w:spacing w:after="140" w:line="276" w:lineRule="auto"/>
      </w:pPr>
      <w:r>
        <w:t xml:space="preserve">Antes de investir nessa frente, fizemos a pergunta certa: </w:t>
      </w:r>
      <w:r>
        <w:rPr>
          <w:b/>
          <w:bCs/>
          <w:color w:val="8B271C"/>
        </w:rPr>
        <w:t>o que conseguimos verificar tendo apenas o contrato de crédito em mãos?</w:t>
      </w:r>
      <w:r>
        <w:t xml:space="preserve"> A resposta levou a uma decisão de arquitetura que reduz custo sem reduzir cobertura.</w:t>
      </w:r>
    </w:p>
    <w:p w14:paraId="4800F728" w14:textId="77777777" w:rsidR="007A7369" w:rsidRDefault="00000000">
      <w:pPr>
        <w:spacing w:after="140" w:line="276" w:lineRule="auto"/>
      </w:pPr>
      <w:r>
        <w:rPr>
          <w:b/>
          <w:bCs/>
        </w:rPr>
        <w:t xml:space="preserve">Objetivo deste documento: </w:t>
      </w:r>
      <w:r>
        <w:t>alinhar o time sobre a lógica de otimização da leitura do contrato, o escopo do que entra agora (Frente 1) e como cada abuso será verificado.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77449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0392B"/>
            </w:tcBorders>
            <w:shd w:val="clear" w:color="auto" w:fill="F4F1EC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68169D2F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Enquadramento do nosso trabalho</w:t>
            </w:r>
          </w:p>
          <w:p w14:paraId="4699043E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Nosso trabalho é </w:t>
            </w:r>
            <w:r>
              <w:rPr>
                <w:b/>
                <w:bCs/>
                <w:sz w:val="19"/>
                <w:szCs w:val="19"/>
              </w:rPr>
              <w:t>administrativo</w:t>
            </w:r>
            <w:r>
              <w:rPr>
                <w:sz w:val="19"/>
                <w:szCs w:val="19"/>
              </w:rPr>
              <w:t xml:space="preserve">: coletamos e preparamos documentos e levantamos </w:t>
            </w:r>
            <w:r>
              <w:rPr>
                <w:b/>
                <w:bCs/>
                <w:sz w:val="19"/>
                <w:szCs w:val="19"/>
              </w:rPr>
              <w:t>indícios de abusos bancários</w:t>
            </w:r>
            <w:r>
              <w:rPr>
                <w:sz w:val="19"/>
                <w:szCs w:val="19"/>
              </w:rPr>
              <w:t xml:space="preserve">. Não fazemos análise jurídica nem concluímos sobre o abuso. O resultado é preparado e entregue ao </w:t>
            </w:r>
            <w:r>
              <w:rPr>
                <w:b/>
                <w:bCs/>
                <w:sz w:val="19"/>
                <w:szCs w:val="19"/>
              </w:rPr>
              <w:t>advogado</w:t>
            </w:r>
            <w:r>
              <w:rPr>
                <w:sz w:val="19"/>
                <w:szCs w:val="19"/>
              </w:rPr>
              <w:t>, a quem cabe confirmar se há abuso bancário. Toda a lógica deste documento serve a essa preparação.</w:t>
            </w:r>
          </w:p>
        </w:tc>
      </w:tr>
    </w:tbl>
    <w:p w14:paraId="1D1A5F05" w14:textId="77777777" w:rsidR="007A7369" w:rsidRDefault="007A7369">
      <w:pPr>
        <w:spacing w:after="60"/>
      </w:pPr>
    </w:p>
    <w:p w14:paraId="17BC0DAC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02 — O PRINCÍPIO</w:t>
      </w:r>
    </w:p>
    <w:p w14:paraId="24654492" w14:textId="77777777" w:rsidR="007A7369" w:rsidRDefault="00000000">
      <w:pPr>
        <w:pStyle w:val="Heading1"/>
      </w:pPr>
      <w:r>
        <w:t>Extrair uma vez, verificar barato</w:t>
      </w:r>
    </w:p>
    <w:p w14:paraId="5C045AA5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2E166254" w14:textId="77777777" w:rsidR="007A7369" w:rsidRDefault="00000000">
      <w:pPr>
        <w:spacing w:after="140" w:line="276" w:lineRule="auto"/>
      </w:pPr>
      <w:r>
        <w:t xml:space="preserve">O insight é separar dois custos que normalmente vivem juntos: o </w:t>
      </w:r>
      <w:r>
        <w:rPr>
          <w:b/>
          <w:bCs/>
        </w:rPr>
        <w:t>custo de leitura</w:t>
      </w:r>
      <w:r>
        <w:t xml:space="preserve"> (entender o contrato — caro, exige IA) e o </w:t>
      </w:r>
      <w:r>
        <w:rPr>
          <w:b/>
          <w:bCs/>
        </w:rPr>
        <w:t>custo de verificação</w:t>
      </w:r>
      <w:r>
        <w:t xml:space="preserve"> (conferir se há abuso — barato, é aritmética). Em vez de a IA reler o contrato a cada abuso, ela faz </w:t>
      </w:r>
      <w:r>
        <w:rPr>
          <w:b/>
          <w:bCs/>
        </w:rPr>
        <w:t>uma passada só</w:t>
      </w:r>
      <w:r>
        <w:t xml:space="preserve"> e produz um objeto de dados estruturado. Daí em diante, quem trabalha é um motor de regras simples.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70F74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7D46"/>
            </w:tcBorders>
            <w:shd w:val="clear" w:color="auto" w:fill="EAF3EC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2BC70A0E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lastRenderedPageBreak/>
              <w:t>A regra que sustenta tudo</w:t>
            </w:r>
          </w:p>
          <w:p w14:paraId="0DD99740" w14:textId="77777777" w:rsidR="007A7369" w:rsidRDefault="00000000">
            <w:pPr>
              <w:spacing w:after="60" w:line="264" w:lineRule="auto"/>
            </w:pPr>
            <w:r>
              <w:rPr>
                <w:b/>
                <w:bCs/>
                <w:sz w:val="19"/>
                <w:szCs w:val="19"/>
              </w:rPr>
              <w:t>Toda interpretação semântica é empurrada para a extração. O motor de baixo é burro de propósito.</w:t>
            </w:r>
          </w:p>
          <w:p w14:paraId="6F8C35C2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A IA não “copia campos” — ela resolve a ambiguidade e emite valores já normalizados (booleanos, números, datas, enums). “Existe cláusula expressa de capitalização?” vira </w:t>
            </w:r>
            <w:r>
              <w:rPr>
                <w:i/>
                <w:iCs/>
                <w:sz w:val="19"/>
                <w:szCs w:val="19"/>
              </w:rPr>
              <w:t>true/false</w:t>
            </w:r>
            <w:r>
              <w:rPr>
                <w:sz w:val="19"/>
                <w:szCs w:val="19"/>
              </w:rPr>
              <w:t xml:space="preserve"> na extração. Depois disso, o motor só compara número com limite, data com data de corte, faz uma conta e um cruzamento em tabela. Zero IA, 100% auditável e testável.</w:t>
            </w:r>
          </w:p>
        </w:tc>
      </w:tr>
    </w:tbl>
    <w:p w14:paraId="595B0283" w14:textId="77777777" w:rsidR="007A7369" w:rsidRDefault="00000000">
      <w:pPr>
        <w:spacing w:after="140" w:line="276" w:lineRule="auto"/>
      </w:pPr>
      <w:r>
        <w:rPr>
          <w:b/>
          <w:bCs/>
        </w:rPr>
        <w:t xml:space="preserve">Por que isso importa para o custo: </w:t>
      </w:r>
      <w:r>
        <w:t xml:space="preserve">se a interpretação “vazar” para baixo — o motor tendo que entender texto livre — perdemos o barateamento. A régua é clara: </w:t>
      </w:r>
      <w:r>
        <w:rPr>
          <w:b/>
          <w:bCs/>
          <w:color w:val="8B271C"/>
        </w:rPr>
        <w:t>o motor nunca lê texto, só consome o objeto estruturado.</w:t>
      </w:r>
    </w:p>
    <w:p w14:paraId="137C53B4" w14:textId="77777777" w:rsidR="007A7369" w:rsidRDefault="007A7369">
      <w:pPr>
        <w:spacing w:after="60"/>
      </w:pPr>
    </w:p>
    <w:p w14:paraId="23A3DA63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03 — ARQUITETURA</w:t>
      </w:r>
    </w:p>
    <w:p w14:paraId="5FFDD211" w14:textId="77777777" w:rsidR="007A7369" w:rsidRDefault="00000000">
      <w:pPr>
        <w:pStyle w:val="Heading1"/>
      </w:pPr>
      <w:r>
        <w:t>Duas camadas</w:t>
      </w:r>
    </w:p>
    <w:p w14:paraId="2770C8AB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2CCF1094" w14:textId="77777777" w:rsidR="007A7369" w:rsidRDefault="00000000">
      <w:pPr>
        <w:pStyle w:val="Heading2"/>
      </w:pPr>
      <w:r>
        <w:t>Camada 1 — Extração + Normalização (IA, uma passada por contrato)</w:t>
      </w:r>
    </w:p>
    <w:p w14:paraId="1EBBCA0C" w14:textId="77777777" w:rsidR="007A7369" w:rsidRDefault="00000000">
      <w:pPr>
        <w:spacing w:after="140" w:line="276" w:lineRule="auto"/>
      </w:pPr>
      <w:r>
        <w:t xml:space="preserve">Entrada: o contrato (PDF ou digitalização, com OCR quando necessário). Saída: o </w:t>
      </w:r>
      <w:r>
        <w:rPr>
          <w:b/>
          <w:bCs/>
        </w:rPr>
        <w:t>Objeto de Dados do Contrato</w:t>
      </w:r>
      <w:r>
        <w:t>. Cada campo carrega três coisas:</w:t>
      </w:r>
    </w:p>
    <w:p w14:paraId="2542DE64" w14:textId="77777777" w:rsidR="007A736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Valor normalizado</w:t>
      </w:r>
      <w:r>
        <w:t xml:space="preserve"> — booleano, número, data ou enum, nunca texto solto.</w:t>
      </w:r>
    </w:p>
    <w:p w14:paraId="115A665E" w14:textId="77777777" w:rsidR="007A736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Confiança</w:t>
      </w:r>
      <w:r>
        <w:t xml:space="preserve"> — quão seguro o modelo está; baixa confiança vira fila de revisão humana.</w:t>
      </w:r>
    </w:p>
    <w:p w14:paraId="5415D4ED" w14:textId="77777777" w:rsidR="007A7369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Proveniência</w:t>
      </w:r>
      <w:r>
        <w:t xml:space="preserve"> — cláusula e página de origem. Não é luxo: é o que torna o indício rastreável e o que permite ao advogado confirmar em segundos.</w:t>
      </w:r>
    </w:p>
    <w:p w14:paraId="64966B73" w14:textId="77777777" w:rsidR="007A7369" w:rsidRDefault="007A7369">
      <w:pPr>
        <w:spacing w:after="40"/>
      </w:pPr>
    </w:p>
    <w:p w14:paraId="79A5156F" w14:textId="77777777" w:rsidR="007A7369" w:rsidRDefault="00000000">
      <w:pPr>
        <w:pStyle w:val="Heading2"/>
      </w:pPr>
      <w:r>
        <w:t>Camada 2 — Motor de Regras (determinístico, sem IA)</w:t>
      </w:r>
    </w:p>
    <w:p w14:paraId="4D342A6D" w14:textId="77777777" w:rsidR="007A7369" w:rsidRDefault="00000000">
      <w:pPr>
        <w:spacing w:after="140" w:line="276" w:lineRule="auto"/>
      </w:pPr>
      <w:r>
        <w:t xml:space="preserve">Funções puras sobre o objeto extraído, combinadas com </w:t>
      </w:r>
      <w:r>
        <w:rPr>
          <w:b/>
          <w:bCs/>
        </w:rPr>
        <w:t>tabelas de parâmetros datadas</w:t>
      </w:r>
      <w:r>
        <w:t xml:space="preserve"> (limites legais com vigência) e </w:t>
      </w:r>
      <w:r>
        <w:rPr>
          <w:b/>
          <w:bCs/>
        </w:rPr>
        <w:t>bases estruturadas</w:t>
      </w:r>
      <w:r>
        <w:t xml:space="preserve"> (série histórica do BACEN; mais adiante SCR e extratos). Saída por abuso: </w:t>
      </w:r>
      <w:r>
        <w:rPr>
          <w:i/>
          <w:iCs/>
        </w:rPr>
        <w:t>indício · sem indício · inconclusivo · escala para humano</w:t>
      </w:r>
      <w:r>
        <w:t>, com a referência normativa e os campos que dispararam a regra — insumo para o advogado, não um veredito.</w:t>
      </w:r>
    </w:p>
    <w:p w14:paraId="654C6F09" w14:textId="77777777" w:rsidR="007A7369" w:rsidRDefault="007A73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5F10E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A1A1A"/>
            </w:tcBorders>
            <w:shd w:val="clear" w:color="auto" w:fill="F1F1F4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404CAB80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Fluxo ponta a ponta</w:t>
            </w:r>
          </w:p>
          <w:p w14:paraId="585C114F" w14:textId="77777777" w:rsidR="007A73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Ingestão → Extração (IA) → Gate de confiança (baixa → fila humana) → Motor de regras (determinístico) → Relatório de indícios</w:t>
            </w:r>
          </w:p>
        </w:tc>
      </w:tr>
    </w:tbl>
    <w:p w14:paraId="27460F54" w14:textId="77777777" w:rsidR="007A7369" w:rsidRDefault="007A7369">
      <w:pPr>
        <w:spacing w:after="60"/>
      </w:pPr>
    </w:p>
    <w:p w14:paraId="45C6DCB0" w14:textId="77777777" w:rsidR="007A7369" w:rsidRDefault="007A7369">
      <w:pPr>
        <w:pageBreakBefore/>
      </w:pPr>
    </w:p>
    <w:p w14:paraId="790D173D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04 — ESCOPO</w:t>
      </w:r>
    </w:p>
    <w:p w14:paraId="06416E0F" w14:textId="77777777" w:rsidR="007A7369" w:rsidRDefault="00000000">
      <w:pPr>
        <w:pStyle w:val="Heading1"/>
      </w:pPr>
      <w:r>
        <w:t>O que entra na Frente 1</w:t>
      </w:r>
    </w:p>
    <w:p w14:paraId="1727E256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7022A926" w14:textId="77777777" w:rsidR="007A7369" w:rsidRDefault="00000000">
      <w:pPr>
        <w:spacing w:after="140" w:line="276" w:lineRule="auto"/>
      </w:pPr>
      <w:r>
        <w:t xml:space="preserve">Esta frente trata, prioritariamente, dos contratos de </w:t>
      </w:r>
      <w:r>
        <w:rPr>
          <w:b/>
          <w:bCs/>
        </w:rPr>
        <w:t>crédito pessoal</w:t>
      </w:r>
      <w:r>
        <w:t xml:space="preserve"> e </w:t>
      </w:r>
      <w:r>
        <w:rPr>
          <w:b/>
          <w:bCs/>
        </w:rPr>
        <w:t>crédito consignado</w:t>
      </w:r>
      <w:r>
        <w:t xml:space="preserve"> — as modalidades de maior volume no escritório. Os </w:t>
      </w:r>
      <w:r>
        <w:rPr>
          <w:b/>
          <w:bCs/>
        </w:rPr>
        <w:t>demais tipos de crédito</w:t>
      </w:r>
      <w:r>
        <w:t xml:space="preserve"> (CDC, financiamento de veículo e de imóvel) ficam para uma </w:t>
      </w:r>
      <w:r>
        <w:rPr>
          <w:b/>
          <w:bCs/>
        </w:rPr>
        <w:t>etapa seguinte</w:t>
      </w:r>
      <w:r>
        <w:t>, e os abusos que dependem de outro tipo de documento — conta-corrente ou termo de adesão de cartão — para uma frente posterior, por exigirem schema próprio de extração.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A7369" w14:paraId="1B79A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00193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Decisão</w:t>
            </w:r>
          </w:p>
        </w:tc>
        <w:tc>
          <w:tcPr>
            <w:tcW w:w="6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95E75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7A7369" w14:paraId="27678C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4EE7C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Entra agora</w:t>
            </w:r>
          </w:p>
        </w:tc>
        <w:tc>
          <w:tcPr>
            <w:tcW w:w="6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DE3C3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Contratos de crédito pessoal e crédito consignado.</w:t>
            </w:r>
          </w:p>
        </w:tc>
      </w:tr>
      <w:tr w:rsidR="007A7369" w14:paraId="0AB6E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5A5BE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Etapa seguinte</w:t>
            </w:r>
          </w:p>
        </w:tc>
        <w:tc>
          <w:tcPr>
            <w:tcW w:w="6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458FF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Demais tipos de crédito: CDC, financiamento de veículo e de imóvel. Mesmo método e schema, ativados quando a etapa avançar.</w:t>
            </w:r>
          </w:p>
        </w:tc>
      </w:tr>
      <w:tr w:rsidR="007A7369" w14:paraId="36CAD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BA390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Frente posterior</w:t>
            </w:r>
          </w:p>
        </w:tc>
        <w:tc>
          <w:tcPr>
            <w:tcW w:w="6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E9019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Conta-corrente e cartão consignado (RMC/RCC): </w:t>
            </w:r>
            <w:r>
              <w:rPr>
                <w:b/>
                <w:bCs/>
                <w:sz w:val="18"/>
                <w:szCs w:val="18"/>
              </w:rPr>
              <w:t>AB15, AB18, AB19, AB23, AB32, AB37</w:t>
            </w:r>
            <w:r>
              <w:rPr>
                <w:sz w:val="18"/>
                <w:szCs w:val="18"/>
              </w:rPr>
              <w:t>.</w:t>
            </w:r>
          </w:p>
        </w:tc>
      </w:tr>
      <w:tr w:rsidR="007A7369" w14:paraId="4BDF6D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0C839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Profundidade</w:t>
            </w:r>
          </w:p>
        </w:tc>
        <w:tc>
          <w:tcPr>
            <w:tcW w:w="6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DE463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Extraímos o schema completo (inclusive campos que só apoiam abusos resolvidos em outras bases) — o custo marginal por campo numa passada única é baixo e deixa tudo pronto para cruzamento.</w:t>
            </w:r>
          </w:p>
        </w:tc>
      </w:tr>
    </w:tbl>
    <w:p w14:paraId="55860D66" w14:textId="77777777" w:rsidR="007A7369" w:rsidRDefault="007A7369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1A804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A1A1A"/>
            </w:tcBorders>
            <w:shd w:val="clear" w:color="auto" w:fill="F1F1F4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12BCEDA8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Nota sobre cobertura</w:t>
            </w:r>
          </w:p>
          <w:p w14:paraId="74F5F336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O mapa das seções 5 a 7 lista todos os abusos que tocam um contrato de crédito. Três deles — </w:t>
            </w:r>
            <w:r>
              <w:rPr>
                <w:b/>
                <w:bCs/>
                <w:sz w:val="19"/>
                <w:szCs w:val="19"/>
              </w:rPr>
              <w:t>AB12, AB38 e AB39</w:t>
            </w:r>
            <w:r>
              <w:rPr>
                <w:sz w:val="19"/>
                <w:szCs w:val="19"/>
              </w:rPr>
              <w:t xml:space="preserve"> — dependem de garantia de veículo ou imóvel e, portanto, só entram com os demais tipos de crédito, na etapa seguinte. No foco atual (pessoal e consignado), valem os outros 21.</w:t>
            </w:r>
          </w:p>
        </w:tc>
      </w:tr>
    </w:tbl>
    <w:p w14:paraId="470DAF21" w14:textId="77777777" w:rsidR="007A7369" w:rsidRDefault="007A7369">
      <w:pPr>
        <w:spacing w:after="60"/>
      </w:pPr>
    </w:p>
    <w:p w14:paraId="73045A1B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05 — COBERTURA</w:t>
      </w:r>
    </w:p>
    <w:p w14:paraId="0901A4D7" w14:textId="77777777" w:rsidR="007A7369" w:rsidRDefault="00000000">
      <w:pPr>
        <w:pStyle w:val="Heading1"/>
      </w:pPr>
      <w:r>
        <w:t>O que o contrato destrava</w:t>
      </w:r>
    </w:p>
    <w:p w14:paraId="1F1D764B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484FD8D6" w14:textId="77777777" w:rsidR="007A7369" w:rsidRDefault="00000000">
      <w:pPr>
        <w:spacing w:after="140" w:line="276" w:lineRule="auto"/>
      </w:pPr>
      <w:r>
        <w:t xml:space="preserve">Dos </w:t>
      </w:r>
      <w:r>
        <w:rPr>
          <w:b/>
          <w:bCs/>
        </w:rPr>
        <w:t>38 abusos</w:t>
      </w:r>
      <w:r>
        <w:t xml:space="preserve"> do manual de análise clínica, </w:t>
      </w:r>
      <w:r>
        <w:rPr>
          <w:b/>
          <w:bCs/>
        </w:rPr>
        <w:t>24 tocam o contrato de crédito</w:t>
      </w:r>
      <w:r>
        <w:t xml:space="preserve">. Classificamos por </w:t>
      </w:r>
      <w:r>
        <w:rPr>
          <w:b/>
          <w:bCs/>
        </w:rPr>
        <w:t>quanto</w:t>
      </w:r>
      <w:r>
        <w:t xml:space="preserve"> cada um depende só do contrato — é isso que define o retorno da frente.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60"/>
        <w:gridCol w:w="3600"/>
      </w:tblGrid>
      <w:tr w:rsidR="007A7369" w14:paraId="501A1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E6F6C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42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5485F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é</w:t>
            </w:r>
          </w:p>
        </w:tc>
        <w:tc>
          <w:tcPr>
            <w:tcW w:w="36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61896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Abusos</w:t>
            </w:r>
          </w:p>
        </w:tc>
      </w:tr>
      <w:tr w:rsidR="007A7369" w14:paraId="6F849F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97AA6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Tier 1</w:t>
            </w:r>
          </w:p>
        </w:tc>
        <w:tc>
          <w:tcPr>
            <w:tcW w:w="42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2DD2A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Indício fecha só com o contrato</w:t>
            </w:r>
          </w:p>
          <w:p w14:paraId="7C0B6A32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 elemento abusivo está no próprio texto/número, conferido contra um limite legal fixo. Sem base externa.</w:t>
            </w:r>
          </w:p>
        </w:tc>
        <w:tc>
          <w:tcPr>
            <w:tcW w:w="36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60D7A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AB03, AB04, AB05, AB07, AB10, AB14, AB35</w:t>
            </w:r>
          </w:p>
          <w:p w14:paraId="666FF130" w14:textId="77777777" w:rsidR="007A7369" w:rsidRDefault="00000000">
            <w:pPr>
              <w:spacing w:line="252" w:lineRule="auto"/>
            </w:pPr>
            <w:r>
              <w:rPr>
                <w:i/>
                <w:iCs/>
                <w:color w:val="6B6B6B"/>
                <w:sz w:val="17"/>
                <w:szCs w:val="17"/>
              </w:rPr>
              <w:t>7 abusos</w:t>
            </w:r>
          </w:p>
        </w:tc>
      </w:tr>
      <w:tr w:rsidR="007A7369" w14:paraId="25E03D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980EB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Tier 2</w:t>
            </w:r>
          </w:p>
        </w:tc>
        <w:tc>
          <w:tcPr>
            <w:tcW w:w="42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3A718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Indício + 1 cruzamento simples</w:t>
            </w:r>
          </w:p>
          <w:p w14:paraId="312DF087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 contrato gera o indício; um único JOIN/comparação contra uma base estruturada confirma.</w:t>
            </w:r>
          </w:p>
        </w:tc>
        <w:tc>
          <w:tcPr>
            <w:tcW w:w="36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13658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AB02, AB08, AB09, AB11, AB12, AB16, AB17</w:t>
            </w:r>
          </w:p>
          <w:p w14:paraId="743EBCDC" w14:textId="77777777" w:rsidR="007A7369" w:rsidRDefault="00000000">
            <w:pPr>
              <w:spacing w:line="252" w:lineRule="auto"/>
            </w:pPr>
            <w:r>
              <w:rPr>
                <w:i/>
                <w:iCs/>
                <w:color w:val="6B6B6B"/>
                <w:sz w:val="17"/>
                <w:szCs w:val="17"/>
              </w:rPr>
              <w:t>7 abusos</w:t>
            </w:r>
          </w:p>
        </w:tc>
      </w:tr>
      <w:tr w:rsidR="007A7369" w14:paraId="73F7E4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1F1F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55CC1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Tier 3</w:t>
            </w:r>
          </w:p>
        </w:tc>
        <w:tc>
          <w:tcPr>
            <w:tcW w:w="42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1F1F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4237E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Campos de apoio</w:t>
            </w:r>
          </w:p>
          <w:p w14:paraId="3B326846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 contrato fornece data/valor/garantia; o veredito vive em outra base ou frente.</w:t>
            </w:r>
          </w:p>
        </w:tc>
        <w:tc>
          <w:tcPr>
            <w:tcW w:w="36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1F1F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7148F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AB01, AB06, AB13, AB20, AB21, AB22, AB24, AB30, AB38, AB39</w:t>
            </w:r>
          </w:p>
          <w:p w14:paraId="313C5E3C" w14:textId="77777777" w:rsidR="007A7369" w:rsidRDefault="00000000">
            <w:pPr>
              <w:spacing w:line="252" w:lineRule="auto"/>
            </w:pPr>
            <w:r>
              <w:rPr>
                <w:i/>
                <w:iCs/>
                <w:color w:val="6B6B6B"/>
                <w:sz w:val="17"/>
                <w:szCs w:val="17"/>
              </w:rPr>
              <w:t>10 abusos</w:t>
            </w:r>
          </w:p>
        </w:tc>
      </w:tr>
    </w:tbl>
    <w:p w14:paraId="080CF2F5" w14:textId="77777777" w:rsidR="007A7369" w:rsidRDefault="007A73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31C53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7D46"/>
            </w:tcBorders>
            <w:shd w:val="clear" w:color="auto" w:fill="EAF3EC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73D14B56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lastRenderedPageBreak/>
              <w:t>O ganho, em números</w:t>
            </w:r>
          </w:p>
          <w:p w14:paraId="3F441422" w14:textId="77777777" w:rsidR="007A73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9 abusos ficam 100% determinísticos de imediato</w:t>
            </w:r>
            <w:r>
              <w:rPr>
                <w:sz w:val="19"/>
                <w:szCs w:val="19"/>
              </w:rPr>
              <w:t xml:space="preserve"> — os 7 do Tier 1, mais AB02 (cruzamento com a série BACEN) e AB11 (cruzamento com o SCR). O restante fica determinístico assim que a segunda base também estiver estruturada, o que é uma frente própria, não custo de IA recorrente.</w:t>
            </w:r>
          </w:p>
        </w:tc>
      </w:tr>
    </w:tbl>
    <w:p w14:paraId="7646C143" w14:textId="77777777" w:rsidR="007A7369" w:rsidRDefault="00000000">
      <w:pPr>
        <w:spacing w:after="80" w:line="276" w:lineRule="auto"/>
      </w:pPr>
      <w:r>
        <w:rPr>
          <w:b/>
          <w:bCs/>
        </w:rPr>
        <w:t xml:space="preserve">Fora da passada (14 abusos): </w:t>
      </w:r>
      <w:r>
        <w:t>6 dependem de contrato de conta/cartão (Frente 2) e 8 não usam contrato — AB25, AB27, AB28, AB29, AB31, AB33, AB34, AB36 — pois se resolvem em extrato, fatura, SCR, bureaus ou notificações.</w:t>
      </w:r>
    </w:p>
    <w:p w14:paraId="1371211A" w14:textId="77777777" w:rsidR="007A7369" w:rsidRDefault="007A7369">
      <w:pPr>
        <w:spacing w:after="60"/>
      </w:pPr>
    </w:p>
    <w:p w14:paraId="760F9C5D" w14:textId="77777777" w:rsidR="007A7369" w:rsidRDefault="007A7369">
      <w:pPr>
        <w:pageBreakBefore/>
      </w:pPr>
    </w:p>
    <w:p w14:paraId="4FEE8549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06 — O CORAÇÃO DO MODELO</w:t>
      </w:r>
    </w:p>
    <w:p w14:paraId="0C7C11C5" w14:textId="77777777" w:rsidR="007A7369" w:rsidRDefault="00000000">
      <w:pPr>
        <w:pStyle w:val="Heading1"/>
      </w:pPr>
      <w:r>
        <w:t>O Objeto de Dados do Contrato</w:t>
      </w:r>
    </w:p>
    <w:p w14:paraId="0EC27AA7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55E8021A" w14:textId="77777777" w:rsidR="007A7369" w:rsidRDefault="00000000">
      <w:pPr>
        <w:spacing w:after="140" w:line="276" w:lineRule="auto"/>
      </w:pPr>
      <w:r>
        <w:t xml:space="preserve">Este é o resultado da passada única: cerca de </w:t>
      </w:r>
      <w:r>
        <w:rPr>
          <w:b/>
          <w:bCs/>
        </w:rPr>
        <w:t>35 campos</w:t>
      </w:r>
      <w:r>
        <w:t xml:space="preserve"> organizados em blocos. Cada campo é um output reaproveitável por um ou mais abusos. Todos saem com valor normalizado, confiança e proveniência.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60"/>
        <w:gridCol w:w="2800"/>
      </w:tblGrid>
      <w:tr w:rsidR="007A7369" w14:paraId="36986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58A71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Bloco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CF994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 extraído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F6527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Abusos servidos</w:t>
            </w:r>
          </w:p>
        </w:tc>
      </w:tr>
      <w:tr w:rsidR="007A7369" w14:paraId="327656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959CC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Identificação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6B329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tipo_contrato (pessoal / consignado / CDC / veículo / imóvel)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413BF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AB02, AB04</w:t>
            </w:r>
          </w:p>
        </w:tc>
      </w:tr>
      <w:tr w:rsidR="007A7369" w14:paraId="44C63F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C330B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ECE32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credor_nome_cnpj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8F330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AB11, AB22</w:t>
            </w:r>
          </w:p>
        </w:tc>
      </w:tr>
      <w:tr w:rsidR="007A7369" w14:paraId="4EB23B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DD9AD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4704F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data_assinatura (mês/ano)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52B7E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AB07, AB10, AB16, AB17</w:t>
            </w:r>
          </w:p>
        </w:tc>
      </w:tr>
      <w:tr w:rsidR="007A7369" w14:paraId="3086A3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C60A3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41EBC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canal (digital / físico)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C041C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AB02, AB21</w:t>
            </w:r>
          </w:p>
        </w:tc>
      </w:tr>
      <w:tr w:rsidR="007A7369" w14:paraId="3CECE7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8285E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1712A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numero_contrato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F625B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apoio</w:t>
            </w:r>
          </w:p>
        </w:tc>
      </w:tr>
      <w:tr w:rsidR="007A7369" w14:paraId="44C6D9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B98F5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Valores e custo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7EA90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valor_financiado (principal)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E5DF2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AB08, AB09, AB30</w:t>
            </w:r>
          </w:p>
        </w:tc>
      </w:tr>
      <w:tr w:rsidR="007A7369" w14:paraId="7516EA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9E311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8C318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nº_parcelas, valor_parcela, datas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120DE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AB08, AB09</w:t>
            </w:r>
          </w:p>
        </w:tc>
      </w:tr>
      <w:tr w:rsidR="007A7369" w14:paraId="6A2EE2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C4699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D253D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CET_declarado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A5DD7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AB02, AB08, AB09</w:t>
            </w:r>
          </w:p>
        </w:tc>
      </w:tr>
      <w:tr w:rsidR="007A7369" w14:paraId="3B7EDE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BFAEA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5A82B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CET_destacado? (clareza visual)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14633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AB08</w:t>
            </w:r>
          </w:p>
        </w:tc>
      </w:tr>
      <w:tr w:rsidR="007A7369" w14:paraId="7DF09E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7FBE1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69904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APR_declarado (digital pós-2022)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903B8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AB02</w:t>
            </w:r>
          </w:p>
        </w:tc>
      </w:tr>
      <w:tr w:rsidR="007A7369" w14:paraId="3D0E7F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93382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9C0A4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taxa_juros_mensal_nominal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30392F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AB02, AB03</w:t>
            </w:r>
          </w:p>
        </w:tc>
      </w:tr>
      <w:tr w:rsidR="007A7369" w14:paraId="43C47D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425B8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7E687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taxa_juros_anual_nominal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38510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AB03</w:t>
            </w:r>
          </w:p>
        </w:tc>
      </w:tr>
      <w:tr w:rsidR="007A7369" w14:paraId="65A7B3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5A9D5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Cláusulas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14950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capitalização — presente? + tipo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66258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AB03</w:t>
            </w:r>
          </w:p>
        </w:tc>
      </w:tr>
      <w:tr w:rsidR="007A7369" w14:paraId="43C927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CD2D7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1708D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juros_mora — presente? + %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7A106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AB04</w:t>
            </w:r>
          </w:p>
        </w:tc>
      </w:tr>
      <w:tr w:rsidR="007A7369" w14:paraId="367E0D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93F17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617BE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multa_mora — presente? + %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9AB51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AB05</w:t>
            </w:r>
          </w:p>
        </w:tc>
      </w:tr>
      <w:tr w:rsidR="007A7369" w14:paraId="3E2153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3281D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6A205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comissão_permanência — presente?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29094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AB06, AB07</w:t>
            </w:r>
          </w:p>
        </w:tc>
      </w:tr>
      <w:tr w:rsidR="007A7369" w14:paraId="414220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AED73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4160B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liquidação_antecipada — penalidade?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E5F7D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AB14</w:t>
            </w:r>
          </w:p>
        </w:tc>
      </w:tr>
      <w:tr w:rsidR="007A7369" w14:paraId="1DF813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0D241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EDE88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mandato / procuração — presente?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BD5DC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AB35</w:t>
            </w:r>
          </w:p>
        </w:tc>
      </w:tr>
      <w:tr w:rsidR="007A7369" w14:paraId="0FC006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60AF5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Tarifas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F3B02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TAC, TEC — presente? + valor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7AC0B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AB10</w:t>
            </w:r>
          </w:p>
        </w:tc>
      </w:tr>
      <w:tr w:rsidR="007A7369" w14:paraId="6A9D27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AFFCA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3D628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tarifa_cadastro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B73FB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AB11</w:t>
            </w:r>
          </w:p>
        </w:tc>
      </w:tr>
      <w:tr w:rsidR="007A7369" w14:paraId="7DEBF8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2E4A7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A9663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tarifa_avaliação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824E3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AB12</w:t>
            </w:r>
          </w:p>
        </w:tc>
      </w:tr>
      <w:tr w:rsidR="007A7369" w14:paraId="647C8A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860A0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FC87F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tarifa_registro / gravame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B78F8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AB12</w:t>
            </w:r>
          </w:p>
        </w:tc>
      </w:tr>
      <w:tr w:rsidR="007A7369" w14:paraId="42ECF5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78EFC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51F75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outras_tarifas[] (nome + valor, nomes camuflados)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49109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AB13</w:t>
            </w:r>
          </w:p>
        </w:tc>
      </w:tr>
      <w:tr w:rsidR="007A7369" w14:paraId="3BA124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9A3EAD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Acessórios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32F3E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seguro — presente? + tipo + adesão_separada? + data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8206F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AB16, AB17</w:t>
            </w:r>
          </w:p>
        </w:tc>
      </w:tr>
      <w:tr w:rsidR="007A7369" w14:paraId="636988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01B5A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61A5F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outros_acessórios[] (capitalização/consórcio/cartão) + data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E7DB5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AB17</w:t>
            </w:r>
          </w:p>
        </w:tc>
      </w:tr>
      <w:tr w:rsidR="007A7369" w14:paraId="3CD52B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F5110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Garantia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5B890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tipo (alienação fiduciária) + bem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65FC8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AB12, AB38</w:t>
            </w:r>
          </w:p>
        </w:tc>
      </w:tr>
      <w:tr w:rsidR="007A7369" w14:paraId="04AFC4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9C2F9" w14:textId="77777777" w:rsidR="007A7369" w:rsidRDefault="007A7369">
            <w:pPr>
              <w:spacing w:line="252" w:lineRule="auto"/>
            </w:pP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9A19A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data_registro_CRI (imóvel)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94DEF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AB39</w:t>
            </w:r>
          </w:p>
        </w:tc>
      </w:tr>
      <w:tr w:rsidR="007A7369" w14:paraId="289EBD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1953F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Autenticidade</w:t>
            </w:r>
          </w:p>
        </w:tc>
        <w:tc>
          <w:tcPr>
            <w:tcW w:w="46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787AC" w14:textId="77777777" w:rsidR="007A7369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assinatura_tipo + assinatura_cliente_presente?</w:t>
            </w:r>
          </w:p>
        </w:tc>
        <w:tc>
          <w:tcPr>
            <w:tcW w:w="2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4F1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CC002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AB21</w:t>
            </w:r>
          </w:p>
        </w:tc>
      </w:tr>
    </w:tbl>
    <w:p w14:paraId="6CCA81DD" w14:textId="77777777" w:rsidR="007A7369" w:rsidRDefault="007A73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1A01A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A1A1A"/>
            </w:tcBorders>
            <w:shd w:val="clear" w:color="auto" w:fill="F1F1F4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2FE4E430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O que NÃO sai do contrato</w:t>
            </w:r>
          </w:p>
          <w:p w14:paraId="7B12C44D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Não esperar desta passada: </w:t>
            </w:r>
            <w:r>
              <w:rPr>
                <w:b/>
                <w:bCs/>
                <w:sz w:val="19"/>
                <w:szCs w:val="19"/>
              </w:rPr>
              <w:t>série BACEN, extratos/faturas, SCR, holerite/MeuINSS, apólice, laudo de avaliação e logs de biometria/IP</w:t>
            </w:r>
            <w:r>
              <w:rPr>
                <w:sz w:val="19"/>
                <w:szCs w:val="19"/>
              </w:rPr>
              <w:t>. São as bases de confrontação — entram no motor de regras, não na leitura do contrato.</w:t>
            </w:r>
          </w:p>
        </w:tc>
      </w:tr>
    </w:tbl>
    <w:p w14:paraId="4C715DFB" w14:textId="77777777" w:rsidR="007A7369" w:rsidRDefault="007A7369">
      <w:pPr>
        <w:spacing w:after="60"/>
      </w:pPr>
    </w:p>
    <w:p w14:paraId="342F46FE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07 — VERIFICAÇÃO</w:t>
      </w:r>
    </w:p>
    <w:p w14:paraId="14C34BD4" w14:textId="77777777" w:rsidR="007A7369" w:rsidRDefault="00000000">
      <w:pPr>
        <w:pStyle w:val="Heading1"/>
      </w:pPr>
      <w:r>
        <w:t>Como o motor confere cada abuso</w:t>
      </w:r>
    </w:p>
    <w:p w14:paraId="2340B76B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04C94E94" w14:textId="77777777" w:rsidR="007A7369" w:rsidRDefault="00000000">
      <w:pPr>
        <w:spacing w:after="140" w:line="276" w:lineRule="auto"/>
      </w:pPr>
      <w:r>
        <w:t xml:space="preserve">A tabela mostra a divisão de trabalho: o que a </w:t>
      </w:r>
      <w:r>
        <w:rPr>
          <w:b/>
          <w:bCs/>
        </w:rPr>
        <w:t>IA julga na extração</w:t>
      </w:r>
      <w:r>
        <w:t xml:space="preserve"> (Camada 1) e a </w:t>
      </w:r>
      <w:r>
        <w:rPr>
          <w:b/>
          <w:bCs/>
        </w:rPr>
        <w:t>regra determinística</w:t>
      </w:r>
      <w:r>
        <w:t xml:space="preserve"> que roda depois (Camada 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2860"/>
        <w:gridCol w:w="3520"/>
        <w:gridCol w:w="1800"/>
      </w:tblGrid>
      <w:tr w:rsidR="007A7369" w14:paraId="739C9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83AEA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Abuso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8F0DC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IA extrai (Camada 1)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CF732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 determinística (Camada 2)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1A1A1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419BE" w14:textId="77777777" w:rsidR="007A736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Base externa</w:t>
            </w:r>
          </w:p>
        </w:tc>
      </w:tr>
      <w:tr w:rsidR="007A7369" w14:paraId="4A069172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F6FD1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AB03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194F2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taxas mensal/anual; cláusula expressa?; contraparte é IF?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BD098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anual &gt; mensal×12 +0,1pp → há capitalização; sem cláusula → indício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E3867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747E91D8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6ADEF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AB04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B9CC4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% de mora; tipo de contrato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9D71B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% vs 1% a.m. (ajustado pelo regime do tipo)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E00B9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224AB89D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E071A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AB05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33F0B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% de multa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67798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% vs 2% (Lei 9.298/96)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6B997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3A0C6EA9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921F3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AB07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8229F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data; cláusula presente?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50236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 ≥ 01/09/2017 + cláusula → indício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279EE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1A99B0A7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E2303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AB10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1E6DB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data; tarifas (normalizar nomes camuflados)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2454F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 &gt; 30/04/2008 + tarifa → indício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9DB29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1D880688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ABAB5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AB14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96288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cláusula de penalidade?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5DEC2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presença → indício (CDC 52 §2º)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FB322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36A628B7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F4775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AB35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501E2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cláusula de mandato?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625A7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presença → indício (Súm. 60/STJ)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EAF3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F3662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—</w:t>
            </w:r>
          </w:p>
        </w:tc>
      </w:tr>
      <w:tr w:rsidR="007A7369" w14:paraId="48BDE607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4C987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AB02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3F9BC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CET; modalidade canônica; data; APR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09C41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JOIN BACEN(modalidade, mês/ano); CET &gt; 1,5× média → indício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74639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série BACEN</w:t>
            </w:r>
          </w:p>
        </w:tc>
      </w:tr>
      <w:tr w:rsidR="007A7369" w14:paraId="4ABAA44A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E74E8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AB11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7C45E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tarifa de cadastro presente?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52D0F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JOIN SCR: há contrato anterior no mesmo banco?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E42EF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SCR</w:t>
            </w:r>
          </w:p>
        </w:tc>
      </w:tr>
      <w:tr w:rsidR="007A7369" w14:paraId="2D071134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D8B8A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AB08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F131C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CET declarado; está destacado?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CFB41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CET ausente/não destacado → indício (parte contrato-only)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FBD89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extrato</w:t>
            </w:r>
          </w:p>
        </w:tc>
      </w:tr>
      <w:tr w:rsidR="007A7369" w14:paraId="77EDA6DB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BC90B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AB12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C539C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tarifa de avaliação presente?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04C62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presença sinaliza; validade exige laudo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F2BBC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laudo</w:t>
            </w:r>
          </w:p>
        </w:tc>
      </w:tr>
      <w:tr w:rsidR="007A7369" w14:paraId="7D304758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71E69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AB16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68FEA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seguro?; data; adesão separada?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BE1E4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data_contrato = data_seguro → indício (Tema 972)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5D886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apólice/holerite</w:t>
            </w:r>
          </w:p>
        </w:tc>
      </w:tr>
      <w:tr w:rsidR="007A7369" w14:paraId="1BADD122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E03CA" w14:textId="77777777" w:rsidR="007A736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AB17</w:t>
            </w:r>
          </w:p>
        </w:tc>
        <w:tc>
          <w:tcPr>
            <w:tcW w:w="286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429C9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acessório?; data</w:t>
            </w:r>
          </w:p>
        </w:tc>
        <w:tc>
          <w:tcPr>
            <w:tcW w:w="352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3CFD8" w14:textId="77777777" w:rsidR="007A7369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mesma data + sem contrato próprio → indício</w:t>
            </w:r>
          </w:p>
        </w:tc>
        <w:tc>
          <w:tcPr>
            <w:tcW w:w="1800" w:type="dxa"/>
            <w:tcBorders>
              <w:top w:val="single" w:sz="2" w:space="0" w:color="D8D2CB"/>
              <w:left w:val="single" w:sz="2" w:space="0" w:color="D8D2CB"/>
              <w:bottom w:val="single" w:sz="2" w:space="0" w:color="D8D2CB"/>
              <w:right w:val="single" w:sz="2" w:space="0" w:color="D8D2CB"/>
            </w:tcBorders>
            <w:shd w:val="clear" w:color="auto" w:fill="FBF1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98AC8" w14:textId="77777777" w:rsidR="007A7369" w:rsidRDefault="00000000">
            <w:pPr>
              <w:spacing w:line="252" w:lineRule="auto"/>
            </w:pPr>
            <w:r>
              <w:rPr>
                <w:color w:val="6B6B6B"/>
                <w:sz w:val="17"/>
                <w:szCs w:val="17"/>
              </w:rPr>
              <w:t>contrato acessório</w:t>
            </w:r>
          </w:p>
        </w:tc>
      </w:tr>
    </w:tbl>
    <w:p w14:paraId="763CBAD9" w14:textId="77777777" w:rsidR="007A7369" w:rsidRDefault="007A7369">
      <w:pPr>
        <w:spacing w:after="50"/>
      </w:pPr>
    </w:p>
    <w:p w14:paraId="12D90B33" w14:textId="77777777" w:rsidR="007A7369" w:rsidRDefault="00000000">
      <w:pPr>
        <w:pStyle w:val="Heading2"/>
      </w:pPr>
      <w:r>
        <w:t>Dois exemplos ponta a ponta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05E27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7D46"/>
            </w:tcBorders>
            <w:shd w:val="clear" w:color="auto" w:fill="EAF3EC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2B8F5A74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AB03 — Capitalização (só o contrato)</w:t>
            </w:r>
          </w:p>
          <w:p w14:paraId="358DCD16" w14:textId="77777777" w:rsidR="007A7369" w:rsidRDefault="00000000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Extração (IA): </w:t>
            </w:r>
            <w:r>
              <w:rPr>
                <w:i/>
                <w:iCs/>
                <w:sz w:val="19"/>
                <w:szCs w:val="19"/>
              </w:rPr>
              <w:t>{ taxa_mensal: 3,2 · taxa_anual: 46,1 · capitalizacao_expressa: false · contraparte_IF: true }</w:t>
            </w:r>
          </w:p>
          <w:p w14:paraId="1C01A0A2" w14:textId="77777777" w:rsidR="007A7369" w:rsidRDefault="00000000">
            <w:pPr>
              <w:spacing w:after="60" w:line="264" w:lineRule="auto"/>
            </w:pPr>
            <w:r>
              <w:rPr>
                <w:sz w:val="19"/>
                <w:szCs w:val="19"/>
              </w:rPr>
              <w:t>Motor: 46,1 &gt; 3,2×12 (=38,4)? sim → há capitalização. Cláusula expressa? não → indício de anatocismo.</w:t>
            </w:r>
          </w:p>
          <w:p w14:paraId="057C1FF3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 xml:space="preserve">Custo de verificação: uma multiplicação e dois </w:t>
            </w:r>
            <w:r>
              <w:rPr>
                <w:i/>
                <w:iCs/>
                <w:sz w:val="19"/>
                <w:szCs w:val="19"/>
              </w:rPr>
              <w:t>if</w:t>
            </w:r>
            <w:r>
              <w:rPr>
                <w:b/>
                <w:bCs/>
                <w:sz w:val="19"/>
                <w:szCs w:val="19"/>
              </w:rPr>
              <w:t>. Sem IA.</w:t>
            </w:r>
          </w:p>
        </w:tc>
      </w:tr>
      <w:tr w:rsidR="007A7369" w14:paraId="370E3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0392B"/>
            </w:tcBorders>
            <w:shd w:val="clear" w:color="auto" w:fill="FBF1E6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5B0242A0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lastRenderedPageBreak/>
              <w:t>AB02 — Juros remuneratórios (contrato + BACEN)</w:t>
            </w:r>
          </w:p>
          <w:p w14:paraId="00C2DE74" w14:textId="77777777" w:rsidR="007A7369" w:rsidRDefault="00000000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Extração (IA): </w:t>
            </w:r>
            <w:r>
              <w:rPr>
                <w:i/>
                <w:iCs/>
                <w:sz w:val="19"/>
                <w:szCs w:val="19"/>
              </w:rPr>
              <w:t>{ CET: 8,9 · modalidade: crédito_pessoal_não_consignado · data: 2024-03 }</w:t>
            </w:r>
          </w:p>
          <w:p w14:paraId="4EDCB1F3" w14:textId="77777777" w:rsidR="007A7369" w:rsidRDefault="00000000">
            <w:pPr>
              <w:spacing w:after="60" w:line="264" w:lineRule="auto"/>
            </w:pPr>
            <w:r>
              <w:rPr>
                <w:sz w:val="19"/>
                <w:szCs w:val="19"/>
              </w:rPr>
              <w:t>Motor: média_BACEN[modalidade, 2024-03] = 5,1; 8,9 &gt; 1,5×5,1 (=7,65)? sim → indício substancial (Súm. 382).</w:t>
            </w:r>
          </w:p>
          <w:p w14:paraId="03A39EC2" w14:textId="77777777" w:rsidR="007A7369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Custo: um JOIN e uma comparação. Sem IA.</w:t>
            </w:r>
          </w:p>
        </w:tc>
      </w:tr>
    </w:tbl>
    <w:p w14:paraId="368DB7BE" w14:textId="77777777" w:rsidR="007A7369" w:rsidRDefault="007A7369">
      <w:pPr>
        <w:spacing w:after="60"/>
      </w:pPr>
    </w:p>
    <w:p w14:paraId="75CECF5C" w14:textId="77777777" w:rsidR="007A7369" w:rsidRDefault="007A7369">
      <w:pPr>
        <w:pageBreakBefore/>
      </w:pPr>
    </w:p>
    <w:p w14:paraId="19F5E660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08 — GOVERNANÇA</w:t>
      </w:r>
    </w:p>
    <w:p w14:paraId="09939E36" w14:textId="77777777" w:rsidR="007A7369" w:rsidRDefault="00000000">
      <w:pPr>
        <w:pStyle w:val="Heading1"/>
      </w:pPr>
      <w:r>
        <w:t>O que sustenta o modelo</w:t>
      </w:r>
    </w:p>
    <w:p w14:paraId="7F292CF8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69AF1E80" w14:textId="77777777" w:rsidR="007A7369" w:rsidRDefault="00000000">
      <w:pPr>
        <w:spacing w:after="140" w:line="276" w:lineRule="auto"/>
      </w:pPr>
      <w:r>
        <w:t xml:space="preserve">O barateamento depende de quatro coisas — todas de </w:t>
      </w:r>
      <w:r>
        <w:rPr>
          <w:b/>
          <w:bCs/>
        </w:rPr>
        <w:t>manutenção, não de IA</w:t>
      </w:r>
      <w:r>
        <w:t>:</w:t>
      </w:r>
    </w:p>
    <w:p w14:paraId="7E3210CD" w14:textId="77777777" w:rsidR="007A7369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</w:rPr>
        <w:t xml:space="preserve">Tabela de parâmetros versionada por data. </w:t>
      </w:r>
      <w:r>
        <w:t>É o coração e o ponto frágil. Limites mudam — multa 2%, mora 1%, cheque 8%, teto de 100% do rotativo (desde 03/01/2024), margens do consignado da MP 1.355/2026 com cronograma até 2031, datas de corte de TAC/TEC e comissão de permanência. É uma tabela de parâmetros legais datada, mantida pelo escritório. Se estiver errada, o motor erra com confiança — por isso merece governança formal.</w:t>
      </w:r>
    </w:p>
    <w:p w14:paraId="61BB95C9" w14:textId="77777777" w:rsidR="007A7369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</w:rPr>
        <w:t xml:space="preserve">Vocabulário canônico de enums. </w:t>
      </w:r>
      <w:r>
        <w:t>tipo_contrato e modalidade precisam ser idênticos na extração e na planilha BACEN, senão o JOIN do AB02 fura. Definir o vocabulário antes de tudo.</w:t>
      </w:r>
    </w:p>
    <w:p w14:paraId="746E2FE2" w14:textId="77777777" w:rsidR="007A7369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</w:rPr>
        <w:t xml:space="preserve">Coluna “Armadilhas” como suíte de testes. </w:t>
      </w:r>
      <w:r>
        <w:t>Cada armadilha do manual (confundir parcela regular com duplicidade, % de multa com % de juros) vira um caso de regressão que o motor não pode errar — vários são exatamente onde uma extração mal-normalizada quebraria.</w:t>
      </w:r>
    </w:p>
    <w:p w14:paraId="422FF892" w14:textId="77777777" w:rsidR="007A7369" w:rsidRDefault="00000000">
      <w:pPr>
        <w:pStyle w:val="ListParagraph"/>
        <w:numPr>
          <w:ilvl w:val="0"/>
          <w:numId w:val="3"/>
        </w:numPr>
        <w:spacing w:after="80" w:line="270" w:lineRule="auto"/>
      </w:pPr>
      <w:r>
        <w:rPr>
          <w:b/>
          <w:bCs/>
        </w:rPr>
        <w:t xml:space="preserve">Assinatura escala para humano. </w:t>
      </w:r>
      <w:r>
        <w:t>A autenticidade da assinatura (AB21) é o único ponto que a IA não fecha: exige grafotécnica ou logs de biometria/IP. A extração emite as flags e encaminha para revisão — nunca decide sozinha.</w:t>
      </w:r>
    </w:p>
    <w:p w14:paraId="455FE277" w14:textId="77777777" w:rsidR="007A7369" w:rsidRDefault="007A73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17404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0392B"/>
            </w:tcBorders>
            <w:shd w:val="clear" w:color="auto" w:fill="F4F1EC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0A7FB884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t>Princípio de escalonamento</w:t>
            </w:r>
          </w:p>
          <w:p w14:paraId="60D645CA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Confiança baixa nunca vira indício automático. O gate de confiança espelha os níveis do manual (Baixa → IA decide; Crítica → coleta e escala imediatamente). O motor entrega o indício, a referência normativa e a proveniência; a confirmação de que há abuso bancário é do advogado.</w:t>
            </w:r>
          </w:p>
        </w:tc>
      </w:tr>
    </w:tbl>
    <w:p w14:paraId="18B6FC25" w14:textId="77777777" w:rsidR="007A7369" w:rsidRDefault="007A7369">
      <w:pPr>
        <w:spacing w:after="60"/>
      </w:pPr>
    </w:p>
    <w:p w14:paraId="3EF3C7D8" w14:textId="77777777" w:rsidR="007A7369" w:rsidRDefault="00000000">
      <w:pPr>
        <w:spacing w:after="60"/>
      </w:pPr>
      <w:r>
        <w:rPr>
          <w:b/>
          <w:bCs/>
          <w:color w:val="C0392B"/>
          <w:spacing w:val="30"/>
          <w:sz w:val="17"/>
          <w:szCs w:val="17"/>
        </w:rPr>
        <w:t>09 — EXECUÇÃO</w:t>
      </w:r>
    </w:p>
    <w:p w14:paraId="29469059" w14:textId="77777777" w:rsidR="007A7369" w:rsidRDefault="00000000">
      <w:pPr>
        <w:pStyle w:val="Heading1"/>
      </w:pPr>
      <w:r>
        <w:t>Próximos passos</w:t>
      </w:r>
    </w:p>
    <w:p w14:paraId="131C68DF" w14:textId="77777777" w:rsidR="007A7369" w:rsidRDefault="007A7369">
      <w:pPr>
        <w:pBdr>
          <w:bottom w:val="single" w:sz="14" w:space="1" w:color="C0392B"/>
        </w:pBdr>
        <w:spacing w:before="40" w:after="160"/>
      </w:pPr>
    </w:p>
    <w:p w14:paraId="43EFF1E0" w14:textId="77777777" w:rsidR="007A7369" w:rsidRDefault="00000000">
      <w:pPr>
        <w:spacing w:after="140" w:line="276" w:lineRule="auto"/>
      </w:pPr>
      <w:r>
        <w:t>Ordem sugerida — os três primeiros são o alicerce (vocabulário, schema e parâmetros); os demais dependem deles:</w:t>
      </w:r>
    </w:p>
    <w:p w14:paraId="671F076C" w14:textId="77777777" w:rsidR="007A7369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b/>
          <w:bCs/>
        </w:rPr>
        <w:t>Vocabulário canônico</w:t>
      </w:r>
      <w:r>
        <w:t xml:space="preserve"> — enums de tipo_contrato/modalidade alinhados ao BACEN e de status do motor.</w:t>
      </w:r>
    </w:p>
    <w:p w14:paraId="2C6CAD67" w14:textId="77777777" w:rsidR="007A7369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b/>
          <w:bCs/>
        </w:rPr>
        <w:t>Contrato de dados da Camada 1</w:t>
      </w:r>
      <w:r>
        <w:t xml:space="preserve"> — schema dos ~35 campos com tipo, se é julgado por IA ou literal, confiança e proveniência obrigatórias.</w:t>
      </w:r>
    </w:p>
    <w:p w14:paraId="604502DC" w14:textId="77777777" w:rsidR="007A7369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b/>
          <w:bCs/>
        </w:rPr>
        <w:t>Tabela de parâmetros datada</w:t>
      </w:r>
      <w:r>
        <w:t xml:space="preserve"> — limites legais com vigência.</w:t>
      </w:r>
    </w:p>
    <w:p w14:paraId="528BA5D6" w14:textId="77777777" w:rsidR="007A7369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b/>
          <w:bCs/>
        </w:rPr>
        <w:t>Prompt de extração</w:t>
      </w:r>
      <w:r>
        <w:t xml:space="preserve"> — uma passada, saída JSON validável.</w:t>
      </w:r>
    </w:p>
    <w:p w14:paraId="5265DC81" w14:textId="77777777" w:rsidR="007A7369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b/>
          <w:bCs/>
        </w:rPr>
        <w:t>Especificação do motor de regras</w:t>
      </w:r>
      <w:r>
        <w:t xml:space="preserve"> — uma função por abuso (Tier 1 e Tier 2).</w:t>
      </w:r>
    </w:p>
    <w:p w14:paraId="28C931EF" w14:textId="77777777" w:rsidR="007A7369" w:rsidRDefault="00000000">
      <w:pPr>
        <w:pStyle w:val="ListParagraph"/>
        <w:numPr>
          <w:ilvl w:val="0"/>
          <w:numId w:val="4"/>
        </w:numPr>
        <w:spacing w:after="80" w:line="270" w:lineRule="auto"/>
      </w:pPr>
      <w:r>
        <w:rPr>
          <w:b/>
          <w:bCs/>
        </w:rPr>
        <w:t>Conversão das “Armadilhas” em casos de teste.</w:t>
      </w:r>
    </w:p>
    <w:p w14:paraId="498D54F9" w14:textId="77777777" w:rsidR="007A7369" w:rsidRDefault="007A736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7369" w14:paraId="6D8654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0392B"/>
            </w:tcBorders>
            <w:shd w:val="clear" w:color="auto" w:fill="1A1A1A"/>
            <w:tcMar>
              <w:top w:w="130" w:type="dxa"/>
              <w:left w:w="200" w:type="dxa"/>
              <w:bottom w:w="130" w:type="dxa"/>
              <w:right w:w="180" w:type="dxa"/>
            </w:tcMar>
          </w:tcPr>
          <w:p w14:paraId="4E01A24F" w14:textId="77777777" w:rsidR="007A7369" w:rsidRDefault="00000000">
            <w:pPr>
              <w:spacing w:after="60"/>
            </w:pPr>
            <w:r>
              <w:rPr>
                <w:b/>
                <w:bCs/>
                <w:color w:val="8B271C"/>
                <w:sz w:val="19"/>
                <w:szCs w:val="19"/>
              </w:rPr>
              <w:lastRenderedPageBreak/>
              <w:t>Síntese para o time</w:t>
            </w:r>
          </w:p>
          <w:p w14:paraId="2FBC7FFA" w14:textId="77777777" w:rsidR="007A7369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 contrato é caro de ler, mas a maior parte da verificação é barata. Pagamos a leitura uma vez, transformamos o contrato num objeto de dados e deixamos o trabalho repetitivo com um motor determinístico. Com isso, 9 abusos ficam prontos de imediato e outros 14 ganham o contrato como peça necessária — sem reler nada.</w:t>
            </w:r>
          </w:p>
        </w:tc>
      </w:tr>
    </w:tbl>
    <w:p w14:paraId="5552E2A4" w14:textId="77777777" w:rsidR="007A7369" w:rsidRDefault="00000000">
      <w:pPr>
        <w:spacing w:before="60"/>
      </w:pPr>
      <w:r>
        <w:rPr>
          <w:color w:val="6B6B6B"/>
          <w:sz w:val="19"/>
          <w:szCs w:val="19"/>
        </w:rPr>
        <w:t>—</w:t>
      </w:r>
    </w:p>
    <w:sectPr w:rsidR="007A7369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C1659D" w14:textId="77777777" w:rsidR="00CD6290" w:rsidRDefault="00CD6290">
      <w:r>
        <w:separator/>
      </w:r>
    </w:p>
  </w:endnote>
  <w:endnote w:type="continuationSeparator" w:id="0">
    <w:p w14:paraId="1DB268AD" w14:textId="77777777" w:rsidR="00CD6290" w:rsidRDefault="00CD6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CF63C9" w14:textId="77777777" w:rsidR="007A7369" w:rsidRDefault="00000000">
    <w:pPr>
      <w:pBdr>
        <w:top w:val="single" w:sz="4" w:space="6" w:color="D8D2CB"/>
      </w:pBdr>
      <w:jc w:val="center"/>
    </w:pPr>
    <w:r>
      <w:rPr>
        <w:color w:val="6B6B6B"/>
        <w:sz w:val="16"/>
        <w:szCs w:val="16"/>
      </w:rPr>
      <w:t xml:space="preserve">BASTA · Verificação de Contratos de Crédito · Frente 1    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1B3545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59FE2B" w14:textId="77777777" w:rsidR="00CD6290" w:rsidRDefault="00CD6290">
      <w:r>
        <w:separator/>
      </w:r>
    </w:p>
  </w:footnote>
  <w:footnote w:type="continuationSeparator" w:id="0">
    <w:p w14:paraId="3763D33F" w14:textId="77777777" w:rsidR="00CD6290" w:rsidRDefault="00CD6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104F97"/>
    <w:multiLevelType w:val="hybridMultilevel"/>
    <w:tmpl w:val="35EE5EBC"/>
    <w:lvl w:ilvl="0" w:tplc="DD96786A">
      <w:start w:val="1"/>
      <w:numFmt w:val="decimal"/>
      <w:lvlText w:val="%1."/>
      <w:lvlJc w:val="left"/>
      <w:pPr>
        <w:ind w:left="460" w:hanging="300"/>
      </w:pPr>
    </w:lvl>
    <w:lvl w:ilvl="1" w:tplc="E116C0C8">
      <w:numFmt w:val="decimal"/>
      <w:lvlText w:val=""/>
      <w:lvlJc w:val="left"/>
    </w:lvl>
    <w:lvl w:ilvl="2" w:tplc="6CEAB340">
      <w:numFmt w:val="decimal"/>
      <w:lvlText w:val=""/>
      <w:lvlJc w:val="left"/>
    </w:lvl>
    <w:lvl w:ilvl="3" w:tplc="5380EEE6">
      <w:numFmt w:val="decimal"/>
      <w:lvlText w:val=""/>
      <w:lvlJc w:val="left"/>
    </w:lvl>
    <w:lvl w:ilvl="4" w:tplc="749C1BEA">
      <w:numFmt w:val="decimal"/>
      <w:lvlText w:val=""/>
      <w:lvlJc w:val="left"/>
    </w:lvl>
    <w:lvl w:ilvl="5" w:tplc="49140284">
      <w:numFmt w:val="decimal"/>
      <w:lvlText w:val=""/>
      <w:lvlJc w:val="left"/>
    </w:lvl>
    <w:lvl w:ilvl="6" w:tplc="EF645614">
      <w:numFmt w:val="decimal"/>
      <w:lvlText w:val=""/>
      <w:lvlJc w:val="left"/>
    </w:lvl>
    <w:lvl w:ilvl="7" w:tplc="95CA0A76">
      <w:numFmt w:val="decimal"/>
      <w:lvlText w:val=""/>
      <w:lvlJc w:val="left"/>
    </w:lvl>
    <w:lvl w:ilvl="8" w:tplc="CC46368A">
      <w:numFmt w:val="decimal"/>
      <w:lvlText w:val=""/>
      <w:lvlJc w:val="left"/>
    </w:lvl>
  </w:abstractNum>
  <w:abstractNum w:abstractNumId="1" w15:restartNumberingAfterBreak="0">
    <w:nsid w:val="2887088F"/>
    <w:multiLevelType w:val="hybridMultilevel"/>
    <w:tmpl w:val="05386D66"/>
    <w:lvl w:ilvl="0" w:tplc="5DBC68AE">
      <w:start w:val="1"/>
      <w:numFmt w:val="bullet"/>
      <w:lvlText w:val="●"/>
      <w:lvlJc w:val="left"/>
      <w:pPr>
        <w:ind w:left="720" w:hanging="360"/>
      </w:pPr>
    </w:lvl>
    <w:lvl w:ilvl="1" w:tplc="3682848E">
      <w:start w:val="1"/>
      <w:numFmt w:val="bullet"/>
      <w:lvlText w:val="○"/>
      <w:lvlJc w:val="left"/>
      <w:pPr>
        <w:ind w:left="1440" w:hanging="360"/>
      </w:pPr>
    </w:lvl>
    <w:lvl w:ilvl="2" w:tplc="A7842190">
      <w:start w:val="1"/>
      <w:numFmt w:val="bullet"/>
      <w:lvlText w:val="■"/>
      <w:lvlJc w:val="left"/>
      <w:pPr>
        <w:ind w:left="2160" w:hanging="360"/>
      </w:pPr>
    </w:lvl>
    <w:lvl w:ilvl="3" w:tplc="DDFA7C5C">
      <w:start w:val="1"/>
      <w:numFmt w:val="bullet"/>
      <w:lvlText w:val="●"/>
      <w:lvlJc w:val="left"/>
      <w:pPr>
        <w:ind w:left="2880" w:hanging="360"/>
      </w:pPr>
    </w:lvl>
    <w:lvl w:ilvl="4" w:tplc="64D4796C">
      <w:start w:val="1"/>
      <w:numFmt w:val="bullet"/>
      <w:lvlText w:val="○"/>
      <w:lvlJc w:val="left"/>
      <w:pPr>
        <w:ind w:left="3600" w:hanging="360"/>
      </w:pPr>
    </w:lvl>
    <w:lvl w:ilvl="5" w:tplc="985EFD48">
      <w:start w:val="1"/>
      <w:numFmt w:val="bullet"/>
      <w:lvlText w:val="■"/>
      <w:lvlJc w:val="left"/>
      <w:pPr>
        <w:ind w:left="4320" w:hanging="360"/>
      </w:pPr>
    </w:lvl>
    <w:lvl w:ilvl="6" w:tplc="482E7B0C">
      <w:start w:val="1"/>
      <w:numFmt w:val="bullet"/>
      <w:lvlText w:val="●"/>
      <w:lvlJc w:val="left"/>
      <w:pPr>
        <w:ind w:left="5040" w:hanging="360"/>
      </w:pPr>
    </w:lvl>
    <w:lvl w:ilvl="7" w:tplc="FE8E1D00">
      <w:start w:val="1"/>
      <w:numFmt w:val="bullet"/>
      <w:lvlText w:val="●"/>
      <w:lvlJc w:val="left"/>
      <w:pPr>
        <w:ind w:left="5760" w:hanging="360"/>
      </w:pPr>
    </w:lvl>
    <w:lvl w:ilvl="8" w:tplc="140456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513A74"/>
    <w:multiLevelType w:val="hybridMultilevel"/>
    <w:tmpl w:val="7ED656A8"/>
    <w:lvl w:ilvl="0" w:tplc="07AEE02C">
      <w:start w:val="1"/>
      <w:numFmt w:val="bullet"/>
      <w:lvlText w:val="—"/>
      <w:lvlJc w:val="left"/>
      <w:pPr>
        <w:ind w:left="460" w:hanging="260"/>
      </w:pPr>
    </w:lvl>
    <w:lvl w:ilvl="1" w:tplc="88B89B6E">
      <w:numFmt w:val="decimal"/>
      <w:lvlText w:val=""/>
      <w:lvlJc w:val="left"/>
    </w:lvl>
    <w:lvl w:ilvl="2" w:tplc="49A25B42">
      <w:numFmt w:val="decimal"/>
      <w:lvlText w:val=""/>
      <w:lvlJc w:val="left"/>
    </w:lvl>
    <w:lvl w:ilvl="3" w:tplc="7298CF62">
      <w:numFmt w:val="decimal"/>
      <w:lvlText w:val=""/>
      <w:lvlJc w:val="left"/>
    </w:lvl>
    <w:lvl w:ilvl="4" w:tplc="8E26B49E">
      <w:numFmt w:val="decimal"/>
      <w:lvlText w:val=""/>
      <w:lvlJc w:val="left"/>
    </w:lvl>
    <w:lvl w:ilvl="5" w:tplc="9D60049E">
      <w:numFmt w:val="decimal"/>
      <w:lvlText w:val=""/>
      <w:lvlJc w:val="left"/>
    </w:lvl>
    <w:lvl w:ilvl="6" w:tplc="87B46968">
      <w:numFmt w:val="decimal"/>
      <w:lvlText w:val=""/>
      <w:lvlJc w:val="left"/>
    </w:lvl>
    <w:lvl w:ilvl="7" w:tplc="53F2F71C">
      <w:numFmt w:val="decimal"/>
      <w:lvlText w:val=""/>
      <w:lvlJc w:val="left"/>
    </w:lvl>
    <w:lvl w:ilvl="8" w:tplc="9A9868EE">
      <w:numFmt w:val="decimal"/>
      <w:lvlText w:val=""/>
      <w:lvlJc w:val="left"/>
    </w:lvl>
  </w:abstractNum>
  <w:abstractNum w:abstractNumId="3" w15:restartNumberingAfterBreak="0">
    <w:nsid w:val="6919376B"/>
    <w:multiLevelType w:val="hybridMultilevel"/>
    <w:tmpl w:val="9178476C"/>
    <w:lvl w:ilvl="0" w:tplc="49824F98">
      <w:start w:val="1"/>
      <w:numFmt w:val="decimal"/>
      <w:lvlText w:val="%1."/>
      <w:lvlJc w:val="left"/>
      <w:pPr>
        <w:ind w:left="460" w:hanging="300"/>
      </w:pPr>
    </w:lvl>
    <w:lvl w:ilvl="1" w:tplc="EAD0D138">
      <w:numFmt w:val="decimal"/>
      <w:lvlText w:val=""/>
      <w:lvlJc w:val="left"/>
    </w:lvl>
    <w:lvl w:ilvl="2" w:tplc="E70EB364">
      <w:numFmt w:val="decimal"/>
      <w:lvlText w:val=""/>
      <w:lvlJc w:val="left"/>
    </w:lvl>
    <w:lvl w:ilvl="3" w:tplc="A542558E">
      <w:numFmt w:val="decimal"/>
      <w:lvlText w:val=""/>
      <w:lvlJc w:val="left"/>
    </w:lvl>
    <w:lvl w:ilvl="4" w:tplc="983A6E32">
      <w:numFmt w:val="decimal"/>
      <w:lvlText w:val=""/>
      <w:lvlJc w:val="left"/>
    </w:lvl>
    <w:lvl w:ilvl="5" w:tplc="DA906C52">
      <w:numFmt w:val="decimal"/>
      <w:lvlText w:val=""/>
      <w:lvlJc w:val="left"/>
    </w:lvl>
    <w:lvl w:ilvl="6" w:tplc="E1A8A4F2">
      <w:numFmt w:val="decimal"/>
      <w:lvlText w:val=""/>
      <w:lvlJc w:val="left"/>
    </w:lvl>
    <w:lvl w:ilvl="7" w:tplc="7A78DA34">
      <w:numFmt w:val="decimal"/>
      <w:lvlText w:val=""/>
      <w:lvlJc w:val="left"/>
    </w:lvl>
    <w:lvl w:ilvl="8" w:tplc="9E60422E">
      <w:numFmt w:val="decimal"/>
      <w:lvlText w:val=""/>
      <w:lvlJc w:val="left"/>
    </w:lvl>
  </w:abstractNum>
  <w:num w:numId="1" w16cid:durableId="1701281723">
    <w:abstractNumId w:val="1"/>
    <w:lvlOverride w:ilvl="0">
      <w:startOverride w:val="1"/>
    </w:lvlOverride>
  </w:num>
  <w:num w:numId="2" w16cid:durableId="1602911414">
    <w:abstractNumId w:val="2"/>
    <w:lvlOverride w:ilvl="0">
      <w:startOverride w:val="1"/>
    </w:lvlOverride>
  </w:num>
  <w:num w:numId="3" w16cid:durableId="2084523854">
    <w:abstractNumId w:val="3"/>
    <w:lvlOverride w:ilvl="0">
      <w:startOverride w:val="1"/>
    </w:lvlOverride>
  </w:num>
  <w:num w:numId="4" w16cid:durableId="1013798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369"/>
    <w:rsid w:val="001B3545"/>
    <w:rsid w:val="004917DB"/>
    <w:rsid w:val="007A7369"/>
    <w:rsid w:val="00CD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C5CAAA"/>
  <w15:docId w15:val="{9FFC03DC-1E58-B94E-96DD-3EC80691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8B271C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1965</Words>
  <Characters>10412</Characters>
  <Application>Microsoft Office Word</Application>
  <DocSecurity>0</DocSecurity>
  <Lines>366</Lines>
  <Paragraphs>224</Paragraphs>
  <ScaleCrop>false</ScaleCrop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Verificação de Contratos de Crédito — Frente 1</dc:title>
  <dc:creator>BASTA</dc:creator>
  <cp:lastModifiedBy>Eduardo A Vergueiro</cp:lastModifiedBy>
  <cp:revision>2</cp:revision>
  <dcterms:created xsi:type="dcterms:W3CDTF">2026-06-22T23:31:00Z</dcterms:created>
  <dcterms:modified xsi:type="dcterms:W3CDTF">2026-06-22T23:31:00Z</dcterms:modified>
</cp:coreProperties>
</file>