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rPr>
          <w:b/>
          <w:bCs/>
          <w:color w:val="000000"/>
          <w:sz w:val="56"/>
          <w:szCs w:val="56"/>
        </w:rPr>
        <w:t xml:space="preserve">Basta. — Highlights Visuais</w:t>
      </w:r>
    </w:p>
    <w:p>
      <w:pPr>
        <w:spacing w:after="480"/>
      </w:pPr>
      <w:r>
        <w:rPr>
          <w:color w:val="666666"/>
          <w:sz w:val="24"/>
          <w:szCs w:val="24"/>
        </w:rPr>
        <w:t xml:space="preserve">Layout e Copy Final | Sequência de Stories</w:t>
      </w:r>
    </w:p>
    <w:p>
      <w:pPr>
        <w:pStyle w:val="Heading1"/>
      </w:pPr>
      <w:r>
        <w:t xml:space="preserve">DESTAQUE 01: BASTA.</w:t>
      </w:r>
    </w:p>
    <w:p>
      <w:pPr>
        <w:spacing w:after="120"/>
      </w:pPr>
      <w:r>
        <w:rPr>
          <w:b/>
          <w:bCs/>
        </w:rPr>
        <w:t xml:space="preserve">Ícone/Visual na Bio:</w:t>
      </w:r>
      <w:r>
        <w:t xml:space="preserve"> Logo Basta. (marca)</w:t>
      </w:r>
    </w:p>
    <w:p>
      <w:pPr>
        <w:spacing w:after="240"/>
      </w:pPr>
      <w:r>
        <w:rPr>
          <w:b/>
          <w:bCs/>
        </w:rPr>
        <w:t xml:space="preserve">1 Story único (ou 2-3 se quiser detalhar):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000000" w:sz="1"/>
              <w:left w:val="single" w:color="000000" w:sz="1"/>
              <w:bottom w:val="single" w:color="000000" w:sz="1"/>
              <w:right w:val="single" w:color="000000" w:sz="1"/>
            </w:tcBorders>
            <w:shd w:fill="F5F5F5" w:val="clear"/>
            <w:tcMar>
              <w:top w:type="dxa" w:w="120"/>
              <w:left w:type="dxa" w:w="120"/>
              <w:bottom w:type="dxa" w:w="120"/>
              <w:right w:type="dxa" w:w="120"/>
            </w:tcMar>
          </w:tcPr>
          <w:p>
            <w:r>
              <w:rPr>
                <w:b/>
                <w:bCs/>
                <w:sz w:val="24"/>
                <w:szCs w:val="24"/>
              </w:rPr>
              <w:t xml:space="preserve">LAYOUT VISUAL</w:t>
            </w:r>
          </w:p>
        </w:tc>
        <w:tc>
          <w:tcPr>
            <w:tcBorders>
              <w:top w:val="single" w:color="000000" w:sz="1"/>
              <w:left w:val="single" w:color="000000" w:sz="1"/>
              <w:bottom w:val="single" w:color="000000" w:sz="1"/>
              <w:right w:val="single" w:color="000000" w:sz="1"/>
            </w:tcBorders>
            <w:shd w:fill="F5F5F5" w:val="clear"/>
            <w:tcMar>
              <w:top w:type="dxa" w:w="120"/>
              <w:left w:type="dxa" w:w="120"/>
              <w:bottom w:type="dxa" w:w="120"/>
              <w:right w:type="dxa" w:w="120"/>
            </w:tcMar>
          </w:tcPr>
          <w:p>
            <w:r>
              <w:rPr>
                <w:b/>
                <w:bCs/>
                <w:sz w:val="24"/>
                <w:szCs w:val="24"/>
              </w:rPr>
              <w:t xml:space="preserve">COPY</w:t>
            </w:r>
          </w:p>
        </w:tc>
      </w:tr>
      <w:tr>
        <w:tc>
          <w:tcPr>
            <w:tcBorders>
              <w:top w:val="single" w:color="000000" w:sz="1"/>
              <w:left w:val="single" w:color="000000" w:sz="1"/>
              <w:bottom w:val="single" w:color="000000" w:sz="1"/>
              <w:right w:val="single" w:color="000000" w:sz="1"/>
            </w:tcBorders>
            <w:tcMar>
              <w:top w:type="dxa" w:w="120"/>
              <w:left w:type="dxa" w:w="120"/>
              <w:bottom w:type="dxa" w:w="120"/>
              <w:right w:type="dxa" w:w="120"/>
            </w:tcMar>
          </w:tcPr>
          <w:p>
            <w:r>
              <w:t xml:space="preserve">Fundo: Preto (#1A1A1A)</w:t>
            </w:r>
          </w:p>
          <w:p>
            <w:pPr>
              <w:spacing w:after="80"/>
            </w:pPr>
            <w:r>
              <w:t xml:space="preserve"/>
            </w:r>
          </w:p>
          <w:p>
            <w:r>
              <w:t xml:space="preserve">Tipografia branca (Inter Bold)</w:t>
            </w:r>
          </w:p>
          <w:p>
            <w:pPr>
              <w:spacing w:after="80"/>
            </w:pPr>
            <w:r>
              <w:t xml:space="preserve"/>
            </w:r>
          </w:p>
          <w:p>
            <w:r>
              <w:t xml:space="preserve">Título grande:</w:t>
            </w:r>
          </w:p>
          <w:p>
            <w:r>
              <w:t xml:space="preserve">&amp;#x201C;Basta.&amp;#x201D;</w:t>
            </w:r>
          </w:p>
          <w:p>
            <w:pPr>
              <w:spacing w:after="80"/>
            </w:pPr>
            <w:r>
              <w:t xml:space="preserve"/>
            </w:r>
          </w:p>
          <w:p>
            <w:r>
              <w:t xml:space="preserve">Subtítulo (menor):</w:t>
            </w:r>
          </w:p>
          <w:p>
            <w:r>
              <w:t xml:space="preserve">&amp;#x201C;Somos uma plataforma de reestruturação financeira&amp;#x201D;</w:t>
            </w:r>
          </w:p>
        </w:tc>
        <w:tc>
          <w:tcPr>
            <w:tcBorders>
              <w:top w:val="single" w:color="000000" w:sz="1"/>
              <w:left w:val="single" w:color="000000" w:sz="1"/>
              <w:bottom w:val="single" w:color="000000" w:sz="1"/>
              <w:right w:val="single" w:color="000000" w:sz="1"/>
            </w:tcBorders>
            <w:tcMar>
              <w:top w:type="dxa" w:w="120"/>
              <w:left w:type="dxa" w:w="120"/>
              <w:bottom w:type="dxa" w:w="120"/>
              <w:right w:type="dxa" w:w="120"/>
            </w:tcMar>
          </w:tcPr>
          <w:p>
            <w:r>
              <w:t xml:space="preserve">Somos uma plataforma de reestruturação financeira para pessoas endividadas.
Construímos um caminho concreto para quem quer retomar a autonomia sobre suas finanças.
Você não paga nada antecipadamente, recebemos juntos quando encontramos ofertas de crédito mais vantajosas ou quando houver restituição de valores por reparação de abusos bancários. Transparente, sem letras miúdas.</w:t>
            </w:r>
          </w:p>
        </w:tc>
      </w:tr>
    </w:tbl>
    <w:p>
      <w:pPr>
        <w:spacing w:after="240" w:before="240"/>
      </w:pPr>
      <w:r>
        <w:t xml:space="preserve"/>
      </w:r>
    </w:p>
    <w:p>
      <w:pPr>
        <w:pStyle w:val="Heading1"/>
      </w:pPr>
      <w:r>
        <w:t xml:space="preserve">DESTAQUE 02: COMO FUNCIONA</w:t>
      </w:r>
    </w:p>
    <w:p>
      <w:pPr>
        <w:spacing w:after="120"/>
      </w:pPr>
      <w:r>
        <w:rPr>
          <w:b/>
          <w:bCs/>
        </w:rPr>
        <w:t xml:space="preserve">Ícone/Visual na Bio:</w:t>
      </w:r>
      <w:r>
        <w:t xml:space="preserve"> Ícone de engrenagem ou seta circular</w:t>
      </w:r>
    </w:p>
    <w:p>
      <w:pPr>
        <w:spacing w:after="240"/>
      </w:pPr>
      <w:r>
        <w:rPr>
          <w:b/>
          <w:bCs/>
        </w:rPr>
        <w:t xml:space="preserve">6 Stories (um para cada etapa):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000"/>
        <w:gridCol w:w="3960"/>
      </w:tblGrid>
      <w:tr>
        <w:tc>
          <w:tcPr>
            <w:tcBorders>
              <w:top w:val="single" w:color="000000" w:sz="1"/>
              <w:left w:val="single" w:color="000000" w:sz="1"/>
              <w:bottom w:val="single" w:color="000000" w:sz="1"/>
              <w:right w:val="single" w:color="000000" w:sz="1"/>
            </w:tcBorders>
            <w:shd w:fill="1a1a1a" w:val="clear"/>
            <w:tcMar>
              <w:top w:type="dxa" w:w="80"/>
              <w:left w:type="dxa" w:w="120"/>
              <w:bottom w:type="dxa" w:w="80"/>
              <w:right w:type="dxa" w:w="120"/>
            </w:tcMar>
          </w:tcPr>
          <w:p>
            <w:r>
              <w:rPr>
                <w:b/>
                <w:bCs/>
                <w:color w:val="FFFFFF"/>
              </w:rPr>
              <w:t xml:space="preserve">#</w:t>
            </w:r>
          </w:p>
        </w:tc>
        <w:tc>
          <w:tcPr>
            <w:tcBorders>
              <w:top w:val="single" w:color="000000" w:sz="1"/>
              <w:left w:val="single" w:color="000000" w:sz="1"/>
              <w:bottom w:val="single" w:color="000000" w:sz="1"/>
              <w:right w:val="single" w:color="000000" w:sz="1"/>
            </w:tcBorders>
            <w:shd w:fill="1a1a1a" w:val="clear"/>
            <w:tcMar>
              <w:top w:type="dxa" w:w="80"/>
              <w:left w:type="dxa" w:w="120"/>
              <w:bottom w:type="dxa" w:w="80"/>
              <w:right w:type="dxa" w:w="120"/>
            </w:tcMar>
          </w:tcPr>
          <w:p>
            <w:r>
              <w:rPr>
                <w:b/>
                <w:bCs/>
                <w:color w:val="FFFFFF"/>
              </w:rPr>
              <w:t xml:space="preserve">VISUAL</w:t>
            </w:r>
          </w:p>
        </w:tc>
        <w:tc>
          <w:tcPr>
            <w:tcBorders>
              <w:top w:val="single" w:color="000000" w:sz="1"/>
              <w:left w:val="single" w:color="000000" w:sz="1"/>
              <w:bottom w:val="single" w:color="000000" w:sz="1"/>
              <w:right w:val="single" w:color="000000" w:sz="1"/>
            </w:tcBorders>
            <w:shd w:fill="1a1a1a" w:val="clear"/>
            <w:tcMar>
              <w:top w:type="dxa" w:w="80"/>
              <w:left w:type="dxa" w:w="120"/>
              <w:bottom w:type="dxa" w:w="80"/>
              <w:right w:type="dxa" w:w="120"/>
            </w:tcMar>
          </w:tcPr>
          <w:p>
            <w:r>
              <w:rPr>
                <w:b/>
                <w:bCs/>
                <w:color w:val="FFFFFF"/>
              </w:rPr>
              <w:t xml:space="preserve">COPY</w:t>
            </w:r>
          </w:p>
        </w:tc>
      </w:tr>
      <w:tr>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r>
              <w:t xml:space="preserve">1</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r>
              <w:t xml:space="preserve">Fundo branco, ícone de celular conectado, número &amp;#x201C;1&amp;#x201D; grande</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b/>
                <w:bCs/>
              </w:rPr>
              <w:t xml:space="preserve">Conecte seus bancos via Open Finance</w:t>
            </w:r>
          </w:p>
          <w:p>
            <w:r>
              <w:t xml:space="preserve">Você autoriza a leitura dos seus dados bancários via Open Finance. Só leitura — sem movimentação.</w:t>
            </w:r>
          </w:p>
        </w:tc>
      </w:tr>
      <w:tr>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r>
              <w:t xml:space="preserve">2</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r>
              <w:t xml:space="preserve">Fundo branco, ícone de documentos/ferramentas, número &amp;#x201C;2&amp;#x201D; grande</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b/>
                <w:bCs/>
              </w:rPr>
              <w:t xml:space="preserve">Aja com instrumentos</w:t>
            </w:r>
          </w:p>
          <w:p>
            <w:r>
              <w:t xml:space="preserve">Receba documentos prontos e instruções claras de como usá-los para exigir explicações e registrar reclamações.</w:t>
            </w:r>
          </w:p>
        </w:tc>
      </w:tr>
      <w:tr>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r>
              <w:t xml:space="preserve">3</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r>
              <w:t xml:space="preserve">Fundo branco, ícone de gráfico/análise, número &amp;#x201C;3&amp;#x201D; grande</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b/>
                <w:bCs/>
              </w:rPr>
              <w:t xml:space="preserve">Entenda sua real situação</w:t>
            </w:r>
          </w:p>
          <w:p>
            <w:r>
              <w:t xml:space="preserve">Veja o que nunca te mostraram: quanto deve, para quem, quanto da sua renda está comprometida — e por quantos meses.</w:t>
            </w:r>
          </w:p>
        </w:tc>
      </w:tr>
      <w:tr>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r>
              <w:t xml:space="preserve">4</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r>
              <w:t xml:space="preserve">Fundo branco, ícone de taxa/valor, número &amp;#x201C;4&amp;#x201D; grande</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b/>
                <w:bCs/>
              </w:rPr>
              <w:t xml:space="preserve">Contrate seu crédito justo</w:t>
            </w:r>
          </w:p>
          <w:p>
            <w:r>
              <w:t xml:space="preserve">Tenha acesso às melhores condições de crédito disponíveis para você. Troque taxas altas pelas melhores taxas oferecidas no mercado.</w:t>
            </w:r>
          </w:p>
        </w:tc>
      </w:tr>
      <w:tr>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r>
              <w:t xml:space="preserve">5</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r>
              <w:t xml:space="preserve">Fundo branco, ícone de escudo/proteção, número &amp;#x201C;5&amp;#x201D; grande</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b/>
                <w:bCs/>
              </w:rPr>
              <w:t xml:space="preserve">Busque reparação de abusos</w:t>
            </w:r>
          </w:p>
          <w:p>
            <w:r>
              <w:t xml:space="preserve">Se o credor agiu de forma abusiva, receba apoio especializado para exigir reparação — do jeito certo.</w:t>
            </w:r>
          </w:p>
        </w:tc>
      </w:tr>
      <w:tr>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r>
              <w:t xml:space="preserve">6</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r>
              <w:t xml:space="preserve">Fundo branco, ícone de vitória/liberdade, número &amp;#x201C;6&amp;#x201D; grande</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b/>
                <w:bCs/>
              </w:rPr>
              <w:t xml:space="preserve">Tenha autonomia financeira</w:t>
            </w:r>
          </w:p>
          <w:p>
            <w:r>
              <w:t xml:space="preserve">Coloque suas dívidas em uma trajetória de pagamento real, com data para acabar. Retome o controle da sua vida financeira.</w:t>
            </w:r>
          </w:p>
        </w:tc>
      </w:tr>
    </w:tbl>
    <w:p>
      <w:pPr>
        <w:spacing w:after="240" w:before="240"/>
      </w:pPr>
      <w:r>
        <w:t xml:space="preserve"/>
      </w:r>
    </w:p>
    <w:p>
      <w:pPr>
        <w:pStyle w:val="Heading1"/>
      </w:pPr>
      <w:r>
        <w:t xml:space="preserve">DESTAQUE 03: OPEN FINANCE</w:t>
      </w:r>
    </w:p>
    <w:p>
      <w:pPr>
        <w:spacing w:after="120"/>
      </w:pPr>
      <w:r>
        <w:rPr>
          <w:b/>
          <w:bCs/>
        </w:rPr>
        <w:t xml:space="preserve">Ícone/Visual na Bio:</w:t>
      </w:r>
      <w:r>
        <w:t xml:space="preserve"> Ícone de cadeado ou conectividade</w:t>
      </w:r>
    </w:p>
    <w:p>
      <w:pPr>
        <w:spacing w:after="240"/>
      </w:pPr>
      <w:r>
        <w:rPr>
          <w:b/>
          <w:bCs/>
        </w:rPr>
        <w:t xml:space="preserve">1 Story único: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000000" w:sz="1"/>
              <w:left w:val="single" w:color="000000" w:sz="1"/>
              <w:bottom w:val="single" w:color="000000" w:sz="1"/>
              <w:right w:val="single" w:color="000000" w:sz="1"/>
            </w:tcBorders>
            <w:shd w:fill="F5F5F5" w:val="clear"/>
            <w:tcMar>
              <w:top w:type="dxa" w:w="120"/>
              <w:left w:type="dxa" w:w="120"/>
              <w:bottom w:type="dxa" w:w="120"/>
              <w:right w:type="dxa" w:w="120"/>
            </w:tcMar>
          </w:tcPr>
          <w:p>
            <w:r>
              <w:rPr>
                <w:b/>
                <w:bCs/>
                <w:sz w:val="24"/>
                <w:szCs w:val="24"/>
              </w:rPr>
              <w:t xml:space="preserve">LAYOUT VISUAL</w:t>
            </w:r>
          </w:p>
        </w:tc>
        <w:tc>
          <w:tcPr>
            <w:tcBorders>
              <w:top w:val="single" w:color="000000" w:sz="1"/>
              <w:left w:val="single" w:color="000000" w:sz="1"/>
              <w:bottom w:val="single" w:color="000000" w:sz="1"/>
              <w:right w:val="single" w:color="000000" w:sz="1"/>
            </w:tcBorders>
            <w:shd w:fill="F5F5F5" w:val="clear"/>
            <w:tcMar>
              <w:top w:type="dxa" w:w="120"/>
              <w:left w:type="dxa" w:w="120"/>
              <w:bottom w:type="dxa" w:w="120"/>
              <w:right w:type="dxa" w:w="120"/>
            </w:tcMar>
          </w:tcPr>
          <w:p>
            <w:r>
              <w:rPr>
                <w:b/>
                <w:bCs/>
                <w:sz w:val="24"/>
                <w:szCs w:val="24"/>
              </w:rPr>
              <w:t xml:space="preserve">COPY</w:t>
            </w:r>
          </w:p>
        </w:tc>
      </w:tr>
      <w:tr>
        <w:tc>
          <w:tcPr>
            <w:tcBorders>
              <w:top w:val="single" w:color="000000" w:sz="1"/>
              <w:left w:val="single" w:color="000000" w:sz="1"/>
              <w:bottom w:val="single" w:color="000000" w:sz="1"/>
              <w:right w:val="single" w:color="000000" w:sz="1"/>
            </w:tcBorders>
            <w:tcMar>
              <w:top w:type="dxa" w:w="120"/>
              <w:left w:type="dxa" w:w="120"/>
              <w:bottom w:type="dxa" w:w="120"/>
              <w:right w:type="dxa" w:w="120"/>
            </w:tcMar>
          </w:tcPr>
          <w:p>
            <w:r>
              <w:t xml:space="preserve">Fundo: Preto (#1A1A1A)</w:t>
            </w:r>
          </w:p>
          <w:p>
            <w:pPr>
              <w:spacing w:after="80"/>
            </w:pPr>
            <w:r>
              <w:t xml:space="preserve"/>
            </w:r>
          </w:p>
          <w:p>
            <w:r>
              <w:t xml:space="preserve">Ícone de cadeado/escudo no topo</w:t>
            </w:r>
          </w:p>
          <w:p>
            <w:pPr>
              <w:spacing w:after="80"/>
            </w:pPr>
            <w:r>
              <w:t xml:space="preserve"/>
            </w:r>
          </w:p>
          <w:p>
            <w:r>
              <w:t xml:space="preserve">Texto branco (Inter Regular)</w:t>
            </w:r>
          </w:p>
        </w:tc>
        <w:tc>
          <w:tcPr>
            <w:tcBorders>
              <w:top w:val="single" w:color="000000" w:sz="1"/>
              <w:left w:val="single" w:color="000000" w:sz="1"/>
              <w:bottom w:val="single" w:color="000000" w:sz="1"/>
              <w:right w:val="single" w:color="000000" w:sz="1"/>
            </w:tcBorders>
            <w:tcMar>
              <w:top w:type="dxa" w:w="120"/>
              <w:left w:type="dxa" w:w="120"/>
              <w:bottom w:type="dxa" w:w="120"/>
              <w:right w:type="dxa" w:w="120"/>
            </w:tcMar>
          </w:tcPr>
          <w:p>
            <w:r>
              <w:t xml:space="preserve">Seus dados bancários sendo usados a seu favor, pela primeira vez.
Ao conectar suas contas, você nos dá acesso de leitura — e nós desenvolvemos um diagnóstico completo da sua vida financeira.
Sem movimentação, sem risco.</w:t>
            </w:r>
          </w:p>
        </w:tc>
      </w:tr>
    </w:tbl>
    <w:p>
      <w:pPr>
        <w:spacing w:after="240" w:before="240"/>
      </w:pPr>
      <w:r>
        <w:t xml:space="preserve"/>
      </w:r>
    </w:p>
    <w:p>
      <w:pPr>
        <w:pStyle w:val="Heading1"/>
      </w:pPr>
      <w:r>
        <w:t xml:space="preserve">DESTAQUE 04: MANIFESTO</w:t>
      </w:r>
    </w:p>
    <w:p>
      <w:pPr>
        <w:spacing w:after="120"/>
      </w:pPr>
      <w:r>
        <w:rPr>
          <w:b/>
          <w:bCs/>
        </w:rPr>
        <w:t xml:space="preserve">Ícone/Visual na Bio:</w:t>
      </w:r>
      <w:r>
        <w:t xml:space="preserve"> Ícone de punho/força ou coração</w:t>
      </w:r>
    </w:p>
    <w:p>
      <w:pPr>
        <w:spacing w:after="240"/>
      </w:pPr>
      <w:r>
        <w:rPr>
          <w:b/>
          <w:bCs/>
        </w:rPr>
        <w:t xml:space="preserve">1 Story único (long-form 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000000" w:sz="1"/>
              <w:left w:val="single" w:color="000000" w:sz="1"/>
              <w:bottom w:val="single" w:color="000000" w:sz="1"/>
              <w:right w:val="single" w:color="000000" w:sz="1"/>
            </w:tcBorders>
            <w:shd w:fill="F5F5F5" w:val="clear"/>
            <w:tcMar>
              <w:top w:type="dxa" w:w="120"/>
              <w:left w:type="dxa" w:w="120"/>
              <w:bottom w:type="dxa" w:w="120"/>
              <w:right w:type="dxa" w:w="120"/>
            </w:tcMar>
          </w:tcPr>
          <w:p>
            <w:r>
              <w:rPr>
                <w:b/>
                <w:bCs/>
                <w:sz w:val="24"/>
                <w:szCs w:val="24"/>
              </w:rPr>
              <w:t xml:space="preserve">LAYOUT VISUAL</w:t>
            </w:r>
          </w:p>
        </w:tc>
        <w:tc>
          <w:tcPr>
            <w:tcBorders>
              <w:top w:val="single" w:color="000000" w:sz="1"/>
              <w:left w:val="single" w:color="000000" w:sz="1"/>
              <w:bottom w:val="single" w:color="000000" w:sz="1"/>
              <w:right w:val="single" w:color="000000" w:sz="1"/>
            </w:tcBorders>
            <w:shd w:fill="F5F5F5" w:val="clear"/>
            <w:tcMar>
              <w:top w:type="dxa" w:w="120"/>
              <w:left w:type="dxa" w:w="120"/>
              <w:bottom w:type="dxa" w:w="120"/>
              <w:right w:type="dxa" w:w="120"/>
            </w:tcMar>
          </w:tcPr>
          <w:p>
            <w:r>
              <w:rPr>
                <w:b/>
                <w:bCs/>
                <w:sz w:val="24"/>
                <w:szCs w:val="24"/>
              </w:rPr>
              <w:t xml:space="preserve">COPY</w:t>
            </w:r>
          </w:p>
        </w:tc>
      </w:tr>
      <w:tr>
        <w:tc>
          <w:tcPr>
            <w:tcBorders>
              <w:top w:val="single" w:color="000000" w:sz="1"/>
              <w:left w:val="single" w:color="000000" w:sz="1"/>
              <w:bottom w:val="single" w:color="000000" w:sz="1"/>
              <w:right w:val="single" w:color="000000" w:sz="1"/>
            </w:tcBorders>
            <w:tcMar>
              <w:top w:type="dxa" w:w="120"/>
              <w:left w:type="dxa" w:w="120"/>
              <w:bottom w:type="dxa" w:w="120"/>
              <w:right w:type="dxa" w:w="120"/>
            </w:tcMar>
          </w:tcPr>
          <w:p>
            <w:r>
              <w:t xml:space="preserve">Fundo: Branco/Off-white (#F5F3EF)</w:t>
            </w:r>
          </w:p>
          <w:p>
            <w:pPr>
              <w:spacing w:after="80"/>
            </w:pPr>
            <w:r>
              <w:t xml:space="preserve"/>
            </w:r>
          </w:p>
          <w:p>
            <w:r>
              <w:t xml:space="preserve">Tipografia preta (Inter Bold para título)</w:t>
            </w:r>
          </w:p>
          <w:p>
            <w:pPr>
              <w:spacing w:after="80"/>
            </w:pPr>
            <w:r>
              <w:t xml:space="preserve"/>
            </w:r>
          </w:p>
          <w:p>
            <w:r>
              <w:t xml:space="preserve">Espaço em branco generoso</w:t>
            </w:r>
          </w:p>
        </w:tc>
        <w:tc>
          <w:tcPr>
            <w:tcBorders>
              <w:top w:val="single" w:color="000000" w:sz="1"/>
              <w:left w:val="single" w:color="000000" w:sz="1"/>
              <w:bottom w:val="single" w:color="000000" w:sz="1"/>
              <w:right w:val="single" w:color="000000" w:sz="1"/>
            </w:tcBorders>
            <w:tcMar>
              <w:top w:type="dxa" w:w="120"/>
              <w:left w:type="dxa" w:w="120"/>
              <w:bottom w:type="dxa" w:w="120"/>
              <w:right w:type="dxa" w:w="120"/>
            </w:tcMar>
          </w:tcPr>
          <w:p>
            <w:pPr>
              <w:spacing w:after="120"/>
            </w:pPr>
            <w:r>
              <w:rPr>
                <w:b/>
                <w:bCs/>
                <w:sz w:val="28"/>
                <w:szCs w:val="28"/>
              </w:rPr>
              <w:t xml:space="preserve">Crédito deve libertar, não aprisionar.</w:t>
            </w:r>
          </w:p>
          <w:p>
            <w:pPr>
              <w:spacing w:after="120"/>
            </w:pPr>
            <w:r>
              <w:t xml:space="preserve">O sistema de crédito brasileiro captura pessoas comuns, consome sua renda e as mantém presas no modo de sobrevivência.</w:t>
            </w:r>
          </w:p>
          <w:p>
            <w:pPr>
              <w:spacing w:after="120"/>
            </w:pPr>
            <w:r>
              <w:t xml:space="preserve">Existimos para que essas pessoas renegociem em igualdade de condições e se libertem da prisão do endividamento. Para que paguem o justo. Para que coloquem as dívidas em trajetória de pagamento real. Para recuperar o que foi pago a mais.</w:t>
            </w:r>
          </w:p>
          <w:p>
            <w:pPr>
              <w:spacing w:after="120"/>
            </w:pPr>
            <w:r>
              <w:t xml:space="preserve">Basta. é a primeira plataforma construída para lutar ao lado de quem deve — para trazer equilíbrio às relações financeiras.</w:t>
            </w:r>
          </w:p>
          <w:p>
            <w:pPr>
              <w:spacing w:after="80"/>
            </w:pPr>
            <w:r>
              <w:t xml:space="preserve"/>
            </w:r>
          </w:p>
          <w:p>
            <w:r>
              <w:rPr>
                <w:b/>
                <w:bCs/>
                <w:color w:val="42b449"/>
                <w:sz w:val="24"/>
                <w:szCs w:val="24"/>
              </w:rPr>
              <w:t xml:space="preserve">Quem deve, merece um caminho justo para sair.</w:t>
            </w:r>
          </w:p>
          <w:p>
            <w:pPr>
              <w:spacing w:after="80"/>
            </w:pPr>
            <w:r>
              <w:t xml:space="preserve"/>
            </w:r>
          </w:p>
          <w:p>
            <w:r>
              <w:rPr>
                <w:b/>
                <w:bCs/>
                <w:sz w:val="28"/>
                <w:szCs w:val="28"/>
              </w:rPr>
              <w:t xml:space="preserve">Basta. E Ponto.</w:t>
            </w:r>
          </w:p>
        </w:tc>
      </w:tr>
    </w:tbl>
    <w:p>
      <w:pPr>
        <w:spacing w:after="240" w:before="240"/>
      </w:pPr>
      <w:r>
        <w:t xml:space="preserve"/>
      </w:r>
    </w:p>
    <w:p>
      <w:pPr>
        <w:pStyle w:val="Heading1"/>
      </w:pPr>
      <w:r>
        <w:t xml:space="preserve">DESTAQUE 05: CONTATO</w:t>
      </w:r>
    </w:p>
    <w:p>
      <w:pPr>
        <w:spacing w:after="120"/>
      </w:pPr>
      <w:r>
        <w:rPr>
          <w:b/>
          <w:bCs/>
        </w:rPr>
        <w:t xml:space="preserve">Ícone/Visual na Bio:</w:t>
      </w:r>
      <w:r>
        <w:t xml:space="preserve"> Ícone de chat/conversa</w:t>
      </w:r>
    </w:p>
    <w:p>
      <w:pPr>
        <w:spacing w:after="240"/>
      </w:pPr>
      <w:r>
        <w:rPr>
          <w:b/>
          <w:bCs/>
        </w:rPr>
        <w:t xml:space="preserve">1 Story único: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000000" w:sz="1"/>
              <w:left w:val="single" w:color="000000" w:sz="1"/>
              <w:bottom w:val="single" w:color="000000" w:sz="1"/>
              <w:right w:val="single" w:color="000000" w:sz="1"/>
            </w:tcBorders>
            <w:shd w:fill="F5F5F5" w:val="clear"/>
            <w:tcMar>
              <w:top w:type="dxa" w:w="120"/>
              <w:left w:type="dxa" w:w="120"/>
              <w:bottom w:type="dxa" w:w="120"/>
              <w:right w:type="dxa" w:w="120"/>
            </w:tcMar>
          </w:tcPr>
          <w:p>
            <w:r>
              <w:rPr>
                <w:b/>
                <w:bCs/>
                <w:sz w:val="24"/>
                <w:szCs w:val="24"/>
              </w:rPr>
              <w:t xml:space="preserve">LAYOUT VISUAL</w:t>
            </w:r>
          </w:p>
        </w:tc>
        <w:tc>
          <w:tcPr>
            <w:tcBorders>
              <w:top w:val="single" w:color="000000" w:sz="1"/>
              <w:left w:val="single" w:color="000000" w:sz="1"/>
              <w:bottom w:val="single" w:color="000000" w:sz="1"/>
              <w:right w:val="single" w:color="000000" w:sz="1"/>
            </w:tcBorders>
            <w:shd w:fill="F5F5F5" w:val="clear"/>
            <w:tcMar>
              <w:top w:type="dxa" w:w="120"/>
              <w:left w:type="dxa" w:w="120"/>
              <w:bottom w:type="dxa" w:w="120"/>
              <w:right w:type="dxa" w:w="120"/>
            </w:tcMar>
          </w:tcPr>
          <w:p>
            <w:r>
              <w:rPr>
                <w:b/>
                <w:bCs/>
                <w:sz w:val="24"/>
                <w:szCs w:val="24"/>
              </w:rPr>
              <w:t xml:space="preserve">COPY</w:t>
            </w:r>
          </w:p>
        </w:tc>
      </w:tr>
      <w:tr>
        <w:tc>
          <w:tcPr>
            <w:tcBorders>
              <w:top w:val="single" w:color="000000" w:sz="1"/>
              <w:left w:val="single" w:color="000000" w:sz="1"/>
              <w:bottom w:val="single" w:color="000000" w:sz="1"/>
              <w:right w:val="single" w:color="000000" w:sz="1"/>
            </w:tcBorders>
            <w:tcMar>
              <w:top w:type="dxa" w:w="120"/>
              <w:left w:type="dxa" w:w="120"/>
              <w:bottom w:type="dxa" w:w="120"/>
              <w:right w:type="dxa" w:w="120"/>
            </w:tcMar>
          </w:tcPr>
          <w:p>
            <w:r>
              <w:t xml:space="preserve">Fundo: Preto (#1A1A1A)</w:t>
            </w:r>
          </w:p>
          <w:p>
            <w:pPr>
              <w:spacing w:after="80"/>
            </w:pPr>
            <w:r>
              <w:t xml:space="preserve"/>
            </w:r>
          </w:p>
          <w:p>
            <w:r>
              <w:t xml:space="preserve">Ícone de chat bubbles no topo</w:t>
            </w:r>
          </w:p>
          <w:p>
            <w:pPr>
              <w:spacing w:after="80"/>
            </w:pPr>
            <w:r>
              <w:t xml:space="preserve"/>
            </w:r>
          </w:p>
          <w:p>
            <w:r>
              <w:t xml:space="preserve">Tipografia branca (Inter Bold)</w:t>
            </w:r>
          </w:p>
        </w:tc>
        <w:tc>
          <w:tcPr>
            <w:tcBorders>
              <w:top w:val="single" w:color="000000" w:sz="1"/>
              <w:left w:val="single" w:color="000000" w:sz="1"/>
              <w:bottom w:val="single" w:color="000000" w:sz="1"/>
              <w:right w:val="single" w:color="000000" w:sz="1"/>
            </w:tcBorders>
            <w:tcMar>
              <w:top w:type="dxa" w:w="120"/>
              <w:left w:type="dxa" w:w="120"/>
              <w:bottom w:type="dxa" w:w="120"/>
              <w:right w:type="dxa" w:w="120"/>
            </w:tcMar>
          </w:tcPr>
          <w:p>
            <w:pPr>
              <w:spacing w:after="120"/>
            </w:pPr>
            <w:r>
              <w:rPr>
                <w:b/>
                <w:bCs/>
                <w:sz w:val="28"/>
                <w:szCs w:val="28"/>
              </w:rPr>
              <w:t xml:space="preserve">Dúvida? Feedback? Quer conversar?</w:t>
            </w:r>
          </w:p>
          <w:p>
            <w:pPr>
              <w:spacing w:after="120"/>
            </w:pPr>
            <w:r>
              <w:t xml:space="preserve"/>
            </w:r>
          </w:p>
          <w:p>
            <w:pPr>
              <w:spacing w:after="80"/>
            </w:pPr>
            <w:r>
              <w:rPr>
                <w:b/>
                <w:bCs/>
              </w:rPr>
              <w:t xml:space="preserve">WhatsApp</w:t>
            </w:r>
          </w:p>
          <w:p>
            <w:pPr>
              <w:spacing w:after="120"/>
            </w:pPr>
            <w:r>
              <w:t xml:space="preserve">(19) 97179-5723</w:t>
            </w:r>
          </w:p>
          <w:p>
            <w:pPr>
              <w:spacing w:after="80"/>
            </w:pPr>
            <w:r>
              <w:rPr>
                <w:b/>
                <w:bCs/>
              </w:rPr>
              <w:t xml:space="preserve">Email</w:t>
            </w:r>
          </w:p>
          <w:p>
            <w:pPr>
              <w:spacing w:after="120"/>
            </w:pPr>
            <w:r>
              <w:t xml:space="preserve">ola@basta.com.br</w:t>
            </w:r>
          </w:p>
          <w:p>
            <w:pPr>
              <w:spacing w:after="80"/>
            </w:pPr>
            <w:r>
              <w:t xml:space="preserve"/>
            </w:r>
          </w:p>
          <w:p>
            <w:r>
              <w:t xml:space="preserve">Respondemos rápido. Promessa.</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a1a1a"/>
      <w:sz w:val="32"/>
      <w:szCs w:val="32"/>
    </w:rPr>
  </w:style>
  <w:style w:type="paragraph" w:styleId="Heading2">
    <w:name w:val="Heading 2"/>
    <w:basedOn w:val="Normal"/>
    <w:next w:val="Normal"/>
    <w:qFormat/>
    <w:pPr>
      <w:spacing w:after="100" w:before="180"/>
      <w:outlineLvl w:val="1"/>
    </w:pPr>
    <w:rPr>
      <w:rFonts w:ascii="Arial" w:cs="Arial" w:eastAsia="Arial" w:hAnsi="Arial"/>
      <w:b/>
      <w:bCs/>
      <w:color w:val="333333"/>
      <w:sz w:val="28"/>
      <w:szCs w:val="28"/>
    </w:rPr>
  </w:style>
  <w:style w:type="paragraph" w:styleId="Heading3">
    <w:name w:val="Heading 3"/>
    <w:basedOn w:val="Normal"/>
    <w:next w:val="Normal"/>
    <w:qFormat/>
    <w:pPr>
      <w:spacing w:after="80" w:before="120"/>
      <w:outlineLvl w:val="2"/>
    </w:pPr>
    <w:rPr>
      <w:rFonts w:ascii="Arial" w:cs="Arial" w:eastAsia="Arial" w:hAnsi="Arial"/>
      <w:b/>
      <w:bCs/>
      <w:color w:val="5555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2026-04-01T06:47:49.785Z</dcterms:created>
  <dcterms:modified xsi:type="dcterms:W3CDTF">2026-04-01T06:47:49.785Z</dcterms:modified>
</cp:coreProperties>
</file>

<file path=docProps/custom.xml><?xml version="1.0" encoding="utf-8"?>
<Properties xmlns="http://schemas.openxmlformats.org/officeDocument/2006/custom-properties" xmlns:vt="http://schemas.openxmlformats.org/officeDocument/2006/docPropsVTypes"/>
</file>