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24"/>
        </w:rPr>
        <w:t>VERISSIMO</w:t>
      </w:r>
    </w:p>
    <w:p>
      <w:pPr>
        <w:spacing w:after="80"/>
      </w:pPr>
      <w:r>
        <w:rPr>
          <w:rFonts w:ascii="Calibri" w:hAnsi="Calibri"/>
          <w:b/>
          <w:color w:val="0B2545"/>
          <w:sz w:val="48"/>
        </w:rPr>
        <w:t>Relatorio de apoio semanal</w:t>
      </w:r>
    </w:p>
    <w:p>
      <w:pPr>
        <w:spacing w:after="360"/>
      </w:pPr>
      <w:r>
        <w:rPr>
          <w:rFonts w:ascii="Calibri" w:hAnsi="Calibri"/>
          <w:color w:val="556273"/>
          <w:sz w:val="26"/>
        </w:rPr>
        <w:t>Aplicacao web para apoio a compreensao de beneficios sociais do Reino Unido</w:t>
      </w:r>
    </w:p>
    <w:tbl>
      <w:tblPr>
        <w:tblW w:type="dxa" w:w="9360"/>
        <w:tblLayout w:type="fixed"/>
        <w:tblLook w:firstColumn="1" w:firstRow="1" w:lastColumn="0" w:lastRow="0" w:noHBand="0" w:noVBand="1" w:val="04A0"/>
      </w:tblPr>
      <w:tblGrid>
        <w:gridCol w:w="1800"/>
        <w:gridCol w:w="7560"/>
      </w:tblGrid>
      <w:tr>
        <w:tc>
          <w:tcPr>
            <w:tcW w:type="dxa" w:w="1800"/>
            <w:shd w:fill="F2F4F7"/>
            <w:tcMar>
              <w:top w:w="80" w:type="dxa"/>
              <w:bottom w:w="80" w:type="dxa"/>
              <w:start w:w="120" w:type="dxa"/>
              <w:end w:w="120" w:type="dxa"/>
            </w:tcMar>
            <w:vAlign w:val="center"/>
          </w:tcPr>
          <w:p>
            <w:r>
              <w:rPr>
                <w:b/>
              </w:rPr>
              <w:t>Projeto</w:t>
            </w:r>
          </w:p>
        </w:tc>
        <w:tc>
          <w:tcPr>
            <w:tcW w:type="dxa" w:w="7560"/>
            <w:tcMar>
              <w:top w:w="80" w:type="dxa"/>
              <w:bottom w:w="80" w:type="dxa"/>
              <w:start w:w="120" w:type="dxa"/>
              <w:end w:w="120" w:type="dxa"/>
            </w:tcMar>
            <w:vAlign w:val="center"/>
          </w:tcPr>
          <w:p>
            <w:r>
              <w:t>VERISSIMO</w:t>
            </w:r>
          </w:p>
        </w:tc>
      </w:tr>
      <w:tr>
        <w:tc>
          <w:tcPr>
            <w:tcW w:type="dxa" w:w="1800"/>
            <w:shd w:fill="F2F4F7"/>
            <w:tcMar>
              <w:top w:w="80" w:type="dxa"/>
              <w:bottom w:w="80" w:type="dxa"/>
              <w:start w:w="120" w:type="dxa"/>
              <w:end w:w="120" w:type="dxa"/>
            </w:tcMar>
            <w:vAlign w:val="center"/>
          </w:tcPr>
          <w:p>
            <w:r>
              <w:rPr>
                <w:b/>
              </w:rPr>
              <w:t>Aluna</w:t>
            </w:r>
          </w:p>
        </w:tc>
        <w:tc>
          <w:tcPr>
            <w:tcW w:type="dxa" w:w="7560"/>
            <w:tcMar>
              <w:top w:w="80" w:type="dxa"/>
              <w:bottom w:w="80" w:type="dxa"/>
              <w:start w:w="120" w:type="dxa"/>
              <w:end w:w="120" w:type="dxa"/>
            </w:tcMar>
            <w:vAlign w:val="center"/>
          </w:tcPr>
          <w:p>
            <w:r>
              <w:t>Viviane Verissimo dos Santos</w:t>
            </w:r>
          </w:p>
        </w:tc>
      </w:tr>
      <w:tr>
        <w:tc>
          <w:tcPr>
            <w:tcW w:type="dxa" w:w="1800"/>
            <w:shd w:fill="F2F4F7"/>
            <w:tcMar>
              <w:top w:w="80" w:type="dxa"/>
              <w:bottom w:w="80" w:type="dxa"/>
              <w:start w:w="120" w:type="dxa"/>
              <w:end w:w="120" w:type="dxa"/>
            </w:tcMar>
            <w:vAlign w:val="center"/>
          </w:tcPr>
          <w:p>
            <w:r>
              <w:rPr>
                <w:b/>
              </w:rPr>
              <w:t>Curso</w:t>
            </w:r>
          </w:p>
        </w:tc>
        <w:tc>
          <w:tcPr>
            <w:tcW w:type="dxa" w:w="7560"/>
            <w:tcMar>
              <w:top w:w="80" w:type="dxa"/>
              <w:bottom w:w="80" w:type="dxa"/>
              <w:start w:w="120" w:type="dxa"/>
              <w:end w:w="120" w:type="dxa"/>
            </w:tcMar>
            <w:vAlign w:val="center"/>
          </w:tcPr>
          <w:p>
            <w:r>
              <w:t>BSc (Hons) Computing - Southampton Solent University</w:t>
            </w:r>
          </w:p>
        </w:tc>
      </w:tr>
      <w:tr>
        <w:tc>
          <w:tcPr>
            <w:tcW w:type="dxa" w:w="1800"/>
            <w:shd w:fill="F2F4F7"/>
            <w:tcMar>
              <w:top w:w="80" w:type="dxa"/>
              <w:bottom w:w="80" w:type="dxa"/>
              <w:start w:w="120" w:type="dxa"/>
              <w:end w:w="120" w:type="dxa"/>
            </w:tcMar>
            <w:vAlign w:val="center"/>
          </w:tcPr>
          <w:p>
            <w:r>
              <w:rPr>
                <w:b/>
              </w:rPr>
              <w:t>Data</w:t>
            </w:r>
          </w:p>
        </w:tc>
        <w:tc>
          <w:tcPr>
            <w:tcW w:type="dxa" w:w="7560"/>
            <w:tcMar>
              <w:top w:w="80" w:type="dxa"/>
              <w:bottom w:w="80" w:type="dxa"/>
              <w:start w:w="120" w:type="dxa"/>
              <w:end w:w="120" w:type="dxa"/>
            </w:tcMar>
            <w:vAlign w:val="center"/>
          </w:tcPr>
          <w:p>
            <w:r>
              <w:t>20/07/2026</w:t>
            </w:r>
          </w:p>
        </w:tc>
      </w:tr>
      <w:tr>
        <w:tc>
          <w:tcPr>
            <w:tcW w:type="dxa" w:w="1800"/>
            <w:shd w:fill="F2F4F7"/>
            <w:tcMar>
              <w:top w:w="80" w:type="dxa"/>
              <w:bottom w:w="80" w:type="dxa"/>
              <w:start w:w="120" w:type="dxa"/>
              <w:end w:w="120" w:type="dxa"/>
            </w:tcMar>
            <w:vAlign w:val="center"/>
          </w:tcPr>
          <w:p>
            <w:r>
              <w:rPr>
                <w:b/>
              </w:rPr>
              <w:t>Link publico</w:t>
            </w:r>
          </w:p>
        </w:tc>
        <w:tc>
          <w:tcPr>
            <w:tcW w:type="dxa" w:w="7560"/>
            <w:tcMar>
              <w:top w:w="80" w:type="dxa"/>
              <w:bottom w:w="80" w:type="dxa"/>
              <w:start w:w="120" w:type="dxa"/>
              <w:end w:w="120" w:type="dxa"/>
            </w:tcMar>
            <w:vAlign w:val="center"/>
          </w:tcPr>
          <w:p>
            <w:r>
              <w:t>https://verissimo-tawny.vercel.app</w:t>
            </w:r>
          </w:p>
        </w:tc>
      </w:tr>
      <w:tr>
        <w:tc>
          <w:tcPr>
            <w:tcW w:type="dxa" w:w="1800"/>
            <w:shd w:fill="F2F4F7"/>
            <w:tcMar>
              <w:top w:w="80" w:type="dxa"/>
              <w:bottom w:w="80" w:type="dxa"/>
              <w:start w:w="120" w:type="dxa"/>
              <w:end w:w="120" w:type="dxa"/>
            </w:tcMar>
            <w:vAlign w:val="center"/>
          </w:tcPr>
          <w:p>
            <w:r>
              <w:rPr>
                <w:b/>
              </w:rPr>
              <w:t>Objetivo do documento</w:t>
            </w:r>
          </w:p>
        </w:tc>
        <w:tc>
          <w:tcPr>
            <w:tcW w:type="dxa" w:w="7560"/>
            <w:tcMar>
              <w:top w:w="80" w:type="dxa"/>
              <w:bottom w:w="80" w:type="dxa"/>
              <w:start w:w="120" w:type="dxa"/>
              <w:end w:w="120" w:type="dxa"/>
            </w:tcMar>
            <w:vAlign w:val="center"/>
          </w:tcPr>
          <w:p>
            <w:r>
              <w:t>Apoiar apresentacoes semanais e servir como base para a escrita do report academico.</w:t>
            </w:r>
          </w:p>
        </w:tc>
      </w:tr>
    </w:tbl>
    <w:p/>
    <w:tbl>
      <w:tblPr>
        <w:tblW w:type="dxa" w:w="9360"/>
        <w:tblLayout w:type="fixed"/>
        <w:tblLook w:firstColumn="1" w:firstRow="1" w:lastColumn="0" w:lastRow="0" w:noHBand="0" w:noVBand="1" w:val="04A0"/>
      </w:tblPr>
      <w:tblGrid>
        <w:gridCol w:w="9360"/>
      </w:tblGrid>
      <w:tr>
        <w:tc>
          <w:tcPr>
            <w:tcW w:type="dxa" w:w="9360"/>
            <w:shd w:fill="E8F1FB"/>
            <w:tcMar>
              <w:top w:w="140" w:type="dxa"/>
              <w:bottom w:w="140" w:type="dxa"/>
              <w:start w:w="180" w:type="dxa"/>
              <w:end w:w="180" w:type="dxa"/>
            </w:tcMar>
          </w:tcPr>
          <w:p>
            <w:pPr>
              <w:spacing w:after="0"/>
            </w:pPr>
            <w:r>
              <w:rPr>
                <w:b/>
                <w:color w:val="1F4D78"/>
              </w:rPr>
              <w:t xml:space="preserve">Mensagem central: </w:t>
            </w:r>
            <w:r>
              <w:t>O VERISSIMO separa decisao e explicacao: um motor de regras deterministico calcula os resultados, enquanto a IA e usada apenas para reescrever explicacoes em linguagem mais simples. Essa separacao torna o prototipo mais auditavel, seguro e adequado para uma avaliacao academica.</w:t>
            </w:r>
          </w:p>
        </w:tc>
      </w:tr>
    </w:tbl>
    <w:p/>
    <w:p>
      <w:pPr>
        <w:pStyle w:val="Heading1"/>
      </w:pPr>
      <w:r>
        <w:t>1. Resumo executivo</w:t>
      </w:r>
    </w:p>
    <w:p>
      <w:pPr>
        <w:spacing w:after="120"/>
      </w:pPr>
      <w:r>
        <w:t>O VERISSIMO e um prototipo web que ajuda usuarios a revisar possiveis beneficios sociais do Reino Unido. A aplicacao guia a pessoa por perguntas simples, avalia as respostas contra regras declarativas e apresenta resultados com fontes verificaveis, evidencias recomendadas e explicacoes simplificadas.</w:t>
      </w:r>
    </w:p>
    <w:p>
      <w:pPr>
        <w:spacing w:after="120"/>
      </w:pPr>
      <w:r>
        <w:t>A versao atual cobre Attendance Allowance, Universal Credit e Personal Independence Payment. O projeto prioriza auditabilidade, privacidade, acessibilidade e clareza. Ele nao substitui GOV.UK, CPAG, DWP, welfare advisers ou decisoes oficiais.</w:t>
      </w:r>
    </w:p>
    <w:p>
      <w:pPr>
        <w:pStyle w:val="ListBullet"/>
        <w:spacing w:after="80"/>
        <w:ind w:left="720" w:hanging="360"/>
      </w:pPr>
      <w:r>
        <w:t>Artefato principal: aplicacao Next.js publicada na Vercel.</w:t>
      </w:r>
    </w:p>
    <w:p>
      <w:pPr>
        <w:pStyle w:val="ListBullet"/>
        <w:spacing w:after="80"/>
        <w:ind w:left="720" w:hanging="360"/>
      </w:pPr>
      <w:r>
        <w:t>Metodo de decisao: motor de regras deterministico baseado em YAML.</w:t>
      </w:r>
    </w:p>
    <w:p>
      <w:pPr>
        <w:pStyle w:val="ListBullet"/>
        <w:spacing w:after="80"/>
        <w:ind w:left="720" w:hanging="360"/>
      </w:pPr>
      <w:r>
        <w:t>Fonte principal exibida no trace: CPAG Welfare Rights.</w:t>
      </w:r>
    </w:p>
    <w:p>
      <w:pPr>
        <w:pStyle w:val="ListBullet"/>
        <w:spacing w:after="80"/>
        <w:ind w:left="720" w:hanging="360"/>
      </w:pPr>
      <w:r>
        <w:t>Fonte complementar: GOV.UK.</w:t>
      </w:r>
    </w:p>
    <w:p>
      <w:pPr>
        <w:pStyle w:val="ListBullet"/>
        <w:spacing w:after="80"/>
        <w:ind w:left="720" w:hanging="360"/>
      </w:pPr>
      <w:r>
        <w:t>IA: Gemini opcional, limitada a explicacao; nao decide elegibilidade.</w:t>
      </w:r>
    </w:p>
    <w:p>
      <w:pPr>
        <w:pStyle w:val="ListBullet"/>
        <w:spacing w:after="80"/>
        <w:ind w:left="720" w:hanging="360"/>
      </w:pPr>
      <w:r>
        <w:t>Estado atual: 119 testes locais passando e deploy publico ativo.</w:t>
      </w:r>
    </w:p>
    <w:p>
      <w:pPr>
        <w:pStyle w:val="Heading1"/>
      </w:pPr>
      <w:r>
        <w:t>2. Features por semana</w:t>
      </w:r>
    </w:p>
    <w:p>
      <w:pPr>
        <w:spacing w:after="120"/>
      </w:pPr>
      <w:r>
        <w:t>Esta secao organiza o progresso em blocos semanais para facilitar reunioes, apresentacoes e escrita incremental do report. Cada semana tem um foco, as features entregues, a evidencia tecnica e a parte da dissertacao que ela pode alimentar.</w:t>
      </w:r>
    </w:p>
    <w:p>
      <w:pPr>
        <w:pStyle w:val="Heading2"/>
      </w:pPr>
      <w:r>
        <w:t>Semana 1 - Fundacao tecnica e motor de regras</w:t>
      </w:r>
    </w:p>
    <w:p>
      <w:pPr>
        <w:pStyle w:val="ListBullet"/>
        <w:spacing w:after="80"/>
        <w:ind w:left="720" w:hanging="360"/>
      </w:pPr>
      <w:r>
        <w:t>Projeto Next.js com TypeScript, Vitest, ESLint e build de producao.</w:t>
      </w:r>
    </w:p>
    <w:p>
      <w:pPr>
        <w:pStyle w:val="ListBullet"/>
        <w:spacing w:after="80"/>
        <w:ind w:left="720" w:hanging="360"/>
      </w:pPr>
      <w:r>
        <w:t>Schema Zod para arquivos YAML de beneficios.</w:t>
      </w:r>
    </w:p>
    <w:p>
      <w:pPr>
        <w:pStyle w:val="ListBullet"/>
        <w:spacing w:after="80"/>
        <w:ind w:left="720" w:hanging="360"/>
      </w:pPr>
      <w:r>
        <w:t>Operadores deterministicos: gte, lte, eq, in e is_true.</w:t>
      </w:r>
    </w:p>
    <w:p>
      <w:pPr>
        <w:pStyle w:val="ListBullet"/>
        <w:spacing w:after="80"/>
        <w:ind w:left="720" w:hanging="360"/>
      </w:pPr>
      <w:r>
        <w:t>Motor de outcome com quatro estados: Worth exploring, May be relevant, Need more answers e Not a match.</w:t>
      </w:r>
    </w:p>
    <w:p>
      <w:pPr>
        <w:pStyle w:val="ListBullet"/>
        <w:spacing w:after="80"/>
        <w:ind w:left="720" w:hanging="360"/>
      </w:pPr>
      <w:r>
        <w:t>Loader de regras com validacao, integridade referencial e rulesVersion por hash.</w:t>
      </w:r>
    </w:p>
    <w:p>
      <w:pPr>
        <w:pStyle w:val="ListBullet"/>
        <w:spacing w:after="80"/>
        <w:ind w:left="720" w:hanging="360"/>
      </w:pPr>
      <w:r>
        <w:t>Primeira versao do Attendance Allowance.</w:t>
      </w:r>
    </w:p>
    <w:p>
      <w:pPr>
        <w:spacing w:after="120"/>
      </w:pPr>
      <w:r>
        <w:rPr>
          <w:b/>
        </w:rPr>
        <w:t xml:space="preserve">Evidencia: </w:t>
      </w:r>
      <w:r>
        <w:t>Testes unitarios do motor de regras, cobertura acima de 80%, build Next.js funcional.</w:t>
      </w:r>
    </w:p>
    <w:p>
      <w:pPr>
        <w:spacing w:after="120"/>
      </w:pPr>
      <w:r>
        <w:rPr>
          <w:b/>
        </w:rPr>
        <w:t xml:space="preserve">Uso no report: </w:t>
      </w:r>
      <w:r>
        <w:t>Pode alimentar Methodology, Design and Implementation, e Testing.</w:t>
      </w:r>
    </w:p>
    <w:p>
      <w:pPr>
        <w:pStyle w:val="Heading2"/>
      </w:pPr>
      <w:r>
        <w:t>Semana 2 - Expansao de beneficios e evidencias</w:t>
      </w:r>
    </w:p>
    <w:p>
      <w:pPr>
        <w:pStyle w:val="ListBullet"/>
        <w:spacing w:after="80"/>
        <w:ind w:left="720" w:hanging="360"/>
      </w:pPr>
      <w:r>
        <w:t>Universal Credit e Personal Independence Payment adicionados aos YAMLs.</w:t>
      </w:r>
    </w:p>
    <w:p>
      <w:pPr>
        <w:pStyle w:val="ListBullet"/>
        <w:spacing w:after="80"/>
        <w:ind w:left="720" w:hanging="360"/>
      </w:pPr>
      <w:r>
        <w:t>Avaliacao simultanea dos tres beneficios no assessAll.</w:t>
      </w:r>
    </w:p>
    <w:p>
      <w:pPr>
        <w:pStyle w:val="ListBullet"/>
        <w:spacing w:after="80"/>
        <w:ind w:left="720" w:hanging="360"/>
      </w:pPr>
      <w:r>
        <w:t>Recomendacao deterministica de evidencias conforme criterios acionados.</w:t>
      </w:r>
    </w:p>
    <w:p>
      <w:pPr>
        <w:pStyle w:val="ListBullet"/>
        <w:spacing w:after="80"/>
        <w:ind w:left="720" w:hanging="360"/>
      </w:pPr>
      <w:r>
        <w:t>Fortalecimento dos testes para impedir criterios ou URLs inventados.</w:t>
      </w:r>
    </w:p>
    <w:p>
      <w:pPr>
        <w:spacing w:after="120"/>
      </w:pPr>
      <w:r>
        <w:rPr>
          <w:b/>
        </w:rPr>
        <w:t xml:space="preserve">Evidencia: </w:t>
      </w:r>
      <w:r>
        <w:t>Suite local, coverage gate e arquivos YAML versionados.</w:t>
      </w:r>
    </w:p>
    <w:p>
      <w:pPr>
        <w:spacing w:after="120"/>
      </w:pPr>
      <w:r>
        <w:rPr>
          <w:b/>
        </w:rPr>
        <w:t xml:space="preserve">Uso no report: </w:t>
      </w:r>
      <w:r>
        <w:t>Pode alimentar Requirements, Implementation e Verification.</w:t>
      </w:r>
    </w:p>
    <w:p>
      <w:pPr>
        <w:pStyle w:val="Heading2"/>
      </w:pPr>
      <w:r>
        <w:t>Semana 3 - Questionario guiado e resultados</w:t>
      </w:r>
    </w:p>
    <w:p>
      <w:pPr>
        <w:pStyle w:val="ListBullet"/>
        <w:spacing w:after="80"/>
        <w:ind w:left="720" w:hanging="360"/>
      </w:pPr>
      <w:r>
        <w:t>Interface de intake em formato wizard, uma pergunta por vez.</w:t>
      </w:r>
    </w:p>
    <w:p>
      <w:pPr>
        <w:pStyle w:val="ListBullet"/>
        <w:spacing w:after="80"/>
        <w:ind w:left="720" w:hanging="360"/>
      </w:pPr>
      <w:r>
        <w:t>Perguntas mapeadas para as chaves exigidas pelas regras.</w:t>
      </w:r>
    </w:p>
    <w:p>
      <w:pPr>
        <w:pStyle w:val="ListBullet"/>
        <w:spacing w:after="80"/>
        <w:ind w:left="720" w:hanging="360"/>
      </w:pPr>
      <w:r>
        <w:t>API interna POST /api/assess mantendo YAML e fs no servidor.</w:t>
      </w:r>
    </w:p>
    <w:p>
      <w:pPr>
        <w:pStyle w:val="ListBullet"/>
        <w:spacing w:after="80"/>
        <w:ind w:left="720" w:hanging="360"/>
      </w:pPr>
      <w:r>
        <w:t>Cards de resultado com resumo, criterio decisivo, evidencias e trace expansivel.</w:t>
      </w:r>
    </w:p>
    <w:p>
      <w:pPr>
        <w:pStyle w:val="ListBullet"/>
        <w:spacing w:after="80"/>
        <w:ind w:left="720" w:hanging="360"/>
      </w:pPr>
      <w:r>
        <w:t>Deploy inicial na Vercel com alias publico.</w:t>
      </w:r>
    </w:p>
    <w:p>
      <w:pPr>
        <w:spacing w:after="120"/>
      </w:pPr>
      <w:r>
        <w:rPr>
          <w:b/>
        </w:rPr>
        <w:t xml:space="preserve">Evidencia: </w:t>
      </w:r>
      <w:r>
        <w:t>Vitest, TypeScript, ESLint, build, smoke local e smoke de producao.</w:t>
      </w:r>
    </w:p>
    <w:p>
      <w:pPr>
        <w:spacing w:after="120"/>
      </w:pPr>
      <w:r>
        <w:rPr>
          <w:b/>
        </w:rPr>
        <w:t xml:space="preserve">Uso no report: </w:t>
      </w:r>
      <w:r>
        <w:t>Pode alimentar User Interface Design, System Architecture e Deployment.</w:t>
      </w:r>
    </w:p>
    <w:p>
      <w:pPr>
        <w:pStyle w:val="Heading2"/>
      </w:pPr>
      <w:r>
        <w:t>Semana 4 - Camada de explicacao e LLM controlado</w:t>
      </w:r>
    </w:p>
    <w:p>
      <w:pPr>
        <w:pStyle w:val="ListBullet"/>
        <w:spacing w:after="80"/>
        <w:ind w:left="720" w:hanging="360"/>
      </w:pPr>
      <w:r>
        <w:t>Explicacao deterministica por template.</w:t>
      </w:r>
    </w:p>
    <w:p>
      <w:pPr>
        <w:pStyle w:val="ListBullet"/>
        <w:spacing w:after="80"/>
        <w:ind w:left="720" w:hanging="360"/>
      </w:pPr>
      <w:r>
        <w:t>Endpoint POST /api/explain.</w:t>
      </w:r>
    </w:p>
    <w:p>
      <w:pPr>
        <w:pStyle w:val="ListBullet"/>
        <w:spacing w:after="80"/>
        <w:ind w:left="720" w:hanging="360"/>
      </w:pPr>
      <w:r>
        <w:t>Prompt builder e validador para limitar o que o LLM pode dizer.</w:t>
      </w:r>
    </w:p>
    <w:p>
      <w:pPr>
        <w:pStyle w:val="ListBullet"/>
        <w:spacing w:after="80"/>
        <w:ind w:left="720" w:hanging="360"/>
      </w:pPr>
      <w:r>
        <w:t>Gemini conectado via API key server-side.</w:t>
      </w:r>
    </w:p>
    <w:p>
      <w:pPr>
        <w:pStyle w:val="ListBullet"/>
        <w:spacing w:after="80"/>
        <w:ind w:left="720" w:hanging="360"/>
      </w:pPr>
      <w:r>
        <w:t>Fallback deterministico quando nao ha chave, erro externo ou resposta insegura.</w:t>
      </w:r>
    </w:p>
    <w:p>
      <w:pPr>
        <w:spacing w:after="120"/>
      </w:pPr>
      <w:r>
        <w:rPr>
          <w:b/>
        </w:rPr>
        <w:t xml:space="preserve">Evidencia: </w:t>
      </w:r>
      <w:r>
        <w:t>Testes de template, prompt, validacao, rota e adaptador Gemini.</w:t>
      </w:r>
    </w:p>
    <w:p>
      <w:pPr>
        <w:spacing w:after="120"/>
      </w:pPr>
      <w:r>
        <w:rPr>
          <w:b/>
        </w:rPr>
        <w:t xml:space="preserve">Uso no report: </w:t>
      </w:r>
      <w:r>
        <w:t>Pode alimentar AI Integration, Safety, Explainability e Limitations.</w:t>
      </w:r>
    </w:p>
    <w:p>
      <w:pPr>
        <w:pStyle w:val="Heading2"/>
      </w:pPr>
      <w:r>
        <w:t>Semana 5 - Relatorio imprimivel, acessibilidade e avaliacao</w:t>
      </w:r>
    </w:p>
    <w:p>
      <w:pPr>
        <w:pStyle w:val="ListBullet"/>
        <w:spacing w:after="80"/>
        <w:ind w:left="720" w:hanging="360"/>
      </w:pPr>
      <w:r>
        <w:t>Relatorio imprimivel por beneficio com metadata, regras, fontes e evidencias.</w:t>
      </w:r>
    </w:p>
    <w:p>
      <w:pPr>
        <w:pStyle w:val="ListBullet"/>
        <w:spacing w:after="80"/>
        <w:ind w:left="720" w:hanging="360"/>
      </w:pPr>
      <w:r>
        <w:t>Auditoria estatica de acessibilidade e ajustes de ARIA.</w:t>
      </w:r>
    </w:p>
    <w:p>
      <w:pPr>
        <w:pStyle w:val="ListBullet"/>
        <w:spacing w:after="80"/>
        <w:ind w:left="720" w:hanging="360"/>
      </w:pPr>
      <w:r>
        <w:t>Playwright com axe-core para verificacao WCAG automatizada.</w:t>
      </w:r>
    </w:p>
    <w:p>
      <w:pPr>
        <w:pStyle w:val="ListBullet"/>
        <w:spacing w:after="80"/>
        <w:ind w:left="720" w:hanging="360"/>
      </w:pPr>
      <w:r>
        <w:t>Teste de navegacao apenas por teclado.</w:t>
      </w:r>
    </w:p>
    <w:p>
      <w:pPr>
        <w:pStyle w:val="ListBullet"/>
        <w:spacing w:after="80"/>
        <w:ind w:left="720" w:hanging="360"/>
      </w:pPr>
      <w:r>
        <w:t>Auditoria automatizada de legibilidade com Flesch Reading Ease e Flesch-Kincaid.</w:t>
      </w:r>
    </w:p>
    <w:p>
      <w:pPr>
        <w:pStyle w:val="ListBullet"/>
        <w:spacing w:after="80"/>
        <w:ind w:left="720" w:hanging="360"/>
      </w:pPr>
      <w:r>
        <w:t>Pacote de etica e materiais para teste de usabilidade.</w:t>
      </w:r>
    </w:p>
    <w:p>
      <w:pPr>
        <w:spacing w:after="120"/>
      </w:pPr>
      <w:r>
        <w:rPr>
          <w:b/>
        </w:rPr>
        <w:t xml:space="preserve">Evidencia: </w:t>
      </w:r>
      <w:r>
        <w:t>npm run test:a11y, testes de teclado, readability test e docs/ethics.</w:t>
      </w:r>
    </w:p>
    <w:p>
      <w:pPr>
        <w:spacing w:after="120"/>
      </w:pPr>
      <w:r>
        <w:rPr>
          <w:b/>
        </w:rPr>
        <w:t xml:space="preserve">Uso no report: </w:t>
      </w:r>
      <w:r>
        <w:t>Pode alimentar Ethics, Accessibility, Evaluation Plan e Results.</w:t>
      </w:r>
    </w:p>
    <w:p>
      <w:pPr>
        <w:pStyle w:val="Heading2"/>
      </w:pPr>
      <w:r>
        <w:t>Semana 6 / refinamento atual - Fontes CPAG, UI moderna e prontidao para demonstracao</w:t>
      </w:r>
    </w:p>
    <w:p>
      <w:pPr>
        <w:pStyle w:val="ListBullet"/>
        <w:spacing w:after="80"/>
        <w:ind w:left="720" w:hanging="360"/>
      </w:pPr>
      <w:r>
        <w:t>CPAG Welfare Rights definido como fonte principal exibida no rule trace.</w:t>
      </w:r>
    </w:p>
    <w:p>
      <w:pPr>
        <w:pStyle w:val="ListBullet"/>
        <w:spacing w:after="80"/>
        <w:ind w:left="720" w:hanging="360"/>
      </w:pPr>
      <w:r>
        <w:t>GOV.UK mantido como fonte oficial complementar.</w:t>
      </w:r>
    </w:p>
    <w:p>
      <w:pPr>
        <w:pStyle w:val="ListBullet"/>
        <w:spacing w:after="80"/>
        <w:ind w:left="720" w:hanging="360"/>
      </w:pPr>
      <w:r>
        <w:t>Remake visual Blue Decision Lab com linguagem tecnologica azul.</w:t>
      </w:r>
    </w:p>
    <w:p>
      <w:pPr>
        <w:pStyle w:val="ListBullet"/>
        <w:spacing w:after="80"/>
        <w:ind w:left="720" w:hanging="360"/>
      </w:pPr>
      <w:r>
        <w:t>Cards de resultados polidos com badge curto, superficie mais limpa e acoes menos pesadas.</w:t>
      </w:r>
    </w:p>
    <w:p>
      <w:pPr>
        <w:pStyle w:val="ListBullet"/>
        <w:spacing w:after="80"/>
        <w:ind w:left="720" w:hanging="360"/>
      </w:pPr>
      <w:r>
        <w:t>Export JSON anonimo para apoiar teste de usabilidade.</w:t>
      </w:r>
    </w:p>
    <w:p>
      <w:pPr>
        <w:pStyle w:val="ListBullet"/>
        <w:spacing w:after="80"/>
        <w:ind w:left="720" w:hanging="360"/>
      </w:pPr>
      <w:r>
        <w:t>Deploy de producao atualizado em https://verissimo-tawny.vercel.app.</w:t>
      </w:r>
    </w:p>
    <w:p>
      <w:pPr>
        <w:spacing w:after="120"/>
      </w:pPr>
      <w:r>
        <w:rPr>
          <w:b/>
        </w:rPr>
        <w:t xml:space="preserve">Evidencia: </w:t>
      </w:r>
      <w:r>
        <w:t>119 testes passando, tsc, lint, coverage, build, test:a11y e smoke de producao.</w:t>
      </w:r>
    </w:p>
    <w:p>
      <w:pPr>
        <w:spacing w:after="120"/>
      </w:pPr>
      <w:r>
        <w:rPr>
          <w:b/>
        </w:rPr>
        <w:t xml:space="preserve">Uso no report: </w:t>
      </w:r>
      <w:r>
        <w:t>Pode alimentar Final Artefact, Evaluation Readiness e Demonstration.</w:t>
      </w:r>
    </w:p>
    <w:p>
      <w:pPr>
        <w:pStyle w:val="Heading2"/>
      </w:pPr>
      <w:r>
        <w:t>Semana 7 / proximo passo - Teste com participantes e coleta de feedback</w:t>
      </w:r>
    </w:p>
    <w:p>
      <w:pPr>
        <w:pStyle w:val="ListBullet"/>
        <w:spacing w:after="80"/>
        <w:ind w:left="720" w:hanging="360"/>
      </w:pPr>
      <w:r>
        <w:t>Submeter e aguardar aprovacao etica antes de envolver participantes reais.</w:t>
      </w:r>
    </w:p>
    <w:p>
      <w:pPr>
        <w:pStyle w:val="ListBullet"/>
        <w:spacing w:after="80"/>
        <w:ind w:left="720" w:hanging="360"/>
      </w:pPr>
      <w:r>
        <w:t>Executar teste com 5 a 8 participantes usando cenarios ficticios.</w:t>
      </w:r>
    </w:p>
    <w:p>
      <w:pPr>
        <w:pStyle w:val="ListBullet"/>
        <w:spacing w:after="80"/>
        <w:ind w:left="720" w:hanging="360"/>
      </w:pPr>
      <w:r>
        <w:t>Coletar export JSON anonimo e respostas do questionario pos-teste.</w:t>
      </w:r>
    </w:p>
    <w:p>
      <w:pPr>
        <w:pStyle w:val="ListBullet"/>
        <w:spacing w:after="80"/>
        <w:ind w:left="720" w:hanging="360"/>
      </w:pPr>
      <w:r>
        <w:t>Analisar compreensao, confianca, acessibilidade percebida e pontos de confusao.</w:t>
      </w:r>
    </w:p>
    <w:p>
      <w:pPr>
        <w:spacing w:after="120"/>
      </w:pPr>
      <w:r>
        <w:rPr>
          <w:b/>
        </w:rPr>
        <w:t xml:space="preserve">Evidencia: </w:t>
      </w:r>
      <w:r>
        <w:t>Consent form, participant information sheet, script, tasks e questionnaire.</w:t>
      </w:r>
    </w:p>
    <w:p>
      <w:pPr>
        <w:spacing w:after="120"/>
      </w:pPr>
      <w:r>
        <w:rPr>
          <w:b/>
        </w:rPr>
        <w:t xml:space="preserve">Uso no report: </w:t>
      </w:r>
      <w:r>
        <w:t>Vai alimentar Methodology, Evaluation, Results e Further Work.</w:t>
      </w:r>
    </w:p>
    <w:p>
      <w:pPr>
        <w:pStyle w:val="Heading2"/>
      </w:pPr>
      <w:r>
        <w:t>Resumo tabular semanal</w:t>
      </w:r>
    </w:p>
    <w:tbl>
      <w:tblPr>
        <w:tblW w:type="dxa" w:w="9360"/>
        <w:tblLayout w:type="fixed"/>
        <w:tblLook w:firstColumn="1" w:firstRow="1" w:lastColumn="0" w:lastRow="0" w:noHBand="0" w:noVBand="1" w:val="04A0"/>
      </w:tblPr>
      <w:tblGrid>
        <w:gridCol w:w="1150"/>
        <w:gridCol w:w="1900"/>
        <w:gridCol w:w="4010"/>
        <w:gridCol w:w="2300"/>
      </w:tblGrid>
      <w:tr>
        <w:tc>
          <w:tcPr>
            <w:tcW w:type="dxa" w:w="1150"/>
            <w:tcMar>
              <w:top w:w="80" w:type="dxa"/>
              <w:bottom w:w="80" w:type="dxa"/>
              <w:start w:w="120" w:type="dxa"/>
              <w:end w:w="120" w:type="dxa"/>
            </w:tcMar>
            <w:vAlign w:val="center"/>
            <w:shd w:fill="2E74B5"/>
          </w:tcPr>
          <w:p>
            <w:pPr>
              <w:spacing w:after="0"/>
            </w:pPr>
            <w:r>
              <w:rPr>
                <w:rFonts w:ascii="Calibri" w:hAnsi="Calibri"/>
                <w:b/>
                <w:color w:val="FFFFFF"/>
                <w:sz w:val="21"/>
              </w:rPr>
              <w:t>Semana</w:t>
            </w:r>
          </w:p>
        </w:tc>
        <w:tc>
          <w:tcPr>
            <w:tcW w:type="dxa" w:w="1900"/>
            <w:tcMar>
              <w:top w:w="80" w:type="dxa"/>
              <w:bottom w:w="80" w:type="dxa"/>
              <w:start w:w="120" w:type="dxa"/>
              <w:end w:w="120" w:type="dxa"/>
            </w:tcMar>
            <w:vAlign w:val="center"/>
            <w:shd w:fill="2E74B5"/>
          </w:tcPr>
          <w:p>
            <w:pPr>
              <w:spacing w:after="0"/>
            </w:pPr>
            <w:r>
              <w:rPr>
                <w:rFonts w:ascii="Calibri" w:hAnsi="Calibri"/>
                <w:b/>
                <w:color w:val="FFFFFF"/>
                <w:sz w:val="21"/>
              </w:rPr>
              <w:t>Foco</w:t>
            </w:r>
          </w:p>
        </w:tc>
        <w:tc>
          <w:tcPr>
            <w:tcW w:type="dxa" w:w="4010"/>
            <w:tcMar>
              <w:top w:w="80" w:type="dxa"/>
              <w:bottom w:w="80" w:type="dxa"/>
              <w:start w:w="120" w:type="dxa"/>
              <w:end w:w="120" w:type="dxa"/>
            </w:tcMar>
            <w:vAlign w:val="center"/>
            <w:shd w:fill="2E74B5"/>
          </w:tcPr>
          <w:p>
            <w:pPr>
              <w:spacing w:after="0"/>
            </w:pPr>
            <w:r>
              <w:rPr>
                <w:rFonts w:ascii="Calibri" w:hAnsi="Calibri"/>
                <w:b/>
                <w:color w:val="FFFFFF"/>
                <w:sz w:val="21"/>
              </w:rPr>
              <w:t>Entregas principais</w:t>
            </w:r>
          </w:p>
        </w:tc>
        <w:tc>
          <w:tcPr>
            <w:tcW w:type="dxa" w:w="2300"/>
            <w:tcMar>
              <w:top w:w="80" w:type="dxa"/>
              <w:bottom w:w="80" w:type="dxa"/>
              <w:start w:w="120" w:type="dxa"/>
              <w:end w:w="120" w:type="dxa"/>
            </w:tcMar>
            <w:vAlign w:val="center"/>
            <w:shd w:fill="2E74B5"/>
          </w:tcPr>
          <w:p>
            <w:pPr>
              <w:spacing w:after="0"/>
            </w:pPr>
            <w:r>
              <w:rPr>
                <w:rFonts w:ascii="Calibri" w:hAnsi="Calibri"/>
                <w:b/>
                <w:color w:val="FFFFFF"/>
                <w:sz w:val="21"/>
              </w:rPr>
              <w:t>Evidencia</w:t>
            </w:r>
          </w:p>
        </w:tc>
      </w:tr>
      <w:tr>
        <w:tc>
          <w:tcPr>
            <w:tcW w:type="dxa" w:w="1150"/>
            <w:tcMar>
              <w:top w:w="80" w:type="dxa"/>
              <w:bottom w:w="80" w:type="dxa"/>
              <w:start w:w="120" w:type="dxa"/>
              <w:end w:w="120" w:type="dxa"/>
            </w:tcMar>
            <w:vAlign w:val="center"/>
          </w:tcPr>
          <w:p>
            <w:pPr>
              <w:spacing w:after="0"/>
            </w:pPr>
            <w:r>
              <w:rPr>
                <w:rFonts w:ascii="Calibri" w:hAnsi="Calibri"/>
                <w:b w:val="0"/>
                <w:color w:val="14202F"/>
                <w:sz w:val="20"/>
              </w:rPr>
              <w:t>Semana 1</w:t>
            </w:r>
          </w:p>
        </w:tc>
        <w:tc>
          <w:tcPr>
            <w:tcW w:type="dxa" w:w="1900"/>
            <w:tcMar>
              <w:top w:w="80" w:type="dxa"/>
              <w:bottom w:w="80" w:type="dxa"/>
              <w:start w:w="120" w:type="dxa"/>
              <w:end w:w="120" w:type="dxa"/>
            </w:tcMar>
            <w:vAlign w:val="center"/>
          </w:tcPr>
          <w:p>
            <w:pPr>
              <w:spacing w:after="0"/>
            </w:pPr>
            <w:r>
              <w:rPr>
                <w:rFonts w:ascii="Calibri" w:hAnsi="Calibri"/>
                <w:b w:val="0"/>
                <w:color w:val="14202F"/>
                <w:sz w:val="20"/>
              </w:rPr>
              <w:t>Fundacao tecnica e motor de regras</w:t>
            </w:r>
          </w:p>
        </w:tc>
        <w:tc>
          <w:tcPr>
            <w:tcW w:type="dxa" w:w="4010"/>
            <w:tcMar>
              <w:top w:w="80" w:type="dxa"/>
              <w:bottom w:w="80" w:type="dxa"/>
              <w:start w:w="120" w:type="dxa"/>
              <w:end w:w="120" w:type="dxa"/>
            </w:tcMar>
            <w:vAlign w:val="center"/>
          </w:tcPr>
          <w:p>
            <w:pPr>
              <w:spacing w:after="0"/>
            </w:pPr>
            <w:r>
              <w:rPr>
                <w:rFonts w:ascii="Calibri" w:hAnsi="Calibri"/>
                <w:b w:val="0"/>
                <w:color w:val="14202F"/>
                <w:sz w:val="20"/>
              </w:rPr>
              <w:t>Projeto Next.js com TypeScript, Vitest, ESLint e build de producao.; Schema Zod para arquivos YAML de beneficios.; Operadores deterministicos: gte, lte, eq, in e is_true.</w:t>
            </w:r>
          </w:p>
        </w:tc>
        <w:tc>
          <w:tcPr>
            <w:tcW w:type="dxa" w:w="2300"/>
            <w:tcMar>
              <w:top w:w="80" w:type="dxa"/>
              <w:bottom w:w="80" w:type="dxa"/>
              <w:start w:w="120" w:type="dxa"/>
              <w:end w:w="120" w:type="dxa"/>
            </w:tcMar>
            <w:vAlign w:val="center"/>
          </w:tcPr>
          <w:p>
            <w:pPr>
              <w:spacing w:after="0"/>
            </w:pPr>
            <w:r>
              <w:rPr>
                <w:rFonts w:ascii="Calibri" w:hAnsi="Calibri"/>
                <w:b w:val="0"/>
                <w:color w:val="14202F"/>
                <w:sz w:val="20"/>
              </w:rPr>
              <w:t>Testes unitarios do motor de regras, cobertura acima de 80%, build Next.js funcional.</w:t>
            </w:r>
          </w:p>
        </w:tc>
      </w:tr>
      <w:tr>
        <w:tc>
          <w:tcPr>
            <w:tcW w:type="dxa" w:w="1150"/>
            <w:tcMar>
              <w:top w:w="80" w:type="dxa"/>
              <w:bottom w:w="80" w:type="dxa"/>
              <w:start w:w="120" w:type="dxa"/>
              <w:end w:w="120" w:type="dxa"/>
            </w:tcMar>
            <w:vAlign w:val="center"/>
            <w:shd w:fill="F8FAFC"/>
          </w:tcPr>
          <w:p>
            <w:pPr>
              <w:spacing w:after="0"/>
            </w:pPr>
            <w:r>
              <w:rPr>
                <w:rFonts w:ascii="Calibri" w:hAnsi="Calibri"/>
                <w:b w:val="0"/>
                <w:color w:val="14202F"/>
                <w:sz w:val="20"/>
              </w:rPr>
              <w:t>Semana 2</w:t>
            </w:r>
          </w:p>
        </w:tc>
        <w:tc>
          <w:tcPr>
            <w:tcW w:type="dxa" w:w="1900"/>
            <w:tcMar>
              <w:top w:w="80" w:type="dxa"/>
              <w:bottom w:w="80" w:type="dxa"/>
              <w:start w:w="120" w:type="dxa"/>
              <w:end w:w="120" w:type="dxa"/>
            </w:tcMar>
            <w:vAlign w:val="center"/>
            <w:shd w:fill="F8FAFC"/>
          </w:tcPr>
          <w:p>
            <w:pPr>
              <w:spacing w:after="0"/>
            </w:pPr>
            <w:r>
              <w:rPr>
                <w:rFonts w:ascii="Calibri" w:hAnsi="Calibri"/>
                <w:b w:val="0"/>
                <w:color w:val="14202F"/>
                <w:sz w:val="20"/>
              </w:rPr>
              <w:t>Expansao de beneficios e evidencias</w:t>
            </w:r>
          </w:p>
        </w:tc>
        <w:tc>
          <w:tcPr>
            <w:tcW w:type="dxa" w:w="4010"/>
            <w:tcMar>
              <w:top w:w="80" w:type="dxa"/>
              <w:bottom w:w="80" w:type="dxa"/>
              <w:start w:w="120" w:type="dxa"/>
              <w:end w:w="120" w:type="dxa"/>
            </w:tcMar>
            <w:vAlign w:val="center"/>
            <w:shd w:fill="F8FAFC"/>
          </w:tcPr>
          <w:p>
            <w:pPr>
              <w:spacing w:after="0"/>
            </w:pPr>
            <w:r>
              <w:rPr>
                <w:rFonts w:ascii="Calibri" w:hAnsi="Calibri"/>
                <w:b w:val="0"/>
                <w:color w:val="14202F"/>
                <w:sz w:val="20"/>
              </w:rPr>
              <w:t>Universal Credit e Personal Independence Payment adicionados aos YAMLs.; Avaliacao simultanea dos tres beneficios no assessAll.; Recomendacao deterministica de evidencias conforme criterios acionados.</w:t>
            </w:r>
          </w:p>
        </w:tc>
        <w:tc>
          <w:tcPr>
            <w:tcW w:type="dxa" w:w="2300"/>
            <w:tcMar>
              <w:top w:w="80" w:type="dxa"/>
              <w:bottom w:w="80" w:type="dxa"/>
              <w:start w:w="120" w:type="dxa"/>
              <w:end w:w="120" w:type="dxa"/>
            </w:tcMar>
            <w:vAlign w:val="center"/>
            <w:shd w:fill="F8FAFC"/>
          </w:tcPr>
          <w:p>
            <w:pPr>
              <w:spacing w:after="0"/>
            </w:pPr>
            <w:r>
              <w:rPr>
                <w:rFonts w:ascii="Calibri" w:hAnsi="Calibri"/>
                <w:b w:val="0"/>
                <w:color w:val="14202F"/>
                <w:sz w:val="20"/>
              </w:rPr>
              <w:t>Suite local, coverage gate e arquivos YAML versionados.</w:t>
            </w:r>
          </w:p>
        </w:tc>
      </w:tr>
      <w:tr>
        <w:tc>
          <w:tcPr>
            <w:tcW w:type="dxa" w:w="1150"/>
            <w:tcMar>
              <w:top w:w="80" w:type="dxa"/>
              <w:bottom w:w="80" w:type="dxa"/>
              <w:start w:w="120" w:type="dxa"/>
              <w:end w:w="120" w:type="dxa"/>
            </w:tcMar>
            <w:vAlign w:val="center"/>
          </w:tcPr>
          <w:p>
            <w:pPr>
              <w:spacing w:after="0"/>
            </w:pPr>
            <w:r>
              <w:rPr>
                <w:rFonts w:ascii="Calibri" w:hAnsi="Calibri"/>
                <w:b w:val="0"/>
                <w:color w:val="14202F"/>
                <w:sz w:val="20"/>
              </w:rPr>
              <w:t>Semana 3</w:t>
            </w:r>
          </w:p>
        </w:tc>
        <w:tc>
          <w:tcPr>
            <w:tcW w:type="dxa" w:w="1900"/>
            <w:tcMar>
              <w:top w:w="80" w:type="dxa"/>
              <w:bottom w:w="80" w:type="dxa"/>
              <w:start w:w="120" w:type="dxa"/>
              <w:end w:w="120" w:type="dxa"/>
            </w:tcMar>
            <w:vAlign w:val="center"/>
          </w:tcPr>
          <w:p>
            <w:pPr>
              <w:spacing w:after="0"/>
            </w:pPr>
            <w:r>
              <w:rPr>
                <w:rFonts w:ascii="Calibri" w:hAnsi="Calibri"/>
                <w:b w:val="0"/>
                <w:color w:val="14202F"/>
                <w:sz w:val="20"/>
              </w:rPr>
              <w:t>Questionario guiado e resultados</w:t>
            </w:r>
          </w:p>
        </w:tc>
        <w:tc>
          <w:tcPr>
            <w:tcW w:type="dxa" w:w="4010"/>
            <w:tcMar>
              <w:top w:w="80" w:type="dxa"/>
              <w:bottom w:w="80" w:type="dxa"/>
              <w:start w:w="120" w:type="dxa"/>
              <w:end w:w="120" w:type="dxa"/>
            </w:tcMar>
            <w:vAlign w:val="center"/>
          </w:tcPr>
          <w:p>
            <w:pPr>
              <w:spacing w:after="0"/>
            </w:pPr>
            <w:r>
              <w:rPr>
                <w:rFonts w:ascii="Calibri" w:hAnsi="Calibri"/>
                <w:b w:val="0"/>
                <w:color w:val="14202F"/>
                <w:sz w:val="20"/>
              </w:rPr>
              <w:t>Interface de intake em formato wizard, uma pergunta por vez.; Perguntas mapeadas para as chaves exigidas pelas regras.; API interna POST /api/assess mantendo YAML e fs no servidor.</w:t>
            </w:r>
          </w:p>
        </w:tc>
        <w:tc>
          <w:tcPr>
            <w:tcW w:type="dxa" w:w="2300"/>
            <w:tcMar>
              <w:top w:w="80" w:type="dxa"/>
              <w:bottom w:w="80" w:type="dxa"/>
              <w:start w:w="120" w:type="dxa"/>
              <w:end w:w="120" w:type="dxa"/>
            </w:tcMar>
            <w:vAlign w:val="center"/>
          </w:tcPr>
          <w:p>
            <w:pPr>
              <w:spacing w:after="0"/>
            </w:pPr>
            <w:r>
              <w:rPr>
                <w:rFonts w:ascii="Calibri" w:hAnsi="Calibri"/>
                <w:b w:val="0"/>
                <w:color w:val="14202F"/>
                <w:sz w:val="20"/>
              </w:rPr>
              <w:t>Vitest, TypeScript, ESLint, build, smoke local e smoke de producao.</w:t>
            </w:r>
          </w:p>
        </w:tc>
      </w:tr>
      <w:tr>
        <w:tc>
          <w:tcPr>
            <w:tcW w:type="dxa" w:w="1150"/>
            <w:tcMar>
              <w:top w:w="80" w:type="dxa"/>
              <w:bottom w:w="80" w:type="dxa"/>
              <w:start w:w="120" w:type="dxa"/>
              <w:end w:w="120" w:type="dxa"/>
            </w:tcMar>
            <w:vAlign w:val="center"/>
            <w:shd w:fill="F8FAFC"/>
          </w:tcPr>
          <w:p>
            <w:pPr>
              <w:spacing w:after="0"/>
            </w:pPr>
            <w:r>
              <w:rPr>
                <w:rFonts w:ascii="Calibri" w:hAnsi="Calibri"/>
                <w:b w:val="0"/>
                <w:color w:val="14202F"/>
                <w:sz w:val="20"/>
              </w:rPr>
              <w:t>Semana 4</w:t>
            </w:r>
          </w:p>
        </w:tc>
        <w:tc>
          <w:tcPr>
            <w:tcW w:type="dxa" w:w="1900"/>
            <w:tcMar>
              <w:top w:w="80" w:type="dxa"/>
              <w:bottom w:w="80" w:type="dxa"/>
              <w:start w:w="120" w:type="dxa"/>
              <w:end w:w="120" w:type="dxa"/>
            </w:tcMar>
            <w:vAlign w:val="center"/>
            <w:shd w:fill="F8FAFC"/>
          </w:tcPr>
          <w:p>
            <w:pPr>
              <w:spacing w:after="0"/>
            </w:pPr>
            <w:r>
              <w:rPr>
                <w:rFonts w:ascii="Calibri" w:hAnsi="Calibri"/>
                <w:b w:val="0"/>
                <w:color w:val="14202F"/>
                <w:sz w:val="20"/>
              </w:rPr>
              <w:t>Camada de explicacao e LLM controlado</w:t>
            </w:r>
          </w:p>
        </w:tc>
        <w:tc>
          <w:tcPr>
            <w:tcW w:type="dxa" w:w="4010"/>
            <w:tcMar>
              <w:top w:w="80" w:type="dxa"/>
              <w:bottom w:w="80" w:type="dxa"/>
              <w:start w:w="120" w:type="dxa"/>
              <w:end w:w="120" w:type="dxa"/>
            </w:tcMar>
            <w:vAlign w:val="center"/>
            <w:shd w:fill="F8FAFC"/>
          </w:tcPr>
          <w:p>
            <w:pPr>
              <w:spacing w:after="0"/>
            </w:pPr>
            <w:r>
              <w:rPr>
                <w:rFonts w:ascii="Calibri" w:hAnsi="Calibri"/>
                <w:b w:val="0"/>
                <w:color w:val="14202F"/>
                <w:sz w:val="20"/>
              </w:rPr>
              <w:t>Explicacao deterministica por template.; Endpoint POST /api/explain.; Prompt builder e validador para limitar o que o LLM pode dizer.</w:t>
            </w:r>
          </w:p>
        </w:tc>
        <w:tc>
          <w:tcPr>
            <w:tcW w:type="dxa" w:w="2300"/>
            <w:tcMar>
              <w:top w:w="80" w:type="dxa"/>
              <w:bottom w:w="80" w:type="dxa"/>
              <w:start w:w="120" w:type="dxa"/>
              <w:end w:w="120" w:type="dxa"/>
            </w:tcMar>
            <w:vAlign w:val="center"/>
            <w:shd w:fill="F8FAFC"/>
          </w:tcPr>
          <w:p>
            <w:pPr>
              <w:spacing w:after="0"/>
            </w:pPr>
            <w:r>
              <w:rPr>
                <w:rFonts w:ascii="Calibri" w:hAnsi="Calibri"/>
                <w:b w:val="0"/>
                <w:color w:val="14202F"/>
                <w:sz w:val="20"/>
              </w:rPr>
              <w:t>Testes de template, prompt, validacao, rota e adaptador Gemini.</w:t>
            </w:r>
          </w:p>
        </w:tc>
      </w:tr>
      <w:tr>
        <w:tc>
          <w:tcPr>
            <w:tcW w:type="dxa" w:w="1150"/>
            <w:tcMar>
              <w:top w:w="80" w:type="dxa"/>
              <w:bottom w:w="80" w:type="dxa"/>
              <w:start w:w="120" w:type="dxa"/>
              <w:end w:w="120" w:type="dxa"/>
            </w:tcMar>
            <w:vAlign w:val="center"/>
          </w:tcPr>
          <w:p>
            <w:pPr>
              <w:spacing w:after="0"/>
            </w:pPr>
            <w:r>
              <w:rPr>
                <w:rFonts w:ascii="Calibri" w:hAnsi="Calibri"/>
                <w:b w:val="0"/>
                <w:color w:val="14202F"/>
                <w:sz w:val="20"/>
              </w:rPr>
              <w:t>Semana 5</w:t>
            </w:r>
          </w:p>
        </w:tc>
        <w:tc>
          <w:tcPr>
            <w:tcW w:type="dxa" w:w="1900"/>
            <w:tcMar>
              <w:top w:w="80" w:type="dxa"/>
              <w:bottom w:w="80" w:type="dxa"/>
              <w:start w:w="120" w:type="dxa"/>
              <w:end w:w="120" w:type="dxa"/>
            </w:tcMar>
            <w:vAlign w:val="center"/>
          </w:tcPr>
          <w:p>
            <w:pPr>
              <w:spacing w:after="0"/>
            </w:pPr>
            <w:r>
              <w:rPr>
                <w:rFonts w:ascii="Calibri" w:hAnsi="Calibri"/>
                <w:b w:val="0"/>
                <w:color w:val="14202F"/>
                <w:sz w:val="20"/>
              </w:rPr>
              <w:t>Relatorio imprimivel, acessibilidade e avaliacao</w:t>
            </w:r>
          </w:p>
        </w:tc>
        <w:tc>
          <w:tcPr>
            <w:tcW w:type="dxa" w:w="4010"/>
            <w:tcMar>
              <w:top w:w="80" w:type="dxa"/>
              <w:bottom w:w="80" w:type="dxa"/>
              <w:start w:w="120" w:type="dxa"/>
              <w:end w:w="120" w:type="dxa"/>
            </w:tcMar>
            <w:vAlign w:val="center"/>
          </w:tcPr>
          <w:p>
            <w:pPr>
              <w:spacing w:after="0"/>
            </w:pPr>
            <w:r>
              <w:rPr>
                <w:rFonts w:ascii="Calibri" w:hAnsi="Calibri"/>
                <w:b w:val="0"/>
                <w:color w:val="14202F"/>
                <w:sz w:val="20"/>
              </w:rPr>
              <w:t>Relatorio imprimivel por beneficio com metadata, regras, fontes e evidencias.; Auditoria estatica de acessibilidade e ajustes de ARIA.; Playwright com axe-core para verificacao WCAG automatizada.</w:t>
            </w:r>
          </w:p>
        </w:tc>
        <w:tc>
          <w:tcPr>
            <w:tcW w:type="dxa" w:w="2300"/>
            <w:tcMar>
              <w:top w:w="80" w:type="dxa"/>
              <w:bottom w:w="80" w:type="dxa"/>
              <w:start w:w="120" w:type="dxa"/>
              <w:end w:w="120" w:type="dxa"/>
            </w:tcMar>
            <w:vAlign w:val="center"/>
          </w:tcPr>
          <w:p>
            <w:pPr>
              <w:spacing w:after="0"/>
            </w:pPr>
            <w:r>
              <w:rPr>
                <w:rFonts w:ascii="Calibri" w:hAnsi="Calibri"/>
                <w:b w:val="0"/>
                <w:color w:val="14202F"/>
                <w:sz w:val="20"/>
              </w:rPr>
              <w:t>npm run test:a11y, testes de teclado, readability test e docs/ethics.</w:t>
            </w:r>
          </w:p>
        </w:tc>
      </w:tr>
      <w:tr>
        <w:tc>
          <w:tcPr>
            <w:tcW w:type="dxa" w:w="1150"/>
            <w:tcMar>
              <w:top w:w="80" w:type="dxa"/>
              <w:bottom w:w="80" w:type="dxa"/>
              <w:start w:w="120" w:type="dxa"/>
              <w:end w:w="120" w:type="dxa"/>
            </w:tcMar>
            <w:vAlign w:val="center"/>
            <w:shd w:fill="F8FAFC"/>
          </w:tcPr>
          <w:p>
            <w:pPr>
              <w:spacing w:after="0"/>
            </w:pPr>
            <w:r>
              <w:rPr>
                <w:rFonts w:ascii="Calibri" w:hAnsi="Calibri"/>
                <w:b w:val="0"/>
                <w:color w:val="14202F"/>
                <w:sz w:val="20"/>
              </w:rPr>
              <w:t>Semana 6 / refinamento atual</w:t>
            </w:r>
          </w:p>
        </w:tc>
        <w:tc>
          <w:tcPr>
            <w:tcW w:type="dxa" w:w="1900"/>
            <w:tcMar>
              <w:top w:w="80" w:type="dxa"/>
              <w:bottom w:w="80" w:type="dxa"/>
              <w:start w:w="120" w:type="dxa"/>
              <w:end w:w="120" w:type="dxa"/>
            </w:tcMar>
            <w:vAlign w:val="center"/>
            <w:shd w:fill="F8FAFC"/>
          </w:tcPr>
          <w:p>
            <w:pPr>
              <w:spacing w:after="0"/>
            </w:pPr>
            <w:r>
              <w:rPr>
                <w:rFonts w:ascii="Calibri" w:hAnsi="Calibri"/>
                <w:b w:val="0"/>
                <w:color w:val="14202F"/>
                <w:sz w:val="20"/>
              </w:rPr>
              <w:t>Fontes CPAG, UI moderna e prontidao para demonstracao</w:t>
            </w:r>
          </w:p>
        </w:tc>
        <w:tc>
          <w:tcPr>
            <w:tcW w:type="dxa" w:w="4010"/>
            <w:tcMar>
              <w:top w:w="80" w:type="dxa"/>
              <w:bottom w:w="80" w:type="dxa"/>
              <w:start w:w="120" w:type="dxa"/>
              <w:end w:w="120" w:type="dxa"/>
            </w:tcMar>
            <w:vAlign w:val="center"/>
            <w:shd w:fill="F8FAFC"/>
          </w:tcPr>
          <w:p>
            <w:pPr>
              <w:spacing w:after="0"/>
            </w:pPr>
            <w:r>
              <w:rPr>
                <w:rFonts w:ascii="Calibri" w:hAnsi="Calibri"/>
                <w:b w:val="0"/>
                <w:color w:val="14202F"/>
                <w:sz w:val="20"/>
              </w:rPr>
              <w:t>CPAG Welfare Rights definido como fonte principal exibida no rule trace.; GOV.UK mantido como fonte oficial complementar.; Remake visual Blue Decision Lab com linguagem tecnologica azul.</w:t>
            </w:r>
          </w:p>
        </w:tc>
        <w:tc>
          <w:tcPr>
            <w:tcW w:type="dxa" w:w="2300"/>
            <w:tcMar>
              <w:top w:w="80" w:type="dxa"/>
              <w:bottom w:w="80" w:type="dxa"/>
              <w:start w:w="120" w:type="dxa"/>
              <w:end w:w="120" w:type="dxa"/>
            </w:tcMar>
            <w:vAlign w:val="center"/>
            <w:shd w:fill="F8FAFC"/>
          </w:tcPr>
          <w:p>
            <w:pPr>
              <w:spacing w:after="0"/>
            </w:pPr>
            <w:r>
              <w:rPr>
                <w:rFonts w:ascii="Calibri" w:hAnsi="Calibri"/>
                <w:b w:val="0"/>
                <w:color w:val="14202F"/>
                <w:sz w:val="20"/>
              </w:rPr>
              <w:t>119 testes passando, tsc, lint, coverage, build, test:a11y e smoke de producao.</w:t>
            </w:r>
          </w:p>
        </w:tc>
      </w:tr>
      <w:tr>
        <w:tc>
          <w:tcPr>
            <w:tcW w:type="dxa" w:w="1150"/>
            <w:tcMar>
              <w:top w:w="80" w:type="dxa"/>
              <w:bottom w:w="80" w:type="dxa"/>
              <w:start w:w="120" w:type="dxa"/>
              <w:end w:w="120" w:type="dxa"/>
            </w:tcMar>
            <w:vAlign w:val="center"/>
          </w:tcPr>
          <w:p>
            <w:pPr>
              <w:spacing w:after="0"/>
            </w:pPr>
            <w:r>
              <w:rPr>
                <w:rFonts w:ascii="Calibri" w:hAnsi="Calibri"/>
                <w:b w:val="0"/>
                <w:color w:val="14202F"/>
                <w:sz w:val="20"/>
              </w:rPr>
              <w:t>Semana 7 / proximo passo</w:t>
            </w:r>
          </w:p>
        </w:tc>
        <w:tc>
          <w:tcPr>
            <w:tcW w:type="dxa" w:w="1900"/>
            <w:tcMar>
              <w:top w:w="80" w:type="dxa"/>
              <w:bottom w:w="80" w:type="dxa"/>
              <w:start w:w="120" w:type="dxa"/>
              <w:end w:w="120" w:type="dxa"/>
            </w:tcMar>
            <w:vAlign w:val="center"/>
          </w:tcPr>
          <w:p>
            <w:pPr>
              <w:spacing w:after="0"/>
            </w:pPr>
            <w:r>
              <w:rPr>
                <w:rFonts w:ascii="Calibri" w:hAnsi="Calibri"/>
                <w:b w:val="0"/>
                <w:color w:val="14202F"/>
                <w:sz w:val="20"/>
              </w:rPr>
              <w:t>Teste com participantes e coleta de feedback</w:t>
            </w:r>
          </w:p>
        </w:tc>
        <w:tc>
          <w:tcPr>
            <w:tcW w:type="dxa" w:w="4010"/>
            <w:tcMar>
              <w:top w:w="80" w:type="dxa"/>
              <w:bottom w:w="80" w:type="dxa"/>
              <w:start w:w="120" w:type="dxa"/>
              <w:end w:w="120" w:type="dxa"/>
            </w:tcMar>
            <w:vAlign w:val="center"/>
          </w:tcPr>
          <w:p>
            <w:pPr>
              <w:spacing w:after="0"/>
            </w:pPr>
            <w:r>
              <w:rPr>
                <w:rFonts w:ascii="Calibri" w:hAnsi="Calibri"/>
                <w:b w:val="0"/>
                <w:color w:val="14202F"/>
                <w:sz w:val="20"/>
              </w:rPr>
              <w:t>Submeter e aguardar aprovacao etica antes de envolver participantes reais.; Executar teste com 5 a 8 participantes usando cenarios ficticios.; Coletar export JSON anonimo e respostas do questionario pos-teste.</w:t>
            </w:r>
          </w:p>
        </w:tc>
        <w:tc>
          <w:tcPr>
            <w:tcW w:type="dxa" w:w="2300"/>
            <w:tcMar>
              <w:top w:w="80" w:type="dxa"/>
              <w:bottom w:w="80" w:type="dxa"/>
              <w:start w:w="120" w:type="dxa"/>
              <w:end w:w="120" w:type="dxa"/>
            </w:tcMar>
            <w:vAlign w:val="center"/>
          </w:tcPr>
          <w:p>
            <w:pPr>
              <w:spacing w:after="0"/>
            </w:pPr>
            <w:r>
              <w:rPr>
                <w:rFonts w:ascii="Calibri" w:hAnsi="Calibri"/>
                <w:b w:val="0"/>
                <w:color w:val="14202F"/>
                <w:sz w:val="20"/>
              </w:rPr>
              <w:t>Consent form, participant information sheet, script, tasks e questionnaire.</w:t>
            </w:r>
          </w:p>
        </w:tc>
      </w:tr>
    </w:tbl>
    <w:p/>
    <w:p>
      <w:pPr>
        <w:pStyle w:val="Heading1"/>
      </w:pPr>
      <w:r>
        <w:t>3. Arquitetura da aplicacao</w:t>
      </w:r>
    </w:p>
    <w:p>
      <w:pPr>
        <w:spacing w:after="120"/>
      </w:pPr>
      <w:r>
        <w:t>A arquitetura foi desenhada para manter as decisoes de elegibilidade fora do LLM. O frontend apresenta o questionario e os resultados. A API interna recebe respostas e chama o motor de regras no servidor. Os arquivos YAML armazenam os criterios declarativos por beneficio.</w:t>
      </w:r>
    </w:p>
    <w:tbl>
      <w:tblPr>
        <w:tblW w:type="dxa" w:w="9360"/>
        <w:tblLayout w:type="fixed"/>
        <w:tblLook w:firstColumn="1" w:firstRow="1" w:lastColumn="0" w:lastRow="0" w:noHBand="0" w:noVBand="1" w:val="04A0"/>
      </w:tblPr>
      <w:tblGrid>
        <w:gridCol w:w="1450"/>
        <w:gridCol w:w="3600"/>
        <w:gridCol w:w="4310"/>
      </w:tblGrid>
      <w:tr>
        <w:tc>
          <w:tcPr>
            <w:tcW w:type="dxa" w:w="1450"/>
            <w:tcMar>
              <w:top w:w="80" w:type="dxa"/>
              <w:bottom w:w="80" w:type="dxa"/>
              <w:start w:w="120" w:type="dxa"/>
              <w:end w:w="120" w:type="dxa"/>
            </w:tcMar>
            <w:vAlign w:val="center"/>
            <w:shd w:fill="2E74B5"/>
          </w:tcPr>
          <w:p>
            <w:pPr>
              <w:spacing w:after="0"/>
            </w:pPr>
            <w:r>
              <w:rPr>
                <w:rFonts w:ascii="Calibri" w:hAnsi="Calibri"/>
                <w:b/>
                <w:color w:val="FFFFFF"/>
                <w:sz w:val="21"/>
              </w:rPr>
              <w:t>Camada</w:t>
            </w:r>
          </w:p>
        </w:tc>
        <w:tc>
          <w:tcPr>
            <w:tcW w:type="dxa" w:w="3600"/>
            <w:tcMar>
              <w:top w:w="80" w:type="dxa"/>
              <w:bottom w:w="80" w:type="dxa"/>
              <w:start w:w="120" w:type="dxa"/>
              <w:end w:w="120" w:type="dxa"/>
            </w:tcMar>
            <w:vAlign w:val="center"/>
            <w:shd w:fill="2E74B5"/>
          </w:tcPr>
          <w:p>
            <w:pPr>
              <w:spacing w:after="0"/>
            </w:pPr>
            <w:r>
              <w:rPr>
                <w:rFonts w:ascii="Calibri" w:hAnsi="Calibri"/>
                <w:b/>
                <w:color w:val="FFFFFF"/>
                <w:sz w:val="21"/>
              </w:rPr>
              <w:t>Responsabilidade</w:t>
            </w:r>
          </w:p>
        </w:tc>
        <w:tc>
          <w:tcPr>
            <w:tcW w:type="dxa" w:w="4310"/>
            <w:tcMar>
              <w:top w:w="80" w:type="dxa"/>
              <w:bottom w:w="80" w:type="dxa"/>
              <w:start w:w="120" w:type="dxa"/>
              <w:end w:w="120" w:type="dxa"/>
            </w:tcMar>
            <w:vAlign w:val="center"/>
            <w:shd w:fill="2E74B5"/>
          </w:tcPr>
          <w:p>
            <w:pPr>
              <w:spacing w:after="0"/>
            </w:pPr>
            <w:r>
              <w:rPr>
                <w:rFonts w:ascii="Calibri" w:hAnsi="Calibri"/>
                <w:b/>
                <w:color w:val="FFFFFF"/>
                <w:sz w:val="21"/>
              </w:rPr>
              <w:t>Arquivos principais</w:t>
            </w:r>
          </w:p>
        </w:tc>
      </w:tr>
      <w:tr>
        <w:tc>
          <w:tcPr>
            <w:tcW w:type="dxa" w:w="1450"/>
            <w:tcMar>
              <w:top w:w="80" w:type="dxa"/>
              <w:bottom w:w="80" w:type="dxa"/>
              <w:start w:w="120" w:type="dxa"/>
              <w:end w:w="120" w:type="dxa"/>
            </w:tcMar>
            <w:vAlign w:val="center"/>
          </w:tcPr>
          <w:p>
            <w:pPr>
              <w:spacing w:after="0"/>
            </w:pPr>
            <w:r>
              <w:rPr>
                <w:rFonts w:ascii="Calibri" w:hAnsi="Calibri"/>
                <w:b w:val="0"/>
                <w:color w:val="14202F"/>
                <w:sz w:val="20"/>
              </w:rPr>
              <w:t>Frontend</w:t>
            </w:r>
          </w:p>
        </w:tc>
        <w:tc>
          <w:tcPr>
            <w:tcW w:type="dxa" w:w="3600"/>
            <w:tcMar>
              <w:top w:w="80" w:type="dxa"/>
              <w:bottom w:w="80" w:type="dxa"/>
              <w:start w:w="120" w:type="dxa"/>
              <w:end w:w="120" w:type="dxa"/>
            </w:tcMar>
            <w:vAlign w:val="center"/>
          </w:tcPr>
          <w:p>
            <w:pPr>
              <w:spacing w:after="0"/>
            </w:pPr>
            <w:r>
              <w:rPr>
                <w:rFonts w:ascii="Calibri" w:hAnsi="Calibri"/>
                <w:b w:val="0"/>
                <w:color w:val="14202F"/>
                <w:sz w:val="20"/>
              </w:rPr>
              <w:t>Questionario guiado, cards de resultado, relatorio imprimivel e export anonimo.</w:t>
            </w:r>
          </w:p>
        </w:tc>
        <w:tc>
          <w:tcPr>
            <w:tcW w:type="dxa" w:w="4310"/>
            <w:tcMar>
              <w:top w:w="80" w:type="dxa"/>
              <w:bottom w:w="80" w:type="dxa"/>
              <w:start w:w="120" w:type="dxa"/>
              <w:end w:w="120" w:type="dxa"/>
            </w:tcMar>
            <w:vAlign w:val="center"/>
          </w:tcPr>
          <w:p>
            <w:pPr>
              <w:spacing w:after="0"/>
            </w:pPr>
            <w:r>
              <w:rPr>
                <w:rFonts w:ascii="Calibri" w:hAnsi="Calibri"/>
                <w:b w:val="0"/>
                <w:color w:val="14202F"/>
                <w:sz w:val="20"/>
              </w:rPr>
              <w:t>src/components/assessment/AssessmentApp.tsx; src/app/globals.css</w:t>
            </w:r>
          </w:p>
        </w:tc>
      </w:tr>
      <w:tr>
        <w:tc>
          <w:tcPr>
            <w:tcW w:type="dxa" w:w="1450"/>
            <w:tcMar>
              <w:top w:w="80" w:type="dxa"/>
              <w:bottom w:w="80" w:type="dxa"/>
              <w:start w:w="120" w:type="dxa"/>
              <w:end w:w="120" w:type="dxa"/>
            </w:tcMar>
            <w:vAlign w:val="center"/>
            <w:shd w:fill="F8FAFC"/>
          </w:tcPr>
          <w:p>
            <w:pPr>
              <w:spacing w:after="0"/>
            </w:pPr>
            <w:r>
              <w:rPr>
                <w:rFonts w:ascii="Calibri" w:hAnsi="Calibri"/>
                <w:b w:val="0"/>
                <w:color w:val="14202F"/>
                <w:sz w:val="20"/>
              </w:rPr>
              <w:t>API</w:t>
            </w:r>
          </w:p>
        </w:tc>
        <w:tc>
          <w:tcPr>
            <w:tcW w:type="dxa" w:w="3600"/>
            <w:tcMar>
              <w:top w:w="80" w:type="dxa"/>
              <w:bottom w:w="80" w:type="dxa"/>
              <w:start w:w="120" w:type="dxa"/>
              <w:end w:w="120" w:type="dxa"/>
            </w:tcMar>
            <w:vAlign w:val="center"/>
            <w:shd w:fill="F8FAFC"/>
          </w:tcPr>
          <w:p>
            <w:pPr>
              <w:spacing w:after="0"/>
            </w:pPr>
            <w:r>
              <w:rPr>
                <w:rFonts w:ascii="Calibri" w:hAnsi="Calibri"/>
                <w:b w:val="0"/>
                <w:color w:val="14202F"/>
                <w:sz w:val="20"/>
              </w:rPr>
              <w:t>Rotas internas para avaliacao e explicacao.</w:t>
            </w:r>
          </w:p>
        </w:tc>
        <w:tc>
          <w:tcPr>
            <w:tcW w:type="dxa" w:w="4310"/>
            <w:tcMar>
              <w:top w:w="80" w:type="dxa"/>
              <w:bottom w:w="80" w:type="dxa"/>
              <w:start w:w="120" w:type="dxa"/>
              <w:end w:w="120" w:type="dxa"/>
            </w:tcMar>
            <w:vAlign w:val="center"/>
            <w:shd w:fill="F8FAFC"/>
          </w:tcPr>
          <w:p>
            <w:pPr>
              <w:spacing w:after="0"/>
            </w:pPr>
            <w:r>
              <w:rPr>
                <w:rFonts w:ascii="Calibri" w:hAnsi="Calibri"/>
                <w:b w:val="0"/>
                <w:color w:val="14202F"/>
                <w:sz w:val="20"/>
              </w:rPr>
              <w:t>src/app/api/assess/route.ts; src/app/api/explain/route.ts</w:t>
            </w:r>
          </w:p>
        </w:tc>
      </w:tr>
      <w:tr>
        <w:tc>
          <w:tcPr>
            <w:tcW w:type="dxa" w:w="1450"/>
            <w:tcMar>
              <w:top w:w="80" w:type="dxa"/>
              <w:bottom w:w="80" w:type="dxa"/>
              <w:start w:w="120" w:type="dxa"/>
              <w:end w:w="120" w:type="dxa"/>
            </w:tcMar>
            <w:vAlign w:val="center"/>
          </w:tcPr>
          <w:p>
            <w:pPr>
              <w:spacing w:after="0"/>
            </w:pPr>
            <w:r>
              <w:rPr>
                <w:rFonts w:ascii="Calibri" w:hAnsi="Calibri"/>
                <w:b w:val="0"/>
                <w:color w:val="14202F"/>
                <w:sz w:val="20"/>
              </w:rPr>
              <w:t>Motor de regras</w:t>
            </w:r>
          </w:p>
        </w:tc>
        <w:tc>
          <w:tcPr>
            <w:tcW w:type="dxa" w:w="3600"/>
            <w:tcMar>
              <w:top w:w="80" w:type="dxa"/>
              <w:bottom w:w="80" w:type="dxa"/>
              <w:start w:w="120" w:type="dxa"/>
              <w:end w:w="120" w:type="dxa"/>
            </w:tcMar>
            <w:vAlign w:val="center"/>
          </w:tcPr>
          <w:p>
            <w:pPr>
              <w:spacing w:after="0"/>
            </w:pPr>
            <w:r>
              <w:rPr>
                <w:rFonts w:ascii="Calibri" w:hAnsi="Calibri"/>
                <w:b w:val="0"/>
                <w:color w:val="14202F"/>
                <w:sz w:val="20"/>
              </w:rPr>
              <w:t>Carregar YAML, validar schema, avaliar criterios, derivar outcome e evidencias.</w:t>
            </w:r>
          </w:p>
        </w:tc>
        <w:tc>
          <w:tcPr>
            <w:tcW w:type="dxa" w:w="4310"/>
            <w:tcMar>
              <w:top w:w="80" w:type="dxa"/>
              <w:bottom w:w="80" w:type="dxa"/>
              <w:start w:w="120" w:type="dxa"/>
              <w:end w:w="120" w:type="dxa"/>
            </w:tcMar>
            <w:vAlign w:val="center"/>
          </w:tcPr>
          <w:p>
            <w:pPr>
              <w:spacing w:after="0"/>
            </w:pPr>
            <w:r>
              <w:rPr>
                <w:rFonts w:ascii="Calibri" w:hAnsi="Calibri"/>
                <w:b w:val="0"/>
                <w:color w:val="14202F"/>
                <w:sz w:val="20"/>
              </w:rPr>
              <w:t>src/lib/rules/engine.ts; load.ts; schema.ts; outcome.ts; operators.ts</w:t>
            </w:r>
          </w:p>
        </w:tc>
      </w:tr>
      <w:tr>
        <w:tc>
          <w:tcPr>
            <w:tcW w:type="dxa" w:w="1450"/>
            <w:tcMar>
              <w:top w:w="80" w:type="dxa"/>
              <w:bottom w:w="80" w:type="dxa"/>
              <w:start w:w="120" w:type="dxa"/>
              <w:end w:w="120" w:type="dxa"/>
            </w:tcMar>
            <w:vAlign w:val="center"/>
            <w:shd w:fill="F8FAFC"/>
          </w:tcPr>
          <w:p>
            <w:pPr>
              <w:spacing w:after="0"/>
            </w:pPr>
            <w:r>
              <w:rPr>
                <w:rFonts w:ascii="Calibri" w:hAnsi="Calibri"/>
                <w:b w:val="0"/>
                <w:color w:val="14202F"/>
                <w:sz w:val="20"/>
              </w:rPr>
              <w:t>Regras</w:t>
            </w:r>
          </w:p>
        </w:tc>
        <w:tc>
          <w:tcPr>
            <w:tcW w:type="dxa" w:w="3600"/>
            <w:tcMar>
              <w:top w:w="80" w:type="dxa"/>
              <w:bottom w:w="80" w:type="dxa"/>
              <w:start w:w="120" w:type="dxa"/>
              <w:end w:w="120" w:type="dxa"/>
            </w:tcMar>
            <w:vAlign w:val="center"/>
            <w:shd w:fill="F8FAFC"/>
          </w:tcPr>
          <w:p>
            <w:pPr>
              <w:spacing w:after="0"/>
            </w:pPr>
            <w:r>
              <w:rPr>
                <w:rFonts w:ascii="Calibri" w:hAnsi="Calibri"/>
                <w:b w:val="0"/>
                <w:color w:val="14202F"/>
                <w:sz w:val="20"/>
              </w:rPr>
              <w:t>Criterios declarativos por beneficio, fontes e evidencias.</w:t>
            </w:r>
          </w:p>
        </w:tc>
        <w:tc>
          <w:tcPr>
            <w:tcW w:type="dxa" w:w="4310"/>
            <w:tcMar>
              <w:top w:w="80" w:type="dxa"/>
              <w:bottom w:w="80" w:type="dxa"/>
              <w:start w:w="120" w:type="dxa"/>
              <w:end w:w="120" w:type="dxa"/>
            </w:tcMar>
            <w:vAlign w:val="center"/>
            <w:shd w:fill="F8FAFC"/>
          </w:tcPr>
          <w:p>
            <w:pPr>
              <w:spacing w:after="0"/>
            </w:pPr>
            <w:r>
              <w:rPr>
                <w:rFonts w:ascii="Calibri" w:hAnsi="Calibri"/>
                <w:b w:val="0"/>
                <w:color w:val="14202F"/>
                <w:sz w:val="20"/>
              </w:rPr>
              <w:t>rules/attendance-allowance.yaml; universal-credit.yaml; personal-independence-payment.yaml</w:t>
            </w:r>
          </w:p>
        </w:tc>
      </w:tr>
      <w:tr>
        <w:tc>
          <w:tcPr>
            <w:tcW w:type="dxa" w:w="1450"/>
            <w:tcMar>
              <w:top w:w="80" w:type="dxa"/>
              <w:bottom w:w="80" w:type="dxa"/>
              <w:start w:w="120" w:type="dxa"/>
              <w:end w:w="120" w:type="dxa"/>
            </w:tcMar>
            <w:vAlign w:val="center"/>
          </w:tcPr>
          <w:p>
            <w:pPr>
              <w:spacing w:after="0"/>
            </w:pPr>
            <w:r>
              <w:rPr>
                <w:rFonts w:ascii="Calibri" w:hAnsi="Calibri"/>
                <w:b w:val="0"/>
                <w:color w:val="14202F"/>
                <w:sz w:val="20"/>
              </w:rPr>
              <w:t>Explicacao</w:t>
            </w:r>
          </w:p>
        </w:tc>
        <w:tc>
          <w:tcPr>
            <w:tcW w:type="dxa" w:w="3600"/>
            <w:tcMar>
              <w:top w:w="80" w:type="dxa"/>
              <w:bottom w:w="80" w:type="dxa"/>
              <w:start w:w="120" w:type="dxa"/>
              <w:end w:w="120" w:type="dxa"/>
            </w:tcMar>
            <w:vAlign w:val="center"/>
          </w:tcPr>
          <w:p>
            <w:pPr>
              <w:spacing w:after="0"/>
            </w:pPr>
            <w:r>
              <w:rPr>
                <w:rFonts w:ascii="Calibri" w:hAnsi="Calibri"/>
                <w:b w:val="0"/>
                <w:color w:val="14202F"/>
                <w:sz w:val="20"/>
              </w:rPr>
              <w:t>Template deterministico, prompt seguro, validador e adaptador Gemini.</w:t>
            </w:r>
          </w:p>
        </w:tc>
        <w:tc>
          <w:tcPr>
            <w:tcW w:type="dxa" w:w="4310"/>
            <w:tcMar>
              <w:top w:w="80" w:type="dxa"/>
              <w:bottom w:w="80" w:type="dxa"/>
              <w:start w:w="120" w:type="dxa"/>
              <w:end w:w="120" w:type="dxa"/>
            </w:tcMar>
            <w:vAlign w:val="center"/>
          </w:tcPr>
          <w:p>
            <w:pPr>
              <w:spacing w:after="0"/>
            </w:pPr>
            <w:r>
              <w:rPr>
                <w:rFonts w:ascii="Calibri" w:hAnsi="Calibri"/>
                <w:b w:val="0"/>
                <w:color w:val="14202F"/>
                <w:sz w:val="20"/>
              </w:rPr>
              <w:t>src/lib/explanations/template.ts; llm.ts; gemini.ts</w:t>
            </w:r>
          </w:p>
        </w:tc>
      </w:tr>
      <w:tr>
        <w:tc>
          <w:tcPr>
            <w:tcW w:type="dxa" w:w="1450"/>
            <w:tcMar>
              <w:top w:w="80" w:type="dxa"/>
              <w:bottom w:w="80" w:type="dxa"/>
              <w:start w:w="120" w:type="dxa"/>
              <w:end w:w="120" w:type="dxa"/>
            </w:tcMar>
            <w:vAlign w:val="center"/>
            <w:shd w:fill="F8FAFC"/>
          </w:tcPr>
          <w:p>
            <w:pPr>
              <w:spacing w:after="0"/>
            </w:pPr>
            <w:r>
              <w:rPr>
                <w:rFonts w:ascii="Calibri" w:hAnsi="Calibri"/>
                <w:b w:val="0"/>
                <w:color w:val="14202F"/>
                <w:sz w:val="20"/>
              </w:rPr>
              <w:t>Testes</w:t>
            </w:r>
          </w:p>
        </w:tc>
        <w:tc>
          <w:tcPr>
            <w:tcW w:type="dxa" w:w="3600"/>
            <w:tcMar>
              <w:top w:w="80" w:type="dxa"/>
              <w:bottom w:w="80" w:type="dxa"/>
              <w:start w:w="120" w:type="dxa"/>
              <w:end w:w="120" w:type="dxa"/>
            </w:tcMar>
            <w:vAlign w:val="center"/>
            <w:shd w:fill="F8FAFC"/>
          </w:tcPr>
          <w:p>
            <w:pPr>
              <w:spacing w:after="0"/>
            </w:pPr>
            <w:r>
              <w:rPr>
                <w:rFonts w:ascii="Calibri" w:hAnsi="Calibri"/>
                <w:b w:val="0"/>
                <w:color w:val="14202F"/>
                <w:sz w:val="20"/>
              </w:rPr>
              <w:t>Unitarios, rotas, UI, acessibilidade, teclado e legibilidade.</w:t>
            </w:r>
          </w:p>
        </w:tc>
        <w:tc>
          <w:tcPr>
            <w:tcW w:type="dxa" w:w="4310"/>
            <w:tcMar>
              <w:top w:w="80" w:type="dxa"/>
              <w:bottom w:w="80" w:type="dxa"/>
              <w:start w:w="120" w:type="dxa"/>
              <w:end w:w="120" w:type="dxa"/>
            </w:tcMar>
            <w:vAlign w:val="center"/>
            <w:shd w:fill="F8FAFC"/>
          </w:tcPr>
          <w:p>
            <w:pPr>
              <w:spacing w:after="0"/>
            </w:pPr>
            <w:r>
              <w:rPr>
                <w:rFonts w:ascii="Calibri" w:hAnsi="Calibri"/>
                <w:b w:val="0"/>
                <w:color w:val="14202F"/>
                <w:sz w:val="20"/>
              </w:rPr>
              <w:t>tests/rules; tests/intake; tests/explanations; tests/e2e</w:t>
            </w:r>
          </w:p>
        </w:tc>
      </w:tr>
    </w:tbl>
    <w:p/>
    <w:tbl>
      <w:tblPr>
        <w:tblW w:type="dxa" w:w="9360"/>
        <w:tblLayout w:type="fixed"/>
        <w:tblLook w:firstColumn="1" w:firstRow="1" w:lastColumn="0" w:lastRow="0" w:noHBand="0" w:noVBand="1" w:val="04A0"/>
      </w:tblPr>
      <w:tblGrid>
        <w:gridCol w:w="9360"/>
      </w:tblGrid>
      <w:tr>
        <w:tc>
          <w:tcPr>
            <w:tcW w:type="dxa" w:w="9360"/>
            <w:shd w:fill="FFF7E6"/>
            <w:tcMar>
              <w:top w:w="140" w:type="dxa"/>
              <w:bottom w:w="140" w:type="dxa"/>
              <w:start w:w="180" w:type="dxa"/>
              <w:end w:w="180" w:type="dxa"/>
            </w:tcMar>
          </w:tcPr>
          <w:p>
            <w:pPr>
              <w:spacing w:after="0"/>
            </w:pPr>
            <w:r>
              <w:rPr>
                <w:b/>
                <w:color w:val="1F4D78"/>
              </w:rPr>
              <w:t xml:space="preserve">Decisao arquitetural importante: </w:t>
            </w:r>
            <w:r>
              <w:t>O LLM nao calcula elegibilidade, nao cria criterio e nao escolhe beneficio. Ele recebe um resultado ja calculado e tenta explicar em texto mais simples. Se a resposta externa for insegura ou indisponivel, a aplicacao usa fallback deterministico.</w:t>
            </w:r>
          </w:p>
        </w:tc>
      </w:tr>
    </w:tbl>
    <w:p/>
    <w:p>
      <w:pPr>
        <w:pStyle w:val="Heading1"/>
      </w:pPr>
      <w:r>
        <w:t>4. Fontes de dados e rastreabilidade</w:t>
      </w:r>
    </w:p>
    <w:p>
      <w:pPr>
        <w:spacing w:after="120"/>
      </w:pPr>
      <w:r>
        <w:t>A fonte principal exibida para regras de welfare rights e CPAG. GOV.UK continua como fonte oficial complementar. A aplicacao nao faz scraping ao vivo: as regras ficam explicitamente modeladas em YAML para que o comportamento seja reproduzivel e testavel.</w:t>
      </w:r>
    </w:p>
    <w:tbl>
      <w:tblPr>
        <w:tblW w:type="dxa" w:w="9360"/>
        <w:tblLayout w:type="fixed"/>
        <w:tblLook w:firstColumn="1" w:firstRow="1" w:lastColumn="0" w:lastRow="0" w:noHBand="0" w:noVBand="1" w:val="04A0"/>
      </w:tblPr>
      <w:tblGrid>
        <w:gridCol w:w="1800"/>
        <w:gridCol w:w="4180"/>
        <w:gridCol w:w="3380"/>
      </w:tblGrid>
      <w:tr>
        <w:tc>
          <w:tcPr>
            <w:tcW w:type="dxa" w:w="1800"/>
            <w:tcMar>
              <w:top w:w="80" w:type="dxa"/>
              <w:bottom w:w="80" w:type="dxa"/>
              <w:start w:w="120" w:type="dxa"/>
              <w:end w:w="120" w:type="dxa"/>
            </w:tcMar>
            <w:vAlign w:val="center"/>
            <w:shd w:fill="2E74B5"/>
          </w:tcPr>
          <w:p>
            <w:pPr>
              <w:spacing w:after="0"/>
            </w:pPr>
            <w:r>
              <w:rPr>
                <w:rFonts w:ascii="Calibri" w:hAnsi="Calibri"/>
                <w:b/>
                <w:color w:val="FFFFFF"/>
                <w:sz w:val="21"/>
              </w:rPr>
              <w:t>Beneficio</w:t>
            </w:r>
          </w:p>
        </w:tc>
        <w:tc>
          <w:tcPr>
            <w:tcW w:type="dxa" w:w="4180"/>
            <w:tcMar>
              <w:top w:w="80" w:type="dxa"/>
              <w:bottom w:w="80" w:type="dxa"/>
              <w:start w:w="120" w:type="dxa"/>
              <w:end w:w="120" w:type="dxa"/>
            </w:tcMar>
            <w:vAlign w:val="center"/>
            <w:shd w:fill="2E74B5"/>
          </w:tcPr>
          <w:p>
            <w:pPr>
              <w:spacing w:after="0"/>
            </w:pPr>
            <w:r>
              <w:rPr>
                <w:rFonts w:ascii="Calibri" w:hAnsi="Calibri"/>
                <w:b/>
                <w:color w:val="FFFFFF"/>
                <w:sz w:val="21"/>
              </w:rPr>
              <w:t>Fonte CPAG principal</w:t>
            </w:r>
          </w:p>
        </w:tc>
        <w:tc>
          <w:tcPr>
            <w:tcW w:type="dxa" w:w="3380"/>
            <w:tcMar>
              <w:top w:w="80" w:type="dxa"/>
              <w:bottom w:w="80" w:type="dxa"/>
              <w:start w:w="120" w:type="dxa"/>
              <w:end w:w="120" w:type="dxa"/>
            </w:tcMar>
            <w:vAlign w:val="center"/>
            <w:shd w:fill="2E74B5"/>
          </w:tcPr>
          <w:p>
            <w:pPr>
              <w:spacing w:after="0"/>
            </w:pPr>
            <w:r>
              <w:rPr>
                <w:rFonts w:ascii="Calibri" w:hAnsi="Calibri"/>
                <w:b/>
                <w:color w:val="FFFFFF"/>
                <w:sz w:val="21"/>
              </w:rPr>
              <w:t>Fonte GOV.UK complementar</w:t>
            </w:r>
          </w:p>
        </w:tc>
      </w:tr>
      <w:tr>
        <w:tc>
          <w:tcPr>
            <w:tcW w:type="dxa" w:w="1800"/>
            <w:tcMar>
              <w:top w:w="80" w:type="dxa"/>
              <w:bottom w:w="80" w:type="dxa"/>
              <w:start w:w="120" w:type="dxa"/>
              <w:end w:w="120" w:type="dxa"/>
            </w:tcMar>
            <w:vAlign w:val="center"/>
          </w:tcPr>
          <w:p>
            <w:pPr>
              <w:spacing w:after="0"/>
            </w:pPr>
            <w:r>
              <w:rPr>
                <w:rFonts w:ascii="Calibri" w:hAnsi="Calibri"/>
                <w:b w:val="0"/>
                <w:color w:val="14202F"/>
                <w:sz w:val="20"/>
              </w:rPr>
              <w:t>Universal Credit</w:t>
            </w:r>
          </w:p>
        </w:tc>
        <w:tc>
          <w:tcPr>
            <w:tcW w:type="dxa" w:w="4180"/>
            <w:tcMar>
              <w:top w:w="80" w:type="dxa"/>
              <w:bottom w:w="80" w:type="dxa"/>
              <w:start w:w="120" w:type="dxa"/>
              <w:end w:w="120" w:type="dxa"/>
            </w:tcMar>
            <w:vAlign w:val="center"/>
          </w:tcPr>
          <w:p>
            <w:pPr>
              <w:spacing w:after="0"/>
            </w:pPr>
            <w:r>
              <w:rPr>
                <w:rFonts w:ascii="Calibri" w:hAnsi="Calibri"/>
                <w:b w:val="0"/>
                <w:color w:val="14202F"/>
                <w:sz w:val="20"/>
              </w:rPr>
              <w:t>https://cpag.org.uk/welfare-rights/key-topics/universal-credit/universal-credit-basics</w:t>
            </w:r>
          </w:p>
        </w:tc>
        <w:tc>
          <w:tcPr>
            <w:tcW w:type="dxa" w:w="3380"/>
            <w:tcMar>
              <w:top w:w="80" w:type="dxa"/>
              <w:bottom w:w="80" w:type="dxa"/>
              <w:start w:w="120" w:type="dxa"/>
              <w:end w:w="120" w:type="dxa"/>
            </w:tcMar>
            <w:vAlign w:val="center"/>
          </w:tcPr>
          <w:p>
            <w:pPr>
              <w:spacing w:after="0"/>
            </w:pPr>
            <w:r>
              <w:rPr>
                <w:rFonts w:ascii="Calibri" w:hAnsi="Calibri"/>
                <w:b w:val="0"/>
                <w:color w:val="14202F"/>
                <w:sz w:val="20"/>
              </w:rPr>
              <w:t>https://www.gov.uk/universal-credit/eligibility</w:t>
            </w:r>
          </w:p>
        </w:tc>
      </w:tr>
      <w:tr>
        <w:tc>
          <w:tcPr>
            <w:tcW w:type="dxa" w:w="1800"/>
            <w:tcMar>
              <w:top w:w="80" w:type="dxa"/>
              <w:bottom w:w="80" w:type="dxa"/>
              <w:start w:w="120" w:type="dxa"/>
              <w:end w:w="120" w:type="dxa"/>
            </w:tcMar>
            <w:vAlign w:val="center"/>
            <w:shd w:fill="F8FAFC"/>
          </w:tcPr>
          <w:p>
            <w:pPr>
              <w:spacing w:after="0"/>
            </w:pPr>
            <w:r>
              <w:rPr>
                <w:rFonts w:ascii="Calibri" w:hAnsi="Calibri"/>
                <w:b w:val="0"/>
                <w:color w:val="14202F"/>
                <w:sz w:val="20"/>
              </w:rPr>
              <w:t>Personal Independence Payment</w:t>
            </w:r>
          </w:p>
        </w:tc>
        <w:tc>
          <w:tcPr>
            <w:tcW w:type="dxa" w:w="4180"/>
            <w:tcMar>
              <w:top w:w="80" w:type="dxa"/>
              <w:bottom w:w="80" w:type="dxa"/>
              <w:start w:w="120" w:type="dxa"/>
              <w:end w:w="120" w:type="dxa"/>
            </w:tcMar>
            <w:vAlign w:val="center"/>
            <w:shd w:fill="F8FAFC"/>
          </w:tcPr>
          <w:p>
            <w:pPr>
              <w:spacing w:after="0"/>
            </w:pPr>
            <w:r>
              <w:rPr>
                <w:rFonts w:ascii="Calibri" w:hAnsi="Calibri"/>
                <w:b w:val="0"/>
                <w:color w:val="14202F"/>
                <w:sz w:val="20"/>
              </w:rPr>
              <w:t>https://cpag.org.uk/welfare-rights/key-topics/personal-independence-payment</w:t>
            </w:r>
          </w:p>
        </w:tc>
        <w:tc>
          <w:tcPr>
            <w:tcW w:type="dxa" w:w="3380"/>
            <w:tcMar>
              <w:top w:w="80" w:type="dxa"/>
              <w:bottom w:w="80" w:type="dxa"/>
              <w:start w:w="120" w:type="dxa"/>
              <w:end w:w="120" w:type="dxa"/>
            </w:tcMar>
            <w:vAlign w:val="center"/>
            <w:shd w:fill="F8FAFC"/>
          </w:tcPr>
          <w:p>
            <w:pPr>
              <w:spacing w:after="0"/>
            </w:pPr>
            <w:r>
              <w:rPr>
                <w:rFonts w:ascii="Calibri" w:hAnsi="Calibri"/>
                <w:b w:val="0"/>
                <w:color w:val="14202F"/>
                <w:sz w:val="20"/>
              </w:rPr>
              <w:t>https://www.gov.uk/pip/eligibility</w:t>
            </w:r>
          </w:p>
        </w:tc>
      </w:tr>
      <w:tr>
        <w:tc>
          <w:tcPr>
            <w:tcW w:type="dxa" w:w="1800"/>
            <w:tcMar>
              <w:top w:w="80" w:type="dxa"/>
              <w:bottom w:w="80" w:type="dxa"/>
              <w:start w:w="120" w:type="dxa"/>
              <w:end w:w="120" w:type="dxa"/>
            </w:tcMar>
            <w:vAlign w:val="center"/>
          </w:tcPr>
          <w:p>
            <w:pPr>
              <w:spacing w:after="0"/>
            </w:pPr>
            <w:r>
              <w:rPr>
                <w:rFonts w:ascii="Calibri" w:hAnsi="Calibri"/>
                <w:b w:val="0"/>
                <w:color w:val="14202F"/>
                <w:sz w:val="20"/>
              </w:rPr>
              <w:t>Attendance Allowance</w:t>
            </w:r>
          </w:p>
        </w:tc>
        <w:tc>
          <w:tcPr>
            <w:tcW w:type="dxa" w:w="4180"/>
            <w:tcMar>
              <w:top w:w="80" w:type="dxa"/>
              <w:bottom w:w="80" w:type="dxa"/>
              <w:start w:w="120" w:type="dxa"/>
              <w:end w:w="120" w:type="dxa"/>
            </w:tcMar>
            <w:vAlign w:val="center"/>
          </w:tcPr>
          <w:p>
            <w:pPr>
              <w:spacing w:after="0"/>
            </w:pPr>
            <w:r>
              <w:rPr>
                <w:rFonts w:ascii="Calibri" w:hAnsi="Calibri"/>
                <w:b w:val="0"/>
                <w:color w:val="14202F"/>
                <w:sz w:val="20"/>
              </w:rPr>
              <w:t>https://cpag.org.uk/welfare-rights</w:t>
            </w:r>
          </w:p>
        </w:tc>
        <w:tc>
          <w:tcPr>
            <w:tcW w:type="dxa" w:w="3380"/>
            <w:tcMar>
              <w:top w:w="80" w:type="dxa"/>
              <w:bottom w:w="80" w:type="dxa"/>
              <w:start w:w="120" w:type="dxa"/>
              <w:end w:w="120" w:type="dxa"/>
            </w:tcMar>
            <w:vAlign w:val="center"/>
          </w:tcPr>
          <w:p>
            <w:pPr>
              <w:spacing w:after="0"/>
            </w:pPr>
            <w:r>
              <w:rPr>
                <w:rFonts w:ascii="Calibri" w:hAnsi="Calibri"/>
                <w:b w:val="0"/>
                <w:color w:val="14202F"/>
                <w:sz w:val="20"/>
              </w:rPr>
              <w:t>https://www.gov.uk/attendance-allowance/eligibility</w:t>
            </w:r>
          </w:p>
        </w:tc>
      </w:tr>
    </w:tbl>
    <w:p/>
    <w:p>
      <w:pPr>
        <w:pStyle w:val="ListBullet"/>
        <w:spacing w:after="80"/>
        <w:ind w:left="720" w:hanging="360"/>
      </w:pPr>
      <w:r>
        <w:t>Cada resultado carrega rulesVersion para rastrear a versao exata do YAML usado.</w:t>
      </w:r>
    </w:p>
    <w:p>
      <w:pPr>
        <w:pStyle w:val="ListBullet"/>
        <w:spacing w:after="80"/>
        <w:ind w:left="720" w:hanging="360"/>
      </w:pPr>
      <w:r>
        <w:t>Cada criterio tem explicacao e URL de fonte.</w:t>
      </w:r>
    </w:p>
    <w:p>
      <w:pPr>
        <w:pStyle w:val="ListBullet"/>
        <w:spacing w:after="80"/>
        <w:ind w:left="720" w:hanging="360"/>
      </w:pPr>
      <w:r>
        <w:t>Fontes complementares aparecem separadas do trace CPAG.</w:t>
      </w:r>
    </w:p>
    <w:p>
      <w:pPr>
        <w:pStyle w:val="ListBullet"/>
        <w:spacing w:after="80"/>
        <w:ind w:left="720" w:hanging="360"/>
      </w:pPr>
      <w:r>
        <w:t>A decisao de nao usar scraping ao vivo reduz instabilidade durante avaliacao e demonstracao.</w:t>
      </w:r>
    </w:p>
    <w:p>
      <w:pPr>
        <w:pStyle w:val="Heading1"/>
      </w:pPr>
      <w:r>
        <w:t>5. Evidencias de qualidade</w:t>
      </w:r>
    </w:p>
    <w:p>
      <w:pPr>
        <w:spacing w:after="120"/>
      </w:pPr>
      <w:r>
        <w:t>O projeto possui verificacoes automatizadas que podem ser citadas no report como evidencia de engenharia, confiabilidade e acessibilidade. A verificacao mais recente, apos o polimento dos cards de resultado, passou nos seguintes gates.</w:t>
      </w:r>
    </w:p>
    <w:tbl>
      <w:tblPr>
        <w:tblW w:type="dxa" w:w="9360"/>
        <w:tblLayout w:type="fixed"/>
        <w:tblLook w:firstColumn="1" w:firstRow="1" w:lastColumn="0" w:lastRow="0" w:noHBand="0" w:noVBand="1" w:val="04A0"/>
      </w:tblPr>
      <w:tblGrid>
        <w:gridCol w:w="2300"/>
        <w:gridCol w:w="2700"/>
        <w:gridCol w:w="4360"/>
      </w:tblGrid>
      <w:tr>
        <w:tc>
          <w:tcPr>
            <w:tcW w:type="dxa" w:w="2300"/>
            <w:tcMar>
              <w:top w:w="80" w:type="dxa"/>
              <w:bottom w:w="80" w:type="dxa"/>
              <w:start w:w="120" w:type="dxa"/>
              <w:end w:w="120" w:type="dxa"/>
            </w:tcMar>
            <w:vAlign w:val="center"/>
            <w:shd w:fill="2E74B5"/>
          </w:tcPr>
          <w:p>
            <w:pPr>
              <w:spacing w:after="0"/>
            </w:pPr>
            <w:r>
              <w:rPr>
                <w:rFonts w:ascii="Calibri" w:hAnsi="Calibri"/>
                <w:b/>
                <w:color w:val="FFFFFF"/>
                <w:sz w:val="21"/>
              </w:rPr>
              <w:t>Verificacao</w:t>
            </w:r>
          </w:p>
        </w:tc>
        <w:tc>
          <w:tcPr>
            <w:tcW w:type="dxa" w:w="2700"/>
            <w:tcMar>
              <w:top w:w="80" w:type="dxa"/>
              <w:bottom w:w="80" w:type="dxa"/>
              <w:start w:w="120" w:type="dxa"/>
              <w:end w:w="120" w:type="dxa"/>
            </w:tcMar>
            <w:vAlign w:val="center"/>
            <w:shd w:fill="2E74B5"/>
          </w:tcPr>
          <w:p>
            <w:pPr>
              <w:spacing w:after="0"/>
            </w:pPr>
            <w:r>
              <w:rPr>
                <w:rFonts w:ascii="Calibri" w:hAnsi="Calibri"/>
                <w:b/>
                <w:color w:val="FFFFFF"/>
                <w:sz w:val="21"/>
              </w:rPr>
              <w:t>Resultado recente</w:t>
            </w:r>
          </w:p>
        </w:tc>
        <w:tc>
          <w:tcPr>
            <w:tcW w:type="dxa" w:w="4360"/>
            <w:tcMar>
              <w:top w:w="80" w:type="dxa"/>
              <w:bottom w:w="80" w:type="dxa"/>
              <w:start w:w="120" w:type="dxa"/>
              <w:end w:w="120" w:type="dxa"/>
            </w:tcMar>
            <w:vAlign w:val="center"/>
            <w:shd w:fill="2E74B5"/>
          </w:tcPr>
          <w:p>
            <w:pPr>
              <w:spacing w:after="0"/>
            </w:pPr>
            <w:r>
              <w:rPr>
                <w:rFonts w:ascii="Calibri" w:hAnsi="Calibri"/>
                <w:b/>
                <w:color w:val="FFFFFF"/>
                <w:sz w:val="21"/>
              </w:rPr>
              <w:t>O que comprova</w:t>
            </w:r>
          </w:p>
        </w:tc>
      </w:tr>
      <w:tr>
        <w:tc>
          <w:tcPr>
            <w:tcW w:type="dxa" w:w="2300"/>
            <w:tcMar>
              <w:top w:w="80" w:type="dxa"/>
              <w:bottom w:w="80" w:type="dxa"/>
              <w:start w:w="120" w:type="dxa"/>
              <w:end w:w="120" w:type="dxa"/>
            </w:tcMar>
            <w:vAlign w:val="center"/>
          </w:tcPr>
          <w:p>
            <w:pPr>
              <w:spacing w:after="0"/>
            </w:pPr>
            <w:r>
              <w:rPr>
                <w:rFonts w:ascii="Calibri" w:hAnsi="Calibri"/>
                <w:b w:val="0"/>
                <w:color w:val="14202F"/>
                <w:sz w:val="20"/>
              </w:rPr>
              <w:t>npm test</w:t>
            </w:r>
          </w:p>
        </w:tc>
        <w:tc>
          <w:tcPr>
            <w:tcW w:type="dxa" w:w="2700"/>
            <w:tcMar>
              <w:top w:w="80" w:type="dxa"/>
              <w:bottom w:w="80" w:type="dxa"/>
              <w:start w:w="120" w:type="dxa"/>
              <w:end w:w="120" w:type="dxa"/>
            </w:tcMar>
            <w:vAlign w:val="center"/>
          </w:tcPr>
          <w:p>
            <w:pPr>
              <w:spacing w:after="0"/>
            </w:pPr>
            <w:r>
              <w:rPr>
                <w:rFonts w:ascii="Calibri" w:hAnsi="Calibri"/>
                <w:b w:val="0"/>
                <w:color w:val="14202F"/>
                <w:sz w:val="20"/>
              </w:rPr>
              <w:t>14 arquivos / 119 testes passando</w:t>
            </w:r>
          </w:p>
        </w:tc>
        <w:tc>
          <w:tcPr>
            <w:tcW w:type="dxa" w:w="4360"/>
            <w:tcMar>
              <w:top w:w="80" w:type="dxa"/>
              <w:bottom w:w="80" w:type="dxa"/>
              <w:start w:w="120" w:type="dxa"/>
              <w:end w:w="120" w:type="dxa"/>
            </w:tcMar>
            <w:vAlign w:val="center"/>
          </w:tcPr>
          <w:p>
            <w:pPr>
              <w:spacing w:after="0"/>
            </w:pPr>
            <w:r>
              <w:rPr>
                <w:rFonts w:ascii="Calibri" w:hAnsi="Calibri"/>
                <w:b w:val="0"/>
                <w:color w:val="14202F"/>
                <w:sz w:val="20"/>
              </w:rPr>
              <w:t>Regras, rotas, UI, explicacoes, helpers e legibilidade.</w:t>
            </w:r>
          </w:p>
        </w:tc>
      </w:tr>
      <w:tr>
        <w:tc>
          <w:tcPr>
            <w:tcW w:type="dxa" w:w="2300"/>
            <w:tcMar>
              <w:top w:w="80" w:type="dxa"/>
              <w:bottom w:w="80" w:type="dxa"/>
              <w:start w:w="120" w:type="dxa"/>
              <w:end w:w="120" w:type="dxa"/>
            </w:tcMar>
            <w:vAlign w:val="center"/>
            <w:shd w:fill="F8FAFC"/>
          </w:tcPr>
          <w:p>
            <w:pPr>
              <w:spacing w:after="0"/>
            </w:pPr>
            <w:r>
              <w:rPr>
                <w:rFonts w:ascii="Calibri" w:hAnsi="Calibri"/>
                <w:b w:val="0"/>
                <w:color w:val="14202F"/>
                <w:sz w:val="20"/>
              </w:rPr>
              <w:t>npx tsc --noEmit</w:t>
            </w:r>
          </w:p>
        </w:tc>
        <w:tc>
          <w:tcPr>
            <w:tcW w:type="dxa" w:w="2700"/>
            <w:tcMar>
              <w:top w:w="80" w:type="dxa"/>
              <w:bottom w:w="80" w:type="dxa"/>
              <w:start w:w="120" w:type="dxa"/>
              <w:end w:w="120" w:type="dxa"/>
            </w:tcMar>
            <w:vAlign w:val="center"/>
            <w:shd w:fill="F8FAFC"/>
          </w:tcPr>
          <w:p>
            <w:pPr>
              <w:spacing w:after="0"/>
            </w:pPr>
            <w:r>
              <w:rPr>
                <w:rFonts w:ascii="Calibri" w:hAnsi="Calibri"/>
                <w:b w:val="0"/>
                <w:color w:val="14202F"/>
                <w:sz w:val="20"/>
              </w:rPr>
              <w:t>Passou</w:t>
            </w:r>
          </w:p>
        </w:tc>
        <w:tc>
          <w:tcPr>
            <w:tcW w:type="dxa" w:w="4360"/>
            <w:tcMar>
              <w:top w:w="80" w:type="dxa"/>
              <w:bottom w:w="80" w:type="dxa"/>
              <w:start w:w="120" w:type="dxa"/>
              <w:end w:w="120" w:type="dxa"/>
            </w:tcMar>
            <w:vAlign w:val="center"/>
            <w:shd w:fill="F8FAFC"/>
          </w:tcPr>
          <w:p>
            <w:pPr>
              <w:spacing w:after="0"/>
            </w:pPr>
            <w:r>
              <w:rPr>
                <w:rFonts w:ascii="Calibri" w:hAnsi="Calibri"/>
                <w:b w:val="0"/>
                <w:color w:val="14202F"/>
                <w:sz w:val="20"/>
              </w:rPr>
              <w:t>Consistencia de tipos TypeScript.</w:t>
            </w:r>
          </w:p>
        </w:tc>
      </w:tr>
      <w:tr>
        <w:tc>
          <w:tcPr>
            <w:tcW w:type="dxa" w:w="2300"/>
            <w:tcMar>
              <w:top w:w="80" w:type="dxa"/>
              <w:bottom w:w="80" w:type="dxa"/>
              <w:start w:w="120" w:type="dxa"/>
              <w:end w:w="120" w:type="dxa"/>
            </w:tcMar>
            <w:vAlign w:val="center"/>
          </w:tcPr>
          <w:p>
            <w:pPr>
              <w:spacing w:after="0"/>
            </w:pPr>
            <w:r>
              <w:rPr>
                <w:rFonts w:ascii="Calibri" w:hAnsi="Calibri"/>
                <w:b w:val="0"/>
                <w:color w:val="14202F"/>
                <w:sz w:val="20"/>
              </w:rPr>
              <w:t>npm run lint</w:t>
            </w:r>
          </w:p>
        </w:tc>
        <w:tc>
          <w:tcPr>
            <w:tcW w:type="dxa" w:w="2700"/>
            <w:tcMar>
              <w:top w:w="80" w:type="dxa"/>
              <w:bottom w:w="80" w:type="dxa"/>
              <w:start w:w="120" w:type="dxa"/>
              <w:end w:w="120" w:type="dxa"/>
            </w:tcMar>
            <w:vAlign w:val="center"/>
          </w:tcPr>
          <w:p>
            <w:pPr>
              <w:spacing w:after="0"/>
            </w:pPr>
            <w:r>
              <w:rPr>
                <w:rFonts w:ascii="Calibri" w:hAnsi="Calibri"/>
                <w:b w:val="0"/>
                <w:color w:val="14202F"/>
                <w:sz w:val="20"/>
              </w:rPr>
              <w:t>Passou</w:t>
            </w:r>
          </w:p>
        </w:tc>
        <w:tc>
          <w:tcPr>
            <w:tcW w:type="dxa" w:w="4360"/>
            <w:tcMar>
              <w:top w:w="80" w:type="dxa"/>
              <w:bottom w:w="80" w:type="dxa"/>
              <w:start w:w="120" w:type="dxa"/>
              <w:end w:w="120" w:type="dxa"/>
            </w:tcMar>
            <w:vAlign w:val="center"/>
          </w:tcPr>
          <w:p>
            <w:pPr>
              <w:spacing w:after="0"/>
            </w:pPr>
            <w:r>
              <w:rPr>
                <w:rFonts w:ascii="Calibri" w:hAnsi="Calibri"/>
                <w:b w:val="0"/>
                <w:color w:val="14202F"/>
                <w:sz w:val="20"/>
              </w:rPr>
              <w:t>Padrao estatico de codigo.</w:t>
            </w:r>
          </w:p>
        </w:tc>
      </w:tr>
      <w:tr>
        <w:tc>
          <w:tcPr>
            <w:tcW w:type="dxa" w:w="2300"/>
            <w:tcMar>
              <w:top w:w="80" w:type="dxa"/>
              <w:bottom w:w="80" w:type="dxa"/>
              <w:start w:w="120" w:type="dxa"/>
              <w:end w:w="120" w:type="dxa"/>
            </w:tcMar>
            <w:vAlign w:val="center"/>
            <w:shd w:fill="F8FAFC"/>
          </w:tcPr>
          <w:p>
            <w:pPr>
              <w:spacing w:after="0"/>
            </w:pPr>
            <w:r>
              <w:rPr>
                <w:rFonts w:ascii="Calibri" w:hAnsi="Calibri"/>
                <w:b w:val="0"/>
                <w:color w:val="14202F"/>
                <w:sz w:val="20"/>
              </w:rPr>
              <w:t>npm run test:coverage</w:t>
            </w:r>
          </w:p>
        </w:tc>
        <w:tc>
          <w:tcPr>
            <w:tcW w:type="dxa" w:w="2700"/>
            <w:tcMar>
              <w:top w:w="80" w:type="dxa"/>
              <w:bottom w:w="80" w:type="dxa"/>
              <w:start w:w="120" w:type="dxa"/>
              <w:end w:w="120" w:type="dxa"/>
            </w:tcMar>
            <w:vAlign w:val="center"/>
            <w:shd w:fill="F8FAFC"/>
          </w:tcPr>
          <w:p>
            <w:pPr>
              <w:spacing w:after="0"/>
            </w:pPr>
            <w:r>
              <w:rPr>
                <w:rFonts w:ascii="Calibri" w:hAnsi="Calibri"/>
                <w:b w:val="0"/>
                <w:color w:val="14202F"/>
                <w:sz w:val="20"/>
              </w:rPr>
              <w:t>97.43% statements; 94.2% branches</w:t>
            </w:r>
          </w:p>
        </w:tc>
        <w:tc>
          <w:tcPr>
            <w:tcW w:type="dxa" w:w="4360"/>
            <w:tcMar>
              <w:top w:w="80" w:type="dxa"/>
              <w:bottom w:w="80" w:type="dxa"/>
              <w:start w:w="120" w:type="dxa"/>
              <w:end w:w="120" w:type="dxa"/>
            </w:tcMar>
            <w:vAlign w:val="center"/>
            <w:shd w:fill="F8FAFC"/>
          </w:tcPr>
          <w:p>
            <w:pPr>
              <w:spacing w:after="0"/>
            </w:pPr>
            <w:r>
              <w:rPr>
                <w:rFonts w:ascii="Calibri" w:hAnsi="Calibri"/>
                <w:b w:val="0"/>
                <w:color w:val="14202F"/>
                <w:sz w:val="20"/>
              </w:rPr>
              <w:t>Cobertura acima do gate definido.</w:t>
            </w:r>
          </w:p>
        </w:tc>
      </w:tr>
      <w:tr>
        <w:tc>
          <w:tcPr>
            <w:tcW w:type="dxa" w:w="2300"/>
            <w:tcMar>
              <w:top w:w="80" w:type="dxa"/>
              <w:bottom w:w="80" w:type="dxa"/>
              <w:start w:w="120" w:type="dxa"/>
              <w:end w:w="120" w:type="dxa"/>
            </w:tcMar>
            <w:vAlign w:val="center"/>
          </w:tcPr>
          <w:p>
            <w:pPr>
              <w:spacing w:after="0"/>
            </w:pPr>
            <w:r>
              <w:rPr>
                <w:rFonts w:ascii="Calibri" w:hAnsi="Calibri"/>
                <w:b w:val="0"/>
                <w:color w:val="14202F"/>
                <w:sz w:val="20"/>
              </w:rPr>
              <w:t>npm run build</w:t>
            </w:r>
          </w:p>
        </w:tc>
        <w:tc>
          <w:tcPr>
            <w:tcW w:type="dxa" w:w="2700"/>
            <w:tcMar>
              <w:top w:w="80" w:type="dxa"/>
              <w:bottom w:w="80" w:type="dxa"/>
              <w:start w:w="120" w:type="dxa"/>
              <w:end w:w="120" w:type="dxa"/>
            </w:tcMar>
            <w:vAlign w:val="center"/>
          </w:tcPr>
          <w:p>
            <w:pPr>
              <w:spacing w:after="0"/>
            </w:pPr>
            <w:r>
              <w:rPr>
                <w:rFonts w:ascii="Calibri" w:hAnsi="Calibri"/>
                <w:b w:val="0"/>
                <w:color w:val="14202F"/>
                <w:sz w:val="20"/>
              </w:rPr>
              <w:t>Passou</w:t>
            </w:r>
          </w:p>
        </w:tc>
        <w:tc>
          <w:tcPr>
            <w:tcW w:type="dxa" w:w="4360"/>
            <w:tcMar>
              <w:top w:w="80" w:type="dxa"/>
              <w:bottom w:w="80" w:type="dxa"/>
              <w:start w:w="120" w:type="dxa"/>
              <w:end w:w="120" w:type="dxa"/>
            </w:tcMar>
            <w:vAlign w:val="center"/>
          </w:tcPr>
          <w:p>
            <w:pPr>
              <w:spacing w:after="0"/>
            </w:pPr>
            <w:r>
              <w:rPr>
                <w:rFonts w:ascii="Calibri" w:hAnsi="Calibri"/>
                <w:b w:val="0"/>
                <w:color w:val="14202F"/>
                <w:sz w:val="20"/>
              </w:rPr>
              <w:t>Build de producao Next.js.</w:t>
            </w:r>
          </w:p>
        </w:tc>
      </w:tr>
      <w:tr>
        <w:tc>
          <w:tcPr>
            <w:tcW w:type="dxa" w:w="2300"/>
            <w:tcMar>
              <w:top w:w="80" w:type="dxa"/>
              <w:bottom w:w="80" w:type="dxa"/>
              <w:start w:w="120" w:type="dxa"/>
              <w:end w:w="120" w:type="dxa"/>
            </w:tcMar>
            <w:vAlign w:val="center"/>
            <w:shd w:fill="F8FAFC"/>
          </w:tcPr>
          <w:p>
            <w:pPr>
              <w:spacing w:after="0"/>
            </w:pPr>
            <w:r>
              <w:rPr>
                <w:rFonts w:ascii="Calibri" w:hAnsi="Calibri"/>
                <w:b w:val="0"/>
                <w:color w:val="14202F"/>
                <w:sz w:val="20"/>
              </w:rPr>
              <w:t>npm run test:a11y</w:t>
            </w:r>
          </w:p>
        </w:tc>
        <w:tc>
          <w:tcPr>
            <w:tcW w:type="dxa" w:w="2700"/>
            <w:tcMar>
              <w:top w:w="80" w:type="dxa"/>
              <w:bottom w:w="80" w:type="dxa"/>
              <w:start w:w="120" w:type="dxa"/>
              <w:end w:w="120" w:type="dxa"/>
            </w:tcMar>
            <w:vAlign w:val="center"/>
            <w:shd w:fill="F8FAFC"/>
          </w:tcPr>
          <w:p>
            <w:pPr>
              <w:spacing w:after="0"/>
            </w:pPr>
            <w:r>
              <w:rPr>
                <w:rFonts w:ascii="Calibri" w:hAnsi="Calibri"/>
                <w:b w:val="0"/>
                <w:color w:val="14202F"/>
                <w:sz w:val="20"/>
              </w:rPr>
              <w:t>3 Playwright tests passando</w:t>
            </w:r>
          </w:p>
        </w:tc>
        <w:tc>
          <w:tcPr>
            <w:tcW w:type="dxa" w:w="4360"/>
            <w:tcMar>
              <w:top w:w="80" w:type="dxa"/>
              <w:bottom w:w="80" w:type="dxa"/>
              <w:start w:w="120" w:type="dxa"/>
              <w:end w:w="120" w:type="dxa"/>
            </w:tcMar>
            <w:vAlign w:val="center"/>
            <w:shd w:fill="F8FAFC"/>
          </w:tcPr>
          <w:p>
            <w:pPr>
              <w:spacing w:after="0"/>
            </w:pPr>
            <w:r>
              <w:rPr>
                <w:rFonts w:ascii="Calibri" w:hAnsi="Calibri"/>
                <w:b w:val="0"/>
                <w:color w:val="14202F"/>
                <w:sz w:val="20"/>
              </w:rPr>
              <w:t>Axe/WCAG automatizado e fluxo por teclado.</w:t>
            </w:r>
          </w:p>
        </w:tc>
      </w:tr>
      <w:tr>
        <w:tc>
          <w:tcPr>
            <w:tcW w:type="dxa" w:w="2300"/>
            <w:tcMar>
              <w:top w:w="80" w:type="dxa"/>
              <w:bottom w:w="80" w:type="dxa"/>
              <w:start w:w="120" w:type="dxa"/>
              <w:end w:w="120" w:type="dxa"/>
            </w:tcMar>
            <w:vAlign w:val="center"/>
          </w:tcPr>
          <w:p>
            <w:pPr>
              <w:spacing w:after="0"/>
            </w:pPr>
            <w:r>
              <w:rPr>
                <w:rFonts w:ascii="Calibri" w:hAnsi="Calibri"/>
                <w:b w:val="0"/>
                <w:color w:val="14202F"/>
                <w:sz w:val="20"/>
              </w:rPr>
              <w:t>Smoke de producao</w:t>
            </w:r>
          </w:p>
        </w:tc>
        <w:tc>
          <w:tcPr>
            <w:tcW w:type="dxa" w:w="2700"/>
            <w:tcMar>
              <w:top w:w="80" w:type="dxa"/>
              <w:bottom w:w="80" w:type="dxa"/>
              <w:start w:w="120" w:type="dxa"/>
              <w:end w:w="120" w:type="dxa"/>
            </w:tcMar>
            <w:vAlign w:val="center"/>
          </w:tcPr>
          <w:p>
            <w:pPr>
              <w:spacing w:after="0"/>
            </w:pPr>
            <w:r>
              <w:rPr>
                <w:rFonts w:ascii="Calibri" w:hAnsi="Calibri"/>
                <w:b w:val="0"/>
                <w:color w:val="14202F"/>
                <w:sz w:val="20"/>
              </w:rPr>
              <w:t>HTTP 200 e API retornando CPAG + GOV.UK</w:t>
            </w:r>
          </w:p>
        </w:tc>
        <w:tc>
          <w:tcPr>
            <w:tcW w:type="dxa" w:w="4360"/>
            <w:tcMar>
              <w:top w:w="80" w:type="dxa"/>
              <w:bottom w:w="80" w:type="dxa"/>
              <w:start w:w="120" w:type="dxa"/>
              <w:end w:w="120" w:type="dxa"/>
            </w:tcMar>
            <w:vAlign w:val="center"/>
          </w:tcPr>
          <w:p>
            <w:pPr>
              <w:spacing w:after="0"/>
            </w:pPr>
            <w:r>
              <w:rPr>
                <w:rFonts w:ascii="Calibri" w:hAnsi="Calibri"/>
                <w:b w:val="0"/>
                <w:color w:val="14202F"/>
                <w:sz w:val="20"/>
              </w:rPr>
              <w:t>Deploy publico funcional apos alteracoes.</w:t>
            </w:r>
          </w:p>
        </w:tc>
      </w:tr>
    </w:tbl>
    <w:p/>
    <w:p>
      <w:pPr>
        <w:pStyle w:val="Heading1"/>
      </w:pPr>
      <w:r>
        <w:t>6. Etica, privacidade e avaliacao com usuarios</w:t>
      </w:r>
    </w:p>
    <w:p>
      <w:pPr>
        <w:spacing w:after="120"/>
      </w:pPr>
      <w:r>
        <w:t>O projeto foi estruturado para reduzir risco antes de qualquer teste com participantes. Nao ha login, banco de dados de usuarios ou armazenamento persistente de dados pessoais. Os testes devem usar cenarios ficticios ate haver aprovacao etica.</w:t>
      </w:r>
    </w:p>
    <w:p>
      <w:pPr>
        <w:pStyle w:val="ListBullet"/>
        <w:spacing w:after="80"/>
        <w:ind w:left="720" w:hanging="360"/>
      </w:pPr>
      <w:r>
        <w:t>Participantes nao devem inserir dados reais de saude, renda, imigracao ou beneficios.</w:t>
      </w:r>
    </w:p>
    <w:p>
      <w:pPr>
        <w:pStyle w:val="ListBullet"/>
        <w:spacing w:after="80"/>
        <w:ind w:left="720" w:hanging="360"/>
      </w:pPr>
      <w:r>
        <w:t>O export JSON e anonimo e serve para avaliacao de usabilidade, nao para perfilamento.</w:t>
      </w:r>
    </w:p>
    <w:p>
      <w:pPr>
        <w:pStyle w:val="ListBullet"/>
        <w:spacing w:after="80"/>
        <w:ind w:left="720" w:hanging="360"/>
      </w:pPr>
      <w:r>
        <w:t>O site informa que nao oferece aconselhamento oficial.</w:t>
      </w:r>
    </w:p>
    <w:p>
      <w:pPr>
        <w:pStyle w:val="ListBullet"/>
        <w:spacing w:after="80"/>
        <w:ind w:left="720" w:hanging="360"/>
      </w:pPr>
      <w:r>
        <w:t>O pacote docs/ethics contem consent form, participant information sheet, screening, task list, script e post-test questionnaire.</w:t>
      </w:r>
    </w:p>
    <w:tbl>
      <w:tblPr>
        <w:tblW w:type="dxa" w:w="9360"/>
        <w:tblLayout w:type="fixed"/>
        <w:tblLook w:firstColumn="1" w:firstRow="1" w:lastColumn="0" w:lastRow="0" w:noHBand="0" w:noVBand="1" w:val="04A0"/>
      </w:tblPr>
      <w:tblGrid>
        <w:gridCol w:w="9360"/>
      </w:tblGrid>
      <w:tr>
        <w:tc>
          <w:tcPr>
            <w:tcW w:type="dxa" w:w="9360"/>
            <w:shd w:fill="FCECEC"/>
            <w:tcMar>
              <w:top w:w="140" w:type="dxa"/>
              <w:bottom w:w="140" w:type="dxa"/>
              <w:start w:w="180" w:type="dxa"/>
              <w:end w:w="180" w:type="dxa"/>
            </w:tcMar>
          </w:tcPr>
          <w:p>
            <w:pPr>
              <w:spacing w:after="0"/>
            </w:pPr>
            <w:r>
              <w:rPr>
                <w:b/>
                <w:color w:val="1F4D78"/>
              </w:rPr>
              <w:t xml:space="preserve">Ponto para reuniao semanal: </w:t>
            </w:r>
            <w:r>
              <w:t>Antes de executar usability testing real, o proximo marco e revisar e submeter o pacote de etica no portal da universidade.</w:t>
            </w:r>
          </w:p>
        </w:tc>
      </w:tr>
    </w:tbl>
    <w:p/>
    <w:p>
      <w:pPr>
        <w:pStyle w:val="Heading1"/>
      </w:pPr>
      <w:r>
        <w:t>7. Como transformar isso no report academico</w:t>
      </w:r>
    </w:p>
    <w:tbl>
      <w:tblPr>
        <w:tblW w:type="dxa" w:w="9360"/>
        <w:tblLayout w:type="fixed"/>
        <w:tblLook w:firstColumn="1" w:firstRow="1" w:lastColumn="0" w:lastRow="0" w:noHBand="0" w:noVBand="1" w:val="04A0"/>
      </w:tblPr>
      <w:tblGrid>
        <w:gridCol w:w="1800"/>
        <w:gridCol w:w="4470"/>
        <w:gridCol w:w="3090"/>
      </w:tblGrid>
      <w:tr>
        <w:tc>
          <w:tcPr>
            <w:tcW w:type="dxa" w:w="1800"/>
            <w:tcMar>
              <w:top w:w="80" w:type="dxa"/>
              <w:bottom w:w="80" w:type="dxa"/>
              <w:start w:w="120" w:type="dxa"/>
              <w:end w:w="120" w:type="dxa"/>
            </w:tcMar>
            <w:vAlign w:val="center"/>
            <w:shd w:fill="2E74B5"/>
          </w:tcPr>
          <w:p>
            <w:pPr>
              <w:spacing w:after="0"/>
            </w:pPr>
            <w:r>
              <w:rPr>
                <w:rFonts w:ascii="Calibri" w:hAnsi="Calibri"/>
                <w:b/>
                <w:color w:val="FFFFFF"/>
                <w:sz w:val="21"/>
              </w:rPr>
              <w:t>Secao do report</w:t>
            </w:r>
          </w:p>
        </w:tc>
        <w:tc>
          <w:tcPr>
            <w:tcW w:type="dxa" w:w="4470"/>
            <w:tcMar>
              <w:top w:w="80" w:type="dxa"/>
              <w:bottom w:w="80" w:type="dxa"/>
              <w:start w:w="120" w:type="dxa"/>
              <w:end w:w="120" w:type="dxa"/>
            </w:tcMar>
            <w:vAlign w:val="center"/>
            <w:shd w:fill="2E74B5"/>
          </w:tcPr>
          <w:p>
            <w:pPr>
              <w:spacing w:after="0"/>
            </w:pPr>
            <w:r>
              <w:rPr>
                <w:rFonts w:ascii="Calibri" w:hAnsi="Calibri"/>
                <w:b/>
                <w:color w:val="FFFFFF"/>
                <w:sz w:val="21"/>
              </w:rPr>
              <w:t>Conteudo que pode ser usado</w:t>
            </w:r>
          </w:p>
        </w:tc>
        <w:tc>
          <w:tcPr>
            <w:tcW w:type="dxa" w:w="3090"/>
            <w:tcMar>
              <w:top w:w="80" w:type="dxa"/>
              <w:bottom w:w="80" w:type="dxa"/>
              <w:start w:w="120" w:type="dxa"/>
              <w:end w:w="120" w:type="dxa"/>
            </w:tcMar>
            <w:vAlign w:val="center"/>
            <w:shd w:fill="2E74B5"/>
          </w:tcPr>
          <w:p>
            <w:pPr>
              <w:spacing w:after="0"/>
            </w:pPr>
            <w:r>
              <w:rPr>
                <w:rFonts w:ascii="Calibri" w:hAnsi="Calibri"/>
                <w:b/>
                <w:color w:val="FFFFFF"/>
                <w:sz w:val="21"/>
              </w:rPr>
              <w:t>Evidencias locais</w:t>
            </w:r>
          </w:p>
        </w:tc>
      </w:tr>
      <w:tr>
        <w:tc>
          <w:tcPr>
            <w:tcW w:type="dxa" w:w="1800"/>
            <w:tcMar>
              <w:top w:w="80" w:type="dxa"/>
              <w:bottom w:w="80" w:type="dxa"/>
              <w:start w:w="120" w:type="dxa"/>
              <w:end w:w="120" w:type="dxa"/>
            </w:tcMar>
            <w:vAlign w:val="center"/>
          </w:tcPr>
          <w:p>
            <w:pPr>
              <w:spacing w:after="0"/>
            </w:pPr>
            <w:r>
              <w:rPr>
                <w:rFonts w:ascii="Calibri" w:hAnsi="Calibri"/>
                <w:b w:val="0"/>
                <w:color w:val="14202F"/>
                <w:sz w:val="20"/>
              </w:rPr>
              <w:t>Introduction / Problem</w:t>
            </w:r>
          </w:p>
        </w:tc>
        <w:tc>
          <w:tcPr>
            <w:tcW w:type="dxa" w:w="4470"/>
            <w:tcMar>
              <w:top w:w="80" w:type="dxa"/>
              <w:bottom w:w="80" w:type="dxa"/>
              <w:start w:w="120" w:type="dxa"/>
              <w:end w:w="120" w:type="dxa"/>
            </w:tcMar>
            <w:vAlign w:val="center"/>
          </w:tcPr>
          <w:p>
            <w:pPr>
              <w:spacing w:after="0"/>
            </w:pPr>
            <w:r>
              <w:rPr>
                <w:rFonts w:ascii="Calibri" w:hAnsi="Calibri"/>
                <w:b w:val="0"/>
                <w:color w:val="14202F"/>
                <w:sz w:val="20"/>
              </w:rPr>
              <w:t>Complexidade de beneficios, risco de IA tomar decisoes e necessidade de explicabilidade.</w:t>
            </w:r>
          </w:p>
        </w:tc>
        <w:tc>
          <w:tcPr>
            <w:tcW w:type="dxa" w:w="3090"/>
            <w:tcMar>
              <w:top w:w="80" w:type="dxa"/>
              <w:bottom w:w="80" w:type="dxa"/>
              <w:start w:w="120" w:type="dxa"/>
              <w:end w:w="120" w:type="dxa"/>
            </w:tcMar>
            <w:vAlign w:val="center"/>
          </w:tcPr>
          <w:p>
            <w:pPr>
              <w:spacing w:after="0"/>
            </w:pPr>
            <w:r>
              <w:rPr>
                <w:rFonts w:ascii="Calibri" w:hAnsi="Calibri"/>
                <w:b w:val="0"/>
                <w:color w:val="14202F"/>
                <w:sz w:val="20"/>
              </w:rPr>
              <w:t>Resumo executivo e limitacoes do prototipo.</w:t>
            </w:r>
          </w:p>
        </w:tc>
      </w:tr>
      <w:tr>
        <w:tc>
          <w:tcPr>
            <w:tcW w:type="dxa" w:w="1800"/>
            <w:tcMar>
              <w:top w:w="80" w:type="dxa"/>
              <w:bottom w:w="80" w:type="dxa"/>
              <w:start w:w="120" w:type="dxa"/>
              <w:end w:w="120" w:type="dxa"/>
            </w:tcMar>
            <w:vAlign w:val="center"/>
            <w:shd w:fill="F8FAFC"/>
          </w:tcPr>
          <w:p>
            <w:pPr>
              <w:spacing w:after="0"/>
            </w:pPr>
            <w:r>
              <w:rPr>
                <w:rFonts w:ascii="Calibri" w:hAnsi="Calibri"/>
                <w:b w:val="0"/>
                <w:color w:val="14202F"/>
                <w:sz w:val="20"/>
              </w:rPr>
              <w:t>Requirements</w:t>
            </w:r>
          </w:p>
        </w:tc>
        <w:tc>
          <w:tcPr>
            <w:tcW w:type="dxa" w:w="4470"/>
            <w:tcMar>
              <w:top w:w="80" w:type="dxa"/>
              <w:bottom w:w="80" w:type="dxa"/>
              <w:start w:w="120" w:type="dxa"/>
              <w:end w:w="120" w:type="dxa"/>
            </w:tcMar>
            <w:vAlign w:val="center"/>
            <w:shd w:fill="F8FAFC"/>
          </w:tcPr>
          <w:p>
            <w:pPr>
              <w:spacing w:after="0"/>
            </w:pPr>
            <w:r>
              <w:rPr>
                <w:rFonts w:ascii="Calibri" w:hAnsi="Calibri"/>
                <w:b w:val="0"/>
                <w:color w:val="14202F"/>
                <w:sz w:val="20"/>
              </w:rPr>
              <w:t>Tres beneficios, fontes rastreaveis, acessibilidade, privacidade, explicacao simples e deploy publico.</w:t>
            </w:r>
          </w:p>
        </w:tc>
        <w:tc>
          <w:tcPr>
            <w:tcW w:type="dxa" w:w="3090"/>
            <w:tcMar>
              <w:top w:w="80" w:type="dxa"/>
              <w:bottom w:w="80" w:type="dxa"/>
              <w:start w:w="120" w:type="dxa"/>
              <w:end w:w="120" w:type="dxa"/>
            </w:tcMar>
            <w:vAlign w:val="center"/>
            <w:shd w:fill="F8FAFC"/>
          </w:tcPr>
          <w:p>
            <w:pPr>
              <w:spacing w:after="0"/>
            </w:pPr>
            <w:r>
              <w:rPr>
                <w:rFonts w:ascii="Calibri" w:hAnsi="Calibri"/>
                <w:b w:val="0"/>
                <w:color w:val="14202F"/>
                <w:sz w:val="20"/>
              </w:rPr>
              <w:t>Specs em docs/specs.</w:t>
            </w:r>
          </w:p>
        </w:tc>
      </w:tr>
      <w:tr>
        <w:tc>
          <w:tcPr>
            <w:tcW w:type="dxa" w:w="1800"/>
            <w:tcMar>
              <w:top w:w="80" w:type="dxa"/>
              <w:bottom w:w="80" w:type="dxa"/>
              <w:start w:w="120" w:type="dxa"/>
              <w:end w:w="120" w:type="dxa"/>
            </w:tcMar>
            <w:vAlign w:val="center"/>
          </w:tcPr>
          <w:p>
            <w:pPr>
              <w:spacing w:after="0"/>
            </w:pPr>
            <w:r>
              <w:rPr>
                <w:rFonts w:ascii="Calibri" w:hAnsi="Calibri"/>
                <w:b w:val="0"/>
                <w:color w:val="14202F"/>
                <w:sz w:val="20"/>
              </w:rPr>
              <w:t>Methodology</w:t>
            </w:r>
          </w:p>
        </w:tc>
        <w:tc>
          <w:tcPr>
            <w:tcW w:type="dxa" w:w="4470"/>
            <w:tcMar>
              <w:top w:w="80" w:type="dxa"/>
              <w:bottom w:w="80" w:type="dxa"/>
              <w:start w:w="120" w:type="dxa"/>
              <w:end w:w="120" w:type="dxa"/>
            </w:tcMar>
            <w:vAlign w:val="center"/>
          </w:tcPr>
          <w:p>
            <w:pPr>
              <w:spacing w:after="0"/>
            </w:pPr>
            <w:r>
              <w:rPr>
                <w:rFonts w:ascii="Calibri" w:hAnsi="Calibri"/>
                <w:b w:val="0"/>
                <w:color w:val="14202F"/>
                <w:sz w:val="20"/>
              </w:rPr>
              <w:t>Desenvolvimento incremental, TDD, verificacao continua, UI reviews e plano de usability testing.</w:t>
            </w:r>
          </w:p>
        </w:tc>
        <w:tc>
          <w:tcPr>
            <w:tcW w:type="dxa" w:w="3090"/>
            <w:tcMar>
              <w:top w:w="80" w:type="dxa"/>
              <w:bottom w:w="80" w:type="dxa"/>
              <w:start w:w="120" w:type="dxa"/>
              <w:end w:w="120" w:type="dxa"/>
            </w:tcMar>
            <w:vAlign w:val="center"/>
          </w:tcPr>
          <w:p>
            <w:pPr>
              <w:spacing w:after="0"/>
            </w:pPr>
            <w:r>
              <w:rPr>
                <w:rFonts w:ascii="Calibri" w:hAnsi="Calibri"/>
                <w:b w:val="0"/>
                <w:color w:val="14202F"/>
                <w:sz w:val="20"/>
              </w:rPr>
              <w:t>WORKLOG.md e testes automatizados.</w:t>
            </w:r>
          </w:p>
        </w:tc>
      </w:tr>
      <w:tr>
        <w:tc>
          <w:tcPr>
            <w:tcW w:type="dxa" w:w="1800"/>
            <w:tcMar>
              <w:top w:w="80" w:type="dxa"/>
              <w:bottom w:w="80" w:type="dxa"/>
              <w:start w:w="120" w:type="dxa"/>
              <w:end w:w="120" w:type="dxa"/>
            </w:tcMar>
            <w:vAlign w:val="center"/>
            <w:shd w:fill="F8FAFC"/>
          </w:tcPr>
          <w:p>
            <w:pPr>
              <w:spacing w:after="0"/>
            </w:pPr>
            <w:r>
              <w:rPr>
                <w:rFonts w:ascii="Calibri" w:hAnsi="Calibri"/>
                <w:b w:val="0"/>
                <w:color w:val="14202F"/>
                <w:sz w:val="20"/>
              </w:rPr>
              <w:t>Design and Implementation</w:t>
            </w:r>
          </w:p>
        </w:tc>
        <w:tc>
          <w:tcPr>
            <w:tcW w:type="dxa" w:w="4470"/>
            <w:tcMar>
              <w:top w:w="80" w:type="dxa"/>
              <w:bottom w:w="80" w:type="dxa"/>
              <w:start w:w="120" w:type="dxa"/>
              <w:end w:w="120" w:type="dxa"/>
            </w:tcMar>
            <w:vAlign w:val="center"/>
            <w:shd w:fill="F8FAFC"/>
          </w:tcPr>
          <w:p>
            <w:pPr>
              <w:spacing w:after="0"/>
            </w:pPr>
            <w:r>
              <w:rPr>
                <w:rFonts w:ascii="Calibri" w:hAnsi="Calibri"/>
                <w:b w:val="0"/>
                <w:color w:val="14202F"/>
                <w:sz w:val="20"/>
              </w:rPr>
              <w:t>Arquitetura Next.js, API interna, motor YAML, CPAG/GOV.UK, LLM boundary e UI Blue Decision Lab.</w:t>
            </w:r>
          </w:p>
        </w:tc>
        <w:tc>
          <w:tcPr>
            <w:tcW w:type="dxa" w:w="3090"/>
            <w:tcMar>
              <w:top w:w="80" w:type="dxa"/>
              <w:bottom w:w="80" w:type="dxa"/>
              <w:start w:w="120" w:type="dxa"/>
              <w:end w:w="120" w:type="dxa"/>
            </w:tcMar>
            <w:vAlign w:val="center"/>
            <w:shd w:fill="F8FAFC"/>
          </w:tcPr>
          <w:p>
            <w:pPr>
              <w:spacing w:after="0"/>
            </w:pPr>
            <w:r>
              <w:rPr>
                <w:rFonts w:ascii="Calibri" w:hAnsi="Calibri"/>
                <w:b w:val="0"/>
                <w:color w:val="14202F"/>
                <w:sz w:val="20"/>
              </w:rPr>
              <w:t>src/, rules/, docs/plans e screenshots.</w:t>
            </w:r>
          </w:p>
        </w:tc>
      </w:tr>
      <w:tr>
        <w:tc>
          <w:tcPr>
            <w:tcW w:type="dxa" w:w="1800"/>
            <w:tcMar>
              <w:top w:w="80" w:type="dxa"/>
              <w:bottom w:w="80" w:type="dxa"/>
              <w:start w:w="120" w:type="dxa"/>
              <w:end w:w="120" w:type="dxa"/>
            </w:tcMar>
            <w:vAlign w:val="center"/>
          </w:tcPr>
          <w:p>
            <w:pPr>
              <w:spacing w:after="0"/>
            </w:pPr>
            <w:r>
              <w:rPr>
                <w:rFonts w:ascii="Calibri" w:hAnsi="Calibri"/>
                <w:b w:val="0"/>
                <w:color w:val="14202F"/>
                <w:sz w:val="20"/>
              </w:rPr>
              <w:t>Testing</w:t>
            </w:r>
          </w:p>
        </w:tc>
        <w:tc>
          <w:tcPr>
            <w:tcW w:type="dxa" w:w="4470"/>
            <w:tcMar>
              <w:top w:w="80" w:type="dxa"/>
              <w:bottom w:w="80" w:type="dxa"/>
              <w:start w:w="120" w:type="dxa"/>
              <w:end w:w="120" w:type="dxa"/>
            </w:tcMar>
            <w:vAlign w:val="center"/>
          </w:tcPr>
          <w:p>
            <w:pPr>
              <w:spacing w:after="0"/>
            </w:pPr>
            <w:r>
              <w:rPr>
                <w:rFonts w:ascii="Calibri" w:hAnsi="Calibri"/>
                <w:b w:val="0"/>
                <w:color w:val="14202F"/>
                <w:sz w:val="20"/>
              </w:rPr>
              <w:t>Vitest, coverage, TypeScript, ESLint, Playwright, axe-core, keyboard-only flow e readability audit.</w:t>
            </w:r>
          </w:p>
        </w:tc>
        <w:tc>
          <w:tcPr>
            <w:tcW w:type="dxa" w:w="3090"/>
            <w:tcMar>
              <w:top w:w="80" w:type="dxa"/>
              <w:bottom w:w="80" w:type="dxa"/>
              <w:start w:w="120" w:type="dxa"/>
              <w:end w:w="120" w:type="dxa"/>
            </w:tcMar>
            <w:vAlign w:val="center"/>
          </w:tcPr>
          <w:p>
            <w:pPr>
              <w:spacing w:after="0"/>
            </w:pPr>
            <w:r>
              <w:rPr>
                <w:rFonts w:ascii="Calibri" w:hAnsi="Calibri"/>
                <w:b w:val="0"/>
                <w:color w:val="14202F"/>
                <w:sz w:val="20"/>
              </w:rPr>
              <w:t>tests/ e coverage/.</w:t>
            </w:r>
          </w:p>
        </w:tc>
      </w:tr>
      <w:tr>
        <w:tc>
          <w:tcPr>
            <w:tcW w:type="dxa" w:w="1800"/>
            <w:tcMar>
              <w:top w:w="80" w:type="dxa"/>
              <w:bottom w:w="80" w:type="dxa"/>
              <w:start w:w="120" w:type="dxa"/>
              <w:end w:w="120" w:type="dxa"/>
            </w:tcMar>
            <w:vAlign w:val="center"/>
            <w:shd w:fill="F8FAFC"/>
          </w:tcPr>
          <w:p>
            <w:pPr>
              <w:spacing w:after="0"/>
            </w:pPr>
            <w:r>
              <w:rPr>
                <w:rFonts w:ascii="Calibri" w:hAnsi="Calibri"/>
                <w:b w:val="0"/>
                <w:color w:val="14202F"/>
                <w:sz w:val="20"/>
              </w:rPr>
              <w:t>Evaluation</w:t>
            </w:r>
          </w:p>
        </w:tc>
        <w:tc>
          <w:tcPr>
            <w:tcW w:type="dxa" w:w="4470"/>
            <w:tcMar>
              <w:top w:w="80" w:type="dxa"/>
              <w:bottom w:w="80" w:type="dxa"/>
              <w:start w:w="120" w:type="dxa"/>
              <w:end w:w="120" w:type="dxa"/>
            </w:tcMar>
            <w:vAlign w:val="center"/>
            <w:shd w:fill="F8FAFC"/>
          </w:tcPr>
          <w:p>
            <w:pPr>
              <w:spacing w:after="0"/>
            </w:pPr>
            <w:r>
              <w:rPr>
                <w:rFonts w:ascii="Calibri" w:hAnsi="Calibri"/>
                <w:b w:val="0"/>
                <w:color w:val="14202F"/>
                <w:sz w:val="20"/>
              </w:rPr>
              <w:t>Plano de 5 a 8 participantes com cenarios ficticios e export JSON anonimo.</w:t>
            </w:r>
          </w:p>
        </w:tc>
        <w:tc>
          <w:tcPr>
            <w:tcW w:type="dxa" w:w="3090"/>
            <w:tcMar>
              <w:top w:w="80" w:type="dxa"/>
              <w:bottom w:w="80" w:type="dxa"/>
              <w:start w:w="120" w:type="dxa"/>
              <w:end w:w="120" w:type="dxa"/>
            </w:tcMar>
            <w:vAlign w:val="center"/>
            <w:shd w:fill="F8FAFC"/>
          </w:tcPr>
          <w:p>
            <w:pPr>
              <w:spacing w:after="0"/>
            </w:pPr>
            <w:r>
              <w:rPr>
                <w:rFonts w:ascii="Calibri" w:hAnsi="Calibri"/>
                <w:b w:val="0"/>
                <w:color w:val="14202F"/>
                <w:sz w:val="20"/>
              </w:rPr>
              <w:t>docs/ethics e export study JSON.</w:t>
            </w:r>
          </w:p>
        </w:tc>
      </w:tr>
      <w:tr>
        <w:tc>
          <w:tcPr>
            <w:tcW w:type="dxa" w:w="1800"/>
            <w:tcMar>
              <w:top w:w="80" w:type="dxa"/>
              <w:bottom w:w="80" w:type="dxa"/>
              <w:start w:w="120" w:type="dxa"/>
              <w:end w:w="120" w:type="dxa"/>
            </w:tcMar>
            <w:vAlign w:val="center"/>
          </w:tcPr>
          <w:p>
            <w:pPr>
              <w:spacing w:after="0"/>
            </w:pPr>
            <w:r>
              <w:rPr>
                <w:rFonts w:ascii="Calibri" w:hAnsi="Calibri"/>
                <w:b w:val="0"/>
                <w:color w:val="14202F"/>
                <w:sz w:val="20"/>
              </w:rPr>
              <w:t>Conclusion / Further Work</w:t>
            </w:r>
          </w:p>
        </w:tc>
        <w:tc>
          <w:tcPr>
            <w:tcW w:type="dxa" w:w="4470"/>
            <w:tcMar>
              <w:top w:w="80" w:type="dxa"/>
              <w:bottom w:w="80" w:type="dxa"/>
              <w:start w:w="120" w:type="dxa"/>
              <w:end w:w="120" w:type="dxa"/>
            </w:tcMar>
            <w:vAlign w:val="center"/>
          </w:tcPr>
          <w:p>
            <w:pPr>
              <w:spacing w:after="0"/>
            </w:pPr>
            <w:r>
              <w:rPr>
                <w:rFonts w:ascii="Calibri" w:hAnsi="Calibri"/>
                <w:b w:val="0"/>
                <w:color w:val="14202F"/>
                <w:sz w:val="20"/>
              </w:rPr>
              <w:t>Mais beneficios, painel de regras, revisao com adviser, atualizacao de fontes e avaliacao longitudinal.</w:t>
            </w:r>
          </w:p>
        </w:tc>
        <w:tc>
          <w:tcPr>
            <w:tcW w:type="dxa" w:w="3090"/>
            <w:tcMar>
              <w:top w:w="80" w:type="dxa"/>
              <w:bottom w:w="80" w:type="dxa"/>
              <w:start w:w="120" w:type="dxa"/>
              <w:end w:w="120" w:type="dxa"/>
            </w:tcMar>
            <w:vAlign w:val="center"/>
          </w:tcPr>
          <w:p>
            <w:pPr>
              <w:spacing w:after="0"/>
            </w:pPr>
            <w:r>
              <w:rPr>
                <w:rFonts w:ascii="Calibri" w:hAnsi="Calibri"/>
                <w:b w:val="0"/>
                <w:color w:val="14202F"/>
                <w:sz w:val="20"/>
              </w:rPr>
              <w:t>Riscos e proximos passos deste documento.</w:t>
            </w:r>
          </w:p>
        </w:tc>
      </w:tr>
    </w:tbl>
    <w:p/>
    <w:p>
      <w:pPr>
        <w:pStyle w:val="Heading1"/>
      </w:pPr>
      <w:r>
        <w:t>8. Riscos, limitacoes e proximos passos</w:t>
      </w:r>
    </w:p>
    <w:tbl>
      <w:tblPr>
        <w:tblW w:type="dxa" w:w="9360"/>
        <w:tblLayout w:type="fixed"/>
        <w:tblLook w:firstColumn="1" w:firstRow="1" w:lastColumn="0" w:lastRow="0" w:noHBand="0" w:noVBand="1" w:val="04A0"/>
      </w:tblPr>
      <w:tblGrid>
        <w:gridCol w:w="900"/>
        <w:gridCol w:w="4300"/>
        <w:gridCol w:w="4160"/>
      </w:tblGrid>
      <w:tr>
        <w:tc>
          <w:tcPr>
            <w:tcW w:type="dxa" w:w="900"/>
            <w:tcMar>
              <w:top w:w="80" w:type="dxa"/>
              <w:bottom w:w="80" w:type="dxa"/>
              <w:start w:w="120" w:type="dxa"/>
              <w:end w:w="120" w:type="dxa"/>
            </w:tcMar>
            <w:vAlign w:val="center"/>
            <w:shd w:fill="2E74B5"/>
          </w:tcPr>
          <w:p>
            <w:pPr>
              <w:spacing w:after="0"/>
            </w:pPr>
            <w:r>
              <w:rPr>
                <w:rFonts w:ascii="Calibri" w:hAnsi="Calibri"/>
                <w:b/>
                <w:color w:val="FFFFFF"/>
                <w:sz w:val="21"/>
              </w:rPr>
              <w:t>Nivel</w:t>
            </w:r>
          </w:p>
        </w:tc>
        <w:tc>
          <w:tcPr>
            <w:tcW w:type="dxa" w:w="4300"/>
            <w:tcMar>
              <w:top w:w="80" w:type="dxa"/>
              <w:bottom w:w="80" w:type="dxa"/>
              <w:start w:w="120" w:type="dxa"/>
              <w:end w:w="120" w:type="dxa"/>
            </w:tcMar>
            <w:vAlign w:val="center"/>
            <w:shd w:fill="2E74B5"/>
          </w:tcPr>
          <w:p>
            <w:pPr>
              <w:spacing w:after="0"/>
            </w:pPr>
            <w:r>
              <w:rPr>
                <w:rFonts w:ascii="Calibri" w:hAnsi="Calibri"/>
                <w:b/>
                <w:color w:val="FFFFFF"/>
                <w:sz w:val="21"/>
              </w:rPr>
              <w:t>Risco ou limitacao</w:t>
            </w:r>
          </w:p>
        </w:tc>
        <w:tc>
          <w:tcPr>
            <w:tcW w:type="dxa" w:w="4160"/>
            <w:tcMar>
              <w:top w:w="80" w:type="dxa"/>
              <w:bottom w:w="80" w:type="dxa"/>
              <w:start w:w="120" w:type="dxa"/>
              <w:end w:w="120" w:type="dxa"/>
            </w:tcMar>
            <w:vAlign w:val="center"/>
            <w:shd w:fill="2E74B5"/>
          </w:tcPr>
          <w:p>
            <w:pPr>
              <w:spacing w:after="0"/>
            </w:pPr>
            <w:r>
              <w:rPr>
                <w:rFonts w:ascii="Calibri" w:hAnsi="Calibri"/>
                <w:b/>
                <w:color w:val="FFFFFF"/>
                <w:sz w:val="21"/>
              </w:rPr>
              <w:t>Mitigacao proposta</w:t>
            </w:r>
          </w:p>
        </w:tc>
      </w:tr>
      <w:tr>
        <w:tc>
          <w:tcPr>
            <w:tcW w:type="dxa" w:w="900"/>
            <w:tcMar>
              <w:top w:w="80" w:type="dxa"/>
              <w:bottom w:w="80" w:type="dxa"/>
              <w:start w:w="120" w:type="dxa"/>
              <w:end w:w="120" w:type="dxa"/>
            </w:tcMar>
            <w:vAlign w:val="center"/>
          </w:tcPr>
          <w:p>
            <w:pPr>
              <w:spacing w:after="0"/>
            </w:pPr>
            <w:r>
              <w:rPr>
                <w:rFonts w:ascii="Calibri" w:hAnsi="Calibri"/>
                <w:b w:val="0"/>
                <w:color w:val="14202F"/>
                <w:sz w:val="20"/>
              </w:rPr>
              <w:t>Alto</w:t>
            </w:r>
          </w:p>
        </w:tc>
        <w:tc>
          <w:tcPr>
            <w:tcW w:type="dxa" w:w="4300"/>
            <w:tcMar>
              <w:top w:w="80" w:type="dxa"/>
              <w:bottom w:w="80" w:type="dxa"/>
              <w:start w:w="120" w:type="dxa"/>
              <w:end w:w="120" w:type="dxa"/>
            </w:tcMar>
            <w:vAlign w:val="center"/>
          </w:tcPr>
          <w:p>
            <w:pPr>
              <w:spacing w:after="0"/>
            </w:pPr>
            <w:r>
              <w:rPr>
                <w:rFonts w:ascii="Calibri" w:hAnsi="Calibri"/>
                <w:b w:val="0"/>
                <w:color w:val="14202F"/>
                <w:sz w:val="20"/>
              </w:rPr>
              <w:t>Regras de beneficios podem mudar e o prototipo nao deve dar aconselhamento oficial.</w:t>
            </w:r>
          </w:p>
        </w:tc>
        <w:tc>
          <w:tcPr>
            <w:tcW w:type="dxa" w:w="4160"/>
            <w:tcMar>
              <w:top w:w="80" w:type="dxa"/>
              <w:bottom w:w="80" w:type="dxa"/>
              <w:start w:w="120" w:type="dxa"/>
              <w:end w:w="120" w:type="dxa"/>
            </w:tcMar>
            <w:vAlign w:val="center"/>
          </w:tcPr>
          <w:p>
            <w:pPr>
              <w:spacing w:after="0"/>
            </w:pPr>
            <w:r>
              <w:rPr>
                <w:rFonts w:ascii="Calibri" w:hAnsi="Calibri"/>
                <w:b w:val="0"/>
                <w:color w:val="14202F"/>
                <w:sz w:val="20"/>
              </w:rPr>
              <w:t>Registrar last_verified, mostrar fontes e recomendar CPAG/GOV.UK/adviser.</w:t>
            </w:r>
          </w:p>
        </w:tc>
      </w:tr>
      <w:tr>
        <w:tc>
          <w:tcPr>
            <w:tcW w:type="dxa" w:w="900"/>
            <w:tcMar>
              <w:top w:w="80" w:type="dxa"/>
              <w:bottom w:w="80" w:type="dxa"/>
              <w:start w:w="120" w:type="dxa"/>
              <w:end w:w="120" w:type="dxa"/>
            </w:tcMar>
            <w:vAlign w:val="center"/>
            <w:shd w:fill="F8FAFC"/>
          </w:tcPr>
          <w:p>
            <w:pPr>
              <w:spacing w:after="0"/>
            </w:pPr>
            <w:r>
              <w:rPr>
                <w:rFonts w:ascii="Calibri" w:hAnsi="Calibri"/>
                <w:b w:val="0"/>
                <w:color w:val="14202F"/>
                <w:sz w:val="20"/>
              </w:rPr>
              <w:t>Alto</w:t>
            </w:r>
          </w:p>
        </w:tc>
        <w:tc>
          <w:tcPr>
            <w:tcW w:type="dxa" w:w="4300"/>
            <w:tcMar>
              <w:top w:w="80" w:type="dxa"/>
              <w:bottom w:w="80" w:type="dxa"/>
              <w:start w:w="120" w:type="dxa"/>
              <w:end w:w="120" w:type="dxa"/>
            </w:tcMar>
            <w:vAlign w:val="center"/>
            <w:shd w:fill="F8FAFC"/>
          </w:tcPr>
          <w:p>
            <w:pPr>
              <w:spacing w:after="0"/>
            </w:pPr>
            <w:r>
              <w:rPr>
                <w:rFonts w:ascii="Calibri" w:hAnsi="Calibri"/>
                <w:b w:val="0"/>
                <w:color w:val="14202F"/>
                <w:sz w:val="20"/>
              </w:rPr>
              <w:t>Teste com usuarios reais sem aprovacao etica.</w:t>
            </w:r>
          </w:p>
        </w:tc>
        <w:tc>
          <w:tcPr>
            <w:tcW w:type="dxa" w:w="4160"/>
            <w:tcMar>
              <w:top w:w="80" w:type="dxa"/>
              <w:bottom w:w="80" w:type="dxa"/>
              <w:start w:w="120" w:type="dxa"/>
              <w:end w:w="120" w:type="dxa"/>
            </w:tcMar>
            <w:vAlign w:val="center"/>
            <w:shd w:fill="F8FAFC"/>
          </w:tcPr>
          <w:p>
            <w:pPr>
              <w:spacing w:after="0"/>
            </w:pPr>
            <w:r>
              <w:rPr>
                <w:rFonts w:ascii="Calibri" w:hAnsi="Calibri"/>
                <w:b w:val="0"/>
                <w:color w:val="14202F"/>
                <w:sz w:val="20"/>
              </w:rPr>
              <w:t>Usar apenas cenarios ficticios ate aprovacao formal.</w:t>
            </w:r>
          </w:p>
        </w:tc>
      </w:tr>
      <w:tr>
        <w:tc>
          <w:tcPr>
            <w:tcW w:type="dxa" w:w="900"/>
            <w:tcMar>
              <w:top w:w="80" w:type="dxa"/>
              <w:bottom w:w="80" w:type="dxa"/>
              <w:start w:w="120" w:type="dxa"/>
              <w:end w:w="120" w:type="dxa"/>
            </w:tcMar>
            <w:vAlign w:val="center"/>
          </w:tcPr>
          <w:p>
            <w:pPr>
              <w:spacing w:after="0"/>
            </w:pPr>
            <w:r>
              <w:rPr>
                <w:rFonts w:ascii="Calibri" w:hAnsi="Calibri"/>
                <w:b w:val="0"/>
                <w:color w:val="14202F"/>
                <w:sz w:val="20"/>
              </w:rPr>
              <w:t>Medio</w:t>
            </w:r>
          </w:p>
        </w:tc>
        <w:tc>
          <w:tcPr>
            <w:tcW w:type="dxa" w:w="4300"/>
            <w:tcMar>
              <w:top w:w="80" w:type="dxa"/>
              <w:bottom w:w="80" w:type="dxa"/>
              <w:start w:w="120" w:type="dxa"/>
              <w:end w:w="120" w:type="dxa"/>
            </w:tcMar>
            <w:vAlign w:val="center"/>
          </w:tcPr>
          <w:p>
            <w:pPr>
              <w:spacing w:after="0"/>
            </w:pPr>
            <w:r>
              <w:rPr>
                <w:rFonts w:ascii="Calibri" w:hAnsi="Calibri"/>
                <w:b w:val="0"/>
                <w:color w:val="14202F"/>
                <w:sz w:val="20"/>
              </w:rPr>
              <w:t>LLM pode produzir explicacao inadequada.</w:t>
            </w:r>
          </w:p>
        </w:tc>
        <w:tc>
          <w:tcPr>
            <w:tcW w:type="dxa" w:w="4160"/>
            <w:tcMar>
              <w:top w:w="80" w:type="dxa"/>
              <w:bottom w:w="80" w:type="dxa"/>
              <w:start w:w="120" w:type="dxa"/>
              <w:end w:w="120" w:type="dxa"/>
            </w:tcMar>
            <w:vAlign w:val="center"/>
          </w:tcPr>
          <w:p>
            <w:pPr>
              <w:spacing w:after="0"/>
            </w:pPr>
            <w:r>
              <w:rPr>
                <w:rFonts w:ascii="Calibri" w:hAnsi="Calibri"/>
                <w:b w:val="0"/>
                <w:color w:val="14202F"/>
                <w:sz w:val="20"/>
              </w:rPr>
              <w:t>Validacao de resposta, allowlist de URLs e fallback deterministico.</w:t>
            </w:r>
          </w:p>
        </w:tc>
      </w:tr>
      <w:tr>
        <w:tc>
          <w:tcPr>
            <w:tcW w:type="dxa" w:w="900"/>
            <w:tcMar>
              <w:top w:w="80" w:type="dxa"/>
              <w:bottom w:w="80" w:type="dxa"/>
              <w:start w:w="120" w:type="dxa"/>
              <w:end w:w="120" w:type="dxa"/>
            </w:tcMar>
            <w:vAlign w:val="center"/>
            <w:shd w:fill="F8FAFC"/>
          </w:tcPr>
          <w:p>
            <w:pPr>
              <w:spacing w:after="0"/>
            </w:pPr>
            <w:r>
              <w:rPr>
                <w:rFonts w:ascii="Calibri" w:hAnsi="Calibri"/>
                <w:b w:val="0"/>
                <w:color w:val="14202F"/>
                <w:sz w:val="20"/>
              </w:rPr>
              <w:t>Medio</w:t>
            </w:r>
          </w:p>
        </w:tc>
        <w:tc>
          <w:tcPr>
            <w:tcW w:type="dxa" w:w="4300"/>
            <w:tcMar>
              <w:top w:w="80" w:type="dxa"/>
              <w:bottom w:w="80" w:type="dxa"/>
              <w:start w:w="120" w:type="dxa"/>
              <w:end w:w="120" w:type="dxa"/>
            </w:tcMar>
            <w:vAlign w:val="center"/>
            <w:shd w:fill="F8FAFC"/>
          </w:tcPr>
          <w:p>
            <w:pPr>
              <w:spacing w:after="0"/>
            </w:pPr>
            <w:r>
              <w:rPr>
                <w:rFonts w:ascii="Calibri" w:hAnsi="Calibri"/>
                <w:b w:val="0"/>
                <w:color w:val="14202F"/>
                <w:sz w:val="20"/>
              </w:rPr>
              <w:t>Cobertura de apenas tres beneficios.</w:t>
            </w:r>
          </w:p>
        </w:tc>
        <w:tc>
          <w:tcPr>
            <w:tcW w:type="dxa" w:w="4160"/>
            <w:tcMar>
              <w:top w:w="80" w:type="dxa"/>
              <w:bottom w:w="80" w:type="dxa"/>
              <w:start w:w="120" w:type="dxa"/>
              <w:end w:w="120" w:type="dxa"/>
            </w:tcMar>
            <w:vAlign w:val="center"/>
            <w:shd w:fill="F8FAFC"/>
          </w:tcPr>
          <w:p>
            <w:pPr>
              <w:spacing w:after="0"/>
            </w:pPr>
            <w:r>
              <w:rPr>
                <w:rFonts w:ascii="Calibri" w:hAnsi="Calibri"/>
                <w:b w:val="0"/>
                <w:color w:val="14202F"/>
                <w:sz w:val="20"/>
              </w:rPr>
              <w:t>Apresentar como prototipo focado e listar expansao como further work.</w:t>
            </w:r>
          </w:p>
        </w:tc>
      </w:tr>
      <w:tr>
        <w:tc>
          <w:tcPr>
            <w:tcW w:type="dxa" w:w="900"/>
            <w:tcMar>
              <w:top w:w="80" w:type="dxa"/>
              <w:bottom w:w="80" w:type="dxa"/>
              <w:start w:w="120" w:type="dxa"/>
              <w:end w:w="120" w:type="dxa"/>
            </w:tcMar>
            <w:vAlign w:val="center"/>
          </w:tcPr>
          <w:p>
            <w:pPr>
              <w:spacing w:after="0"/>
            </w:pPr>
            <w:r>
              <w:rPr>
                <w:rFonts w:ascii="Calibri" w:hAnsi="Calibri"/>
                <w:b w:val="0"/>
                <w:color w:val="14202F"/>
                <w:sz w:val="20"/>
              </w:rPr>
              <w:t>Baixo</w:t>
            </w:r>
          </w:p>
        </w:tc>
        <w:tc>
          <w:tcPr>
            <w:tcW w:type="dxa" w:w="4300"/>
            <w:tcMar>
              <w:top w:w="80" w:type="dxa"/>
              <w:bottom w:w="80" w:type="dxa"/>
              <w:start w:w="120" w:type="dxa"/>
              <w:end w:w="120" w:type="dxa"/>
            </w:tcMar>
            <w:vAlign w:val="center"/>
          </w:tcPr>
          <w:p>
            <w:pPr>
              <w:spacing w:after="0"/>
            </w:pPr>
            <w:r>
              <w:rPr>
                <w:rFonts w:ascii="Calibri" w:hAnsi="Calibri"/>
                <w:b w:val="0"/>
                <w:color w:val="14202F"/>
                <w:sz w:val="20"/>
              </w:rPr>
              <w:t>UI pode precisar de ajustes apos feedback de participantes.</w:t>
            </w:r>
          </w:p>
        </w:tc>
        <w:tc>
          <w:tcPr>
            <w:tcW w:type="dxa" w:w="4160"/>
            <w:tcMar>
              <w:top w:w="80" w:type="dxa"/>
              <w:bottom w:w="80" w:type="dxa"/>
              <w:start w:w="120" w:type="dxa"/>
              <w:end w:w="120" w:type="dxa"/>
            </w:tcMar>
            <w:vAlign w:val="center"/>
          </w:tcPr>
          <w:p>
            <w:pPr>
              <w:spacing w:after="0"/>
            </w:pPr>
            <w:r>
              <w:rPr>
                <w:rFonts w:ascii="Calibri" w:hAnsi="Calibri"/>
                <w:b w:val="0"/>
                <w:color w:val="14202F"/>
                <w:sz w:val="20"/>
              </w:rPr>
              <w:t>Usar export JSON, questionario pos-teste e iteracoes visuais documentadas.</w:t>
            </w:r>
          </w:p>
        </w:tc>
      </w:tr>
    </w:tbl>
    <w:p/>
    <w:p>
      <w:pPr>
        <w:pStyle w:val="Heading2"/>
      </w:pPr>
      <w:r>
        <w:t>Proximos passos recomendados</w:t>
      </w:r>
    </w:p>
    <w:p>
      <w:pPr>
        <w:pStyle w:val="ListNumber"/>
        <w:spacing w:after="80"/>
        <w:ind w:left="720" w:hanging="360"/>
      </w:pPr>
      <w:r>
        <w:t>Revisar este relatorio semanal com supervisor ou stakeholder.</w:t>
      </w:r>
    </w:p>
    <w:p>
      <w:pPr>
        <w:pStyle w:val="ListNumber"/>
        <w:spacing w:after="80"/>
        <w:ind w:left="720" w:hanging="360"/>
      </w:pPr>
      <w:r>
        <w:t>Finalizar submissao etica.</w:t>
      </w:r>
    </w:p>
    <w:p>
      <w:pPr>
        <w:pStyle w:val="ListNumber"/>
        <w:spacing w:after="80"/>
        <w:ind w:left="720" w:hanging="360"/>
      </w:pPr>
      <w:r>
        <w:t>Preparar roteiro de demonstracao usando o site publico.</w:t>
      </w:r>
    </w:p>
    <w:p>
      <w:pPr>
        <w:pStyle w:val="ListNumber"/>
        <w:spacing w:after="80"/>
        <w:ind w:left="720" w:hanging="360"/>
      </w:pPr>
      <w:r>
        <w:t>Executar usability testing com 5 a 8 participantes apos aprovacao.</w:t>
      </w:r>
    </w:p>
    <w:p>
      <w:pPr>
        <w:pStyle w:val="ListNumber"/>
        <w:spacing w:after="80"/>
        <w:ind w:left="720" w:hanging="360"/>
      </w:pPr>
      <w:r>
        <w:t>Transformar as secoes deste documento em capitulos do report final.</w:t>
      </w:r>
    </w:p>
    <w:p>
      <w:pPr>
        <w:pStyle w:val="Heading1"/>
      </w:pPr>
      <w:r>
        <w:t>9. Evidencias e artefatos principais</w:t>
      </w:r>
    </w:p>
    <w:p>
      <w:pPr>
        <w:pStyle w:val="ListBullet"/>
        <w:spacing w:after="80"/>
        <w:ind w:left="720" w:hanging="360"/>
      </w:pPr>
      <w:r>
        <w:t>Aplicacao publica: https://verissimo-tawny.vercel.app</w:t>
      </w:r>
    </w:p>
    <w:p>
      <w:pPr>
        <w:pStyle w:val="ListBullet"/>
        <w:spacing w:after="80"/>
        <w:ind w:left="720" w:hanging="360"/>
      </w:pPr>
      <w:r>
        <w:t>Regras: rules/attendance-allowance.yaml, rules/universal-credit.yaml, rules/personal-independence-payment.yaml</w:t>
      </w:r>
    </w:p>
    <w:p>
      <w:pPr>
        <w:pStyle w:val="ListBullet"/>
        <w:spacing w:after="80"/>
        <w:ind w:left="720" w:hanging="360"/>
      </w:pPr>
      <w:r>
        <w:t>Motor: src/lib/rules/</w:t>
      </w:r>
    </w:p>
    <w:p>
      <w:pPr>
        <w:pStyle w:val="ListBullet"/>
        <w:spacing w:after="80"/>
        <w:ind w:left="720" w:hanging="360"/>
      </w:pPr>
      <w:r>
        <w:t>UI: src/components/assessment/AssessmentApp.tsx e src/app/globals.css</w:t>
      </w:r>
    </w:p>
    <w:p>
      <w:pPr>
        <w:pStyle w:val="ListBullet"/>
        <w:spacing w:after="80"/>
        <w:ind w:left="720" w:hanging="360"/>
      </w:pPr>
      <w:r>
        <w:t>LLM: src/lib/explanations/</w:t>
      </w:r>
    </w:p>
    <w:p>
      <w:pPr>
        <w:pStyle w:val="ListBullet"/>
        <w:spacing w:after="80"/>
        <w:ind w:left="720" w:hanging="360"/>
      </w:pPr>
      <w:r>
        <w:t>Testes: tests/</w:t>
      </w:r>
    </w:p>
    <w:p>
      <w:pPr>
        <w:pStyle w:val="ListBullet"/>
        <w:spacing w:after="80"/>
        <w:ind w:left="720" w:hanging="360"/>
      </w:pPr>
      <w:r>
        <w:t>Etica: docs/ethics/</w:t>
      </w:r>
    </w:p>
    <w:p>
      <w:pPr>
        <w:pStyle w:val="ListBullet"/>
        <w:spacing w:after="80"/>
        <w:ind w:left="720" w:hanging="360"/>
      </w:pPr>
      <w:r>
        <w:t>Evidencia visual recente: test-results/result-card-polish-desktop.png</w:t>
      </w:r>
    </w:p>
    <w:p>
      <w:pPr>
        <w:pStyle w:val="ListBullet"/>
        <w:spacing w:after="80"/>
        <w:ind w:left="720" w:hanging="360"/>
      </w:pPr>
      <w:r>
        <w:t>Ultimo deploy citado: dpl_EsNxnGJ5kKT31J4hwStxprmnyJdt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6273"/>
        <w:sz w:val="18"/>
      </w:rPr>
      <w:t>Generated for weekly presentation support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6273"/>
        <w:sz w:val="18"/>
      </w:rPr>
      <w:t>VERISSIMO - weekly support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20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