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VERISSIMO Weekly Support Report</w:t>
      </w:r>
    </w:p>
    <w:p>
      <w:pPr>
        <w:spacing w:after="120"/>
      </w:pPr>
      <w:r>
        <w:t>A weekly presentation and dissertation-writing support document for the VERISSIMO benefits decision-support prototype.</w:t>
      </w:r>
    </w:p>
    <w:tbl>
      <w:tblPr>
        <w:tblW w:type="dxa" w:w="9360"/>
        <w:tblLayout w:type="fixed"/>
        <w:tblLook w:firstColumn="1" w:firstRow="1" w:lastColumn="0" w:lastRow="0" w:noHBand="0" w:noVBand="1" w:val="04A0"/>
      </w:tblPr>
      <w:tblGrid>
        <w:gridCol w:w="2200"/>
        <w:gridCol w:w="7160"/>
      </w:tblGrid>
      <w:tr>
        <w:tc>
          <w:tcPr>
            <w:tcW w:type="dxa" w:w="2200"/>
            <w:tcMar>
              <w:top w:w="80" w:type="dxa"/>
              <w:bottom w:w="80" w:type="dxa"/>
              <w:start w:w="120" w:type="dxa"/>
              <w:end w:w="120" w:type="dxa"/>
            </w:tcMar>
            <w:vAlign w:val="center"/>
            <w:shd w:fill="2E74B5"/>
          </w:tcPr>
          <w:p>
            <w:pPr>
              <w:spacing w:after="0"/>
            </w:pPr>
            <w:r>
              <w:rPr>
                <w:rFonts w:ascii="Calibri" w:hAnsi="Calibri"/>
                <w:b/>
                <w:color w:val="FFFFFF"/>
                <w:sz w:val="21"/>
              </w:rPr>
              <w:t>Field</w:t>
            </w:r>
          </w:p>
        </w:tc>
        <w:tc>
          <w:tcPr>
            <w:tcW w:type="dxa" w:w="7160"/>
            <w:tcMar>
              <w:top w:w="80" w:type="dxa"/>
              <w:bottom w:w="80" w:type="dxa"/>
              <w:start w:w="120" w:type="dxa"/>
              <w:end w:w="120" w:type="dxa"/>
            </w:tcMar>
            <w:vAlign w:val="center"/>
            <w:shd w:fill="2E74B5"/>
          </w:tcPr>
          <w:p>
            <w:pPr>
              <w:spacing w:after="0"/>
            </w:pPr>
            <w:r>
              <w:rPr>
                <w:rFonts w:ascii="Calibri" w:hAnsi="Calibri"/>
                <w:b/>
                <w:color w:val="FFFFFF"/>
                <w:sz w:val="21"/>
              </w:rPr>
              <w:t>Value</w:t>
            </w:r>
          </w:p>
        </w:tc>
      </w:tr>
      <w:tr>
        <w:tc>
          <w:tcPr>
            <w:tcW w:type="dxa" w:w="2200"/>
            <w:tcMar>
              <w:top w:w="80" w:type="dxa"/>
              <w:bottom w:w="80" w:type="dxa"/>
              <w:start w:w="120" w:type="dxa"/>
              <w:end w:w="120" w:type="dxa"/>
            </w:tcMar>
            <w:vAlign w:val="center"/>
          </w:tcPr>
          <w:p>
            <w:pPr>
              <w:spacing w:after="0"/>
            </w:pPr>
            <w:r>
              <w:rPr>
                <w:rFonts w:ascii="Calibri" w:hAnsi="Calibri"/>
                <w:b w:val="0"/>
                <w:color w:val="14202F"/>
                <w:sz w:val="20"/>
              </w:rPr>
              <w:t>Project</w:t>
            </w:r>
          </w:p>
        </w:tc>
        <w:tc>
          <w:tcPr>
            <w:tcW w:type="dxa" w:w="7160"/>
            <w:tcMar>
              <w:top w:w="80" w:type="dxa"/>
              <w:bottom w:w="80" w:type="dxa"/>
              <w:start w:w="120" w:type="dxa"/>
              <w:end w:w="120" w:type="dxa"/>
            </w:tcMar>
            <w:vAlign w:val="center"/>
          </w:tcPr>
          <w:p>
            <w:pPr>
              <w:spacing w:after="0"/>
            </w:pPr>
            <w:r>
              <w:rPr>
                <w:rFonts w:ascii="Calibri" w:hAnsi="Calibri"/>
                <w:b w:val="0"/>
                <w:color w:val="14202F"/>
                <w:sz w:val="20"/>
              </w:rPr>
              <w:t>VERISSIMO</w:t>
            </w:r>
          </w:p>
        </w:tc>
      </w:tr>
      <w:tr>
        <w:tc>
          <w:tcPr>
            <w:tcW w:type="dxa" w:w="2200"/>
            <w:tcMar>
              <w:top w:w="80" w:type="dxa"/>
              <w:bottom w:w="80" w:type="dxa"/>
              <w:start w:w="120" w:type="dxa"/>
              <w:end w:w="120" w:type="dxa"/>
            </w:tcMar>
            <w:vAlign w:val="center"/>
            <w:shd w:fill="F8FAFC"/>
          </w:tcPr>
          <w:p>
            <w:pPr>
              <w:spacing w:after="0"/>
            </w:pPr>
            <w:r>
              <w:rPr>
                <w:rFonts w:ascii="Calibri" w:hAnsi="Calibri"/>
                <w:b w:val="0"/>
                <w:color w:val="14202F"/>
                <w:sz w:val="20"/>
              </w:rPr>
              <w:t>Student</w:t>
            </w:r>
          </w:p>
        </w:tc>
        <w:tc>
          <w:tcPr>
            <w:tcW w:type="dxa" w:w="7160"/>
            <w:tcMar>
              <w:top w:w="80" w:type="dxa"/>
              <w:bottom w:w="80" w:type="dxa"/>
              <w:start w:w="120" w:type="dxa"/>
              <w:end w:w="120" w:type="dxa"/>
            </w:tcMar>
            <w:vAlign w:val="center"/>
            <w:shd w:fill="F8FAFC"/>
          </w:tcPr>
          <w:p>
            <w:pPr>
              <w:spacing w:after="0"/>
            </w:pPr>
            <w:r>
              <w:rPr>
                <w:rFonts w:ascii="Calibri" w:hAnsi="Calibri"/>
                <w:b w:val="0"/>
                <w:color w:val="14202F"/>
                <w:sz w:val="20"/>
              </w:rPr>
              <w:t>Viviane Verissimo dos Santos</w:t>
            </w:r>
          </w:p>
        </w:tc>
      </w:tr>
      <w:tr>
        <w:tc>
          <w:tcPr>
            <w:tcW w:type="dxa" w:w="2200"/>
            <w:tcMar>
              <w:top w:w="80" w:type="dxa"/>
              <w:bottom w:w="80" w:type="dxa"/>
              <w:start w:w="120" w:type="dxa"/>
              <w:end w:w="120" w:type="dxa"/>
            </w:tcMar>
            <w:vAlign w:val="center"/>
          </w:tcPr>
          <w:p>
            <w:pPr>
              <w:spacing w:after="0"/>
            </w:pPr>
            <w:r>
              <w:rPr>
                <w:rFonts w:ascii="Calibri" w:hAnsi="Calibri"/>
                <w:b w:val="0"/>
                <w:color w:val="14202F"/>
                <w:sz w:val="20"/>
              </w:rPr>
              <w:t>Course</w:t>
            </w:r>
          </w:p>
        </w:tc>
        <w:tc>
          <w:tcPr>
            <w:tcW w:type="dxa" w:w="7160"/>
            <w:tcMar>
              <w:top w:w="80" w:type="dxa"/>
              <w:bottom w:w="80" w:type="dxa"/>
              <w:start w:w="120" w:type="dxa"/>
              <w:end w:w="120" w:type="dxa"/>
            </w:tcMar>
            <w:vAlign w:val="center"/>
          </w:tcPr>
          <w:p>
            <w:pPr>
              <w:spacing w:after="0"/>
            </w:pPr>
            <w:r>
              <w:rPr>
                <w:rFonts w:ascii="Calibri" w:hAnsi="Calibri"/>
                <w:b w:val="0"/>
                <w:color w:val="14202F"/>
                <w:sz w:val="20"/>
              </w:rPr>
              <w:t>BSc (Hons) Computing - Southampton Solent University</w:t>
            </w:r>
          </w:p>
        </w:tc>
      </w:tr>
      <w:tr>
        <w:tc>
          <w:tcPr>
            <w:tcW w:type="dxa" w:w="2200"/>
            <w:tcMar>
              <w:top w:w="80" w:type="dxa"/>
              <w:bottom w:w="80" w:type="dxa"/>
              <w:start w:w="120" w:type="dxa"/>
              <w:end w:w="120" w:type="dxa"/>
            </w:tcMar>
            <w:vAlign w:val="center"/>
            <w:shd w:fill="F8FAFC"/>
          </w:tcPr>
          <w:p>
            <w:pPr>
              <w:spacing w:after="0"/>
            </w:pPr>
            <w:r>
              <w:rPr>
                <w:rFonts w:ascii="Calibri" w:hAnsi="Calibri"/>
                <w:b w:val="0"/>
                <w:color w:val="14202F"/>
                <w:sz w:val="20"/>
              </w:rPr>
              <w:t>Date</w:t>
            </w:r>
          </w:p>
        </w:tc>
        <w:tc>
          <w:tcPr>
            <w:tcW w:type="dxa" w:w="7160"/>
            <w:tcMar>
              <w:top w:w="80" w:type="dxa"/>
              <w:bottom w:w="80" w:type="dxa"/>
              <w:start w:w="120" w:type="dxa"/>
              <w:end w:w="120" w:type="dxa"/>
            </w:tcMar>
            <w:vAlign w:val="center"/>
            <w:shd w:fill="F8FAFC"/>
          </w:tcPr>
          <w:p>
            <w:pPr>
              <w:spacing w:after="0"/>
            </w:pPr>
            <w:r>
              <w:rPr>
                <w:rFonts w:ascii="Calibri" w:hAnsi="Calibri"/>
                <w:b w:val="0"/>
                <w:color w:val="14202F"/>
                <w:sz w:val="20"/>
              </w:rPr>
              <w:t>20/07/2026</w:t>
            </w:r>
          </w:p>
        </w:tc>
      </w:tr>
      <w:tr>
        <w:tc>
          <w:tcPr>
            <w:tcW w:type="dxa" w:w="2200"/>
            <w:tcMar>
              <w:top w:w="80" w:type="dxa"/>
              <w:bottom w:w="80" w:type="dxa"/>
              <w:start w:w="120" w:type="dxa"/>
              <w:end w:w="120" w:type="dxa"/>
            </w:tcMar>
            <w:vAlign w:val="center"/>
          </w:tcPr>
          <w:p>
            <w:pPr>
              <w:spacing w:after="0"/>
            </w:pPr>
            <w:r>
              <w:rPr>
                <w:rFonts w:ascii="Calibri" w:hAnsi="Calibri"/>
                <w:b w:val="0"/>
                <w:color w:val="14202F"/>
                <w:sz w:val="20"/>
              </w:rPr>
              <w:t>Public link</w:t>
            </w:r>
          </w:p>
        </w:tc>
        <w:tc>
          <w:tcPr>
            <w:tcW w:type="dxa" w:w="7160"/>
            <w:tcMar>
              <w:top w:w="80" w:type="dxa"/>
              <w:bottom w:w="80" w:type="dxa"/>
              <w:start w:w="120" w:type="dxa"/>
              <w:end w:w="120" w:type="dxa"/>
            </w:tcMar>
            <w:vAlign w:val="center"/>
          </w:tcPr>
          <w:p>
            <w:pPr>
              <w:spacing w:after="0"/>
            </w:pPr>
            <w:r>
              <w:rPr>
                <w:rFonts w:ascii="Calibri" w:hAnsi="Calibri"/>
                <w:b w:val="0"/>
                <w:color w:val="14202F"/>
                <w:sz w:val="20"/>
              </w:rPr>
              <w:t>https://verissimo-tawny.vercel.app</w:t>
            </w:r>
          </w:p>
        </w:tc>
      </w:tr>
      <w:tr>
        <w:tc>
          <w:tcPr>
            <w:tcW w:type="dxa" w:w="2200"/>
            <w:tcMar>
              <w:top w:w="80" w:type="dxa"/>
              <w:bottom w:w="80" w:type="dxa"/>
              <w:start w:w="120" w:type="dxa"/>
              <w:end w:w="120" w:type="dxa"/>
            </w:tcMar>
            <w:vAlign w:val="center"/>
            <w:shd w:fill="F8FAFC"/>
          </w:tcPr>
          <w:p>
            <w:pPr>
              <w:spacing w:after="0"/>
            </w:pPr>
            <w:r>
              <w:rPr>
                <w:rFonts w:ascii="Calibri" w:hAnsi="Calibri"/>
                <w:b w:val="0"/>
                <w:color w:val="14202F"/>
                <w:sz w:val="20"/>
              </w:rPr>
              <w:t>Document purpose</w:t>
            </w:r>
          </w:p>
        </w:tc>
        <w:tc>
          <w:tcPr>
            <w:tcW w:type="dxa" w:w="7160"/>
            <w:tcMar>
              <w:top w:w="80" w:type="dxa"/>
              <w:bottom w:w="80" w:type="dxa"/>
              <w:start w:w="120" w:type="dxa"/>
              <w:end w:w="120" w:type="dxa"/>
            </w:tcMar>
            <w:vAlign w:val="center"/>
            <w:shd w:fill="F8FAFC"/>
          </w:tcPr>
          <w:p>
            <w:pPr>
              <w:spacing w:after="0"/>
            </w:pPr>
            <w:r>
              <w:rPr>
                <w:rFonts w:ascii="Calibri" w:hAnsi="Calibri"/>
                <w:b w:val="0"/>
                <w:color w:val="14202F"/>
                <w:sz w:val="20"/>
              </w:rPr>
              <w:t>Support weekly presentations and provide structured material for the academic report.</w:t>
            </w:r>
          </w:p>
        </w:tc>
      </w:tr>
    </w:tbl>
    <w:p/>
    <w:tbl>
      <w:tblPr>
        <w:tblW w:type="dxa" w:w="9360"/>
        <w:tblLayout w:type="fixed"/>
        <w:tblLook w:firstColumn="1" w:firstRow="1" w:lastColumn="0" w:lastRow="0" w:noHBand="0" w:noVBand="1" w:val="04A0"/>
      </w:tblPr>
      <w:tblGrid>
        <w:gridCol w:w="9360"/>
      </w:tblGrid>
      <w:tr>
        <w:tc>
          <w:tcPr>
            <w:tcW w:type="dxa" w:w="9360"/>
            <w:shd w:fill="E8F1FB"/>
            <w:tcMar>
              <w:top w:w="140" w:type="dxa"/>
              <w:bottom w:w="140" w:type="dxa"/>
              <w:start w:w="180" w:type="dxa"/>
              <w:end w:w="180" w:type="dxa"/>
            </w:tcMar>
          </w:tcPr>
          <w:p>
            <w:pPr>
              <w:spacing w:after="0"/>
            </w:pPr>
            <w:r>
              <w:rPr>
                <w:b/>
                <w:color w:val="1F4D78"/>
              </w:rPr>
              <w:t xml:space="preserve">Core message: </w:t>
            </w:r>
            <w:r>
              <w:t>VERISSIMO separates decision-making from explanation. A deterministic rules engine calculates assessment results, while AI is used only to rewrite explanations in simpler language. This makes the prototype more auditable, safer and more suitable for academic evaluation.</w:t>
            </w:r>
          </w:p>
        </w:tc>
      </w:tr>
    </w:tbl>
    <w:p/>
    <w:p>
      <w:pPr>
        <w:pStyle w:val="Heading1"/>
      </w:pPr>
      <w:r>
        <w:t>1. Executive Summary</w:t>
      </w:r>
    </w:p>
    <w:p>
      <w:pPr>
        <w:spacing w:after="120"/>
      </w:pPr>
      <w:r>
        <w:t>VERISSIMO is a web prototype designed to help users review possible UK social-security benefits. The application guides users through simple questions, evaluates answers against declarative rules and presents results with traceable sources, recommended evidence and simplified explanations.</w:t>
      </w:r>
    </w:p>
    <w:p>
      <w:pPr>
        <w:spacing w:after="120"/>
      </w:pPr>
      <w:r>
        <w:t>The current version covers Attendance Allowance, Universal Credit and Personal Independence Payment. The project prioritises auditability, privacy, accessibility and clarity. It does not replace GOV.UK, CPAG, the Department for Work and Pensions, welfare advisers or official decisions.</w:t>
      </w:r>
    </w:p>
    <w:p>
      <w:pPr>
        <w:pStyle w:val="ListBullet"/>
        <w:spacing w:after="80"/>
        <w:ind w:left="720" w:hanging="360"/>
      </w:pPr>
      <w:r>
        <w:t>Main artefact: a Next.js application deployed publicly on Vercel.</w:t>
      </w:r>
    </w:p>
    <w:p>
      <w:pPr>
        <w:pStyle w:val="ListBullet"/>
        <w:spacing w:after="80"/>
        <w:ind w:left="720" w:hanging="360"/>
      </w:pPr>
      <w:r>
        <w:t>Decision method: deterministic YAML-based rules engine.</w:t>
      </w:r>
    </w:p>
    <w:p>
      <w:pPr>
        <w:pStyle w:val="ListBullet"/>
        <w:spacing w:after="80"/>
        <w:ind w:left="720" w:hanging="360"/>
      </w:pPr>
      <w:r>
        <w:t>Primary rule-trace source: CPAG Welfare Rights.</w:t>
      </w:r>
    </w:p>
    <w:p>
      <w:pPr>
        <w:pStyle w:val="ListBullet"/>
        <w:spacing w:after="80"/>
        <w:ind w:left="720" w:hanging="360"/>
      </w:pPr>
      <w:r>
        <w:t>Complementary source: GOV.UK.</w:t>
      </w:r>
    </w:p>
    <w:p>
      <w:pPr>
        <w:pStyle w:val="ListBullet"/>
        <w:spacing w:after="80"/>
        <w:ind w:left="720" w:hanging="360"/>
      </w:pPr>
      <w:r>
        <w:t>AI role: optional Gemini explanation only; it does not decide eligibility.</w:t>
      </w:r>
    </w:p>
    <w:p>
      <w:pPr>
        <w:pStyle w:val="ListBullet"/>
        <w:spacing w:after="80"/>
        <w:ind w:left="720" w:hanging="360"/>
      </w:pPr>
      <w:r>
        <w:t>Current state: 119 local tests passing and a working public deployment.</w:t>
      </w:r>
    </w:p>
    <w:p>
      <w:pPr>
        <w:pStyle w:val="Heading1"/>
      </w:pPr>
      <w:r>
        <w:t>2. Weekly Feature Breakdown</w:t>
      </w:r>
    </w:p>
    <w:p>
      <w:pPr>
        <w:spacing w:after="120"/>
      </w:pPr>
      <w:r>
        <w:t>This section organises the project into weekly blocks so progress can be presented clearly in supervision meetings and reused in the academic report. Each week lists the focus, delivered features, evidence and report-writing value.</w:t>
      </w:r>
    </w:p>
    <w:p>
      <w:pPr>
        <w:pStyle w:val="Heading2"/>
      </w:pPr>
      <w:r>
        <w:t>Week 1 - Technical foundation and deterministic rules engine</w:t>
      </w:r>
    </w:p>
    <w:p>
      <w:pPr>
        <w:pStyle w:val="ListBullet"/>
        <w:spacing w:after="80"/>
        <w:ind w:left="720" w:hanging="360"/>
      </w:pPr>
      <w:r>
        <w:t>Next.js project scaffolded with TypeScript, Vitest, ESLint and production build support.</w:t>
      </w:r>
    </w:p>
    <w:p>
      <w:pPr>
        <w:pStyle w:val="ListBullet"/>
        <w:spacing w:after="80"/>
        <w:ind w:left="720" w:hanging="360"/>
      </w:pPr>
      <w:r>
        <w:t>Zod schema created for declarative benefit rule files.</w:t>
      </w:r>
    </w:p>
    <w:p>
      <w:pPr>
        <w:pStyle w:val="ListBullet"/>
        <w:spacing w:after="80"/>
        <w:ind w:left="720" w:hanging="360"/>
      </w:pPr>
      <w:r>
        <w:t>Deterministic operators implemented: gte, lte, eq, in and is_true.</w:t>
      </w:r>
    </w:p>
    <w:p>
      <w:pPr>
        <w:pStyle w:val="ListBullet"/>
        <w:spacing w:after="80"/>
        <w:ind w:left="720" w:hanging="360"/>
      </w:pPr>
      <w:r>
        <w:t>Outcome model implemented with four states: Worth exploring, May be relevant, Need more answers and Not a match.</w:t>
      </w:r>
    </w:p>
    <w:p>
      <w:pPr>
        <w:pStyle w:val="ListBullet"/>
        <w:spacing w:after="80"/>
        <w:ind w:left="720" w:hanging="360"/>
      </w:pPr>
      <w:r>
        <w:t>Rule loader added with validation, referential integrity checks and rulesVersion hashing.</w:t>
      </w:r>
    </w:p>
    <w:p>
      <w:pPr>
        <w:pStyle w:val="ListBullet"/>
        <w:spacing w:after="80"/>
        <w:ind w:left="720" w:hanging="360"/>
      </w:pPr>
      <w:r>
        <w:t>Initial Attendance Allowance rule file created.</w:t>
      </w:r>
    </w:p>
    <w:p>
      <w:pPr>
        <w:spacing w:after="120"/>
      </w:pPr>
      <w:r>
        <w:rPr>
          <w:b/>
        </w:rPr>
        <w:t xml:space="preserve">Evidence: </w:t>
      </w:r>
      <w:r>
        <w:t>Rules-engine unit tests, coverage above the defined gate and a working Next.js production build.</w:t>
      </w:r>
    </w:p>
    <w:p>
      <w:pPr>
        <w:spacing w:after="120"/>
      </w:pPr>
      <w:r>
        <w:rPr>
          <w:b/>
        </w:rPr>
        <w:t xml:space="preserve">Report-writing use: </w:t>
      </w:r>
      <w:r>
        <w:t>Supports Methodology, Design and Implementation, and Testing chapters.</w:t>
      </w:r>
    </w:p>
    <w:p>
      <w:pPr>
        <w:pStyle w:val="Heading2"/>
      </w:pPr>
      <w:r>
        <w:t>Week 2 - Benefit expansion and evidence recommendations</w:t>
      </w:r>
    </w:p>
    <w:p>
      <w:pPr>
        <w:pStyle w:val="ListBullet"/>
        <w:spacing w:after="80"/>
        <w:ind w:left="720" w:hanging="360"/>
      </w:pPr>
      <w:r>
        <w:t>Universal Credit and Personal Independence Payment added as YAML rule files.</w:t>
      </w:r>
    </w:p>
    <w:p>
      <w:pPr>
        <w:pStyle w:val="ListBullet"/>
        <w:spacing w:after="80"/>
        <w:ind w:left="720" w:hanging="360"/>
      </w:pPr>
      <w:r>
        <w:t>assessAll implemented to evaluate all three benefits together.</w:t>
      </w:r>
    </w:p>
    <w:p>
      <w:pPr>
        <w:pStyle w:val="ListBullet"/>
        <w:spacing w:after="80"/>
        <w:ind w:left="720" w:hanging="360"/>
      </w:pPr>
      <w:r>
        <w:t>Deterministic evidence recommendations added based on triggered criteria.</w:t>
      </w:r>
    </w:p>
    <w:p>
      <w:pPr>
        <w:pStyle w:val="ListBullet"/>
        <w:spacing w:after="80"/>
        <w:ind w:left="720" w:hanging="360"/>
      </w:pPr>
      <w:r>
        <w:t>Tests strengthened to prevent hard-coded criteria or invented source URLs.</w:t>
      </w:r>
    </w:p>
    <w:p>
      <w:pPr>
        <w:spacing w:after="120"/>
      </w:pPr>
      <w:r>
        <w:rPr>
          <w:b/>
        </w:rPr>
        <w:t xml:space="preserve">Evidence: </w:t>
      </w:r>
      <w:r>
        <w:t>Local test suite, coverage gate and versioned YAML files.</w:t>
      </w:r>
    </w:p>
    <w:p>
      <w:pPr>
        <w:spacing w:after="120"/>
      </w:pPr>
      <w:r>
        <w:rPr>
          <w:b/>
        </w:rPr>
        <w:t xml:space="preserve">Report-writing use: </w:t>
      </w:r>
      <w:r>
        <w:t>Supports Requirements, Implementation and Verification sections.</w:t>
      </w:r>
    </w:p>
    <w:p>
      <w:pPr>
        <w:pStyle w:val="Heading2"/>
      </w:pPr>
      <w:r>
        <w:t>Week 3 - Guided questionnaire and assessment results</w:t>
      </w:r>
    </w:p>
    <w:p>
      <w:pPr>
        <w:pStyle w:val="ListBullet"/>
        <w:spacing w:after="80"/>
        <w:ind w:left="720" w:hanging="360"/>
      </w:pPr>
      <w:r>
        <w:t>Wizard-style intake interface implemented with one question shown at a time.</w:t>
      </w:r>
    </w:p>
    <w:p>
      <w:pPr>
        <w:pStyle w:val="ListBullet"/>
        <w:spacing w:after="80"/>
        <w:ind w:left="720" w:hanging="360"/>
      </w:pPr>
      <w:r>
        <w:t>Question configuration mapped to every answer key required by the rule files.</w:t>
      </w:r>
    </w:p>
    <w:p>
      <w:pPr>
        <w:pStyle w:val="ListBullet"/>
        <w:spacing w:after="80"/>
        <w:ind w:left="720" w:hanging="360"/>
      </w:pPr>
      <w:r>
        <w:t>Internal POST /api/assess route added so YAML loading and file-system access stay server-side.</w:t>
      </w:r>
    </w:p>
    <w:p>
      <w:pPr>
        <w:pStyle w:val="ListBullet"/>
        <w:spacing w:after="80"/>
        <w:ind w:left="720" w:hanging="360"/>
      </w:pPr>
      <w:r>
        <w:t>Result cards added with summary, decisive criterion, evidence recommendations and expandable rule trace.</w:t>
      </w:r>
    </w:p>
    <w:p>
      <w:pPr>
        <w:pStyle w:val="ListBullet"/>
        <w:spacing w:after="80"/>
        <w:ind w:left="720" w:hanging="360"/>
      </w:pPr>
      <w:r>
        <w:t>Initial public deployment completed on Vercel.</w:t>
      </w:r>
    </w:p>
    <w:p>
      <w:pPr>
        <w:spacing w:after="120"/>
      </w:pPr>
      <w:r>
        <w:rPr>
          <w:b/>
        </w:rPr>
        <w:t xml:space="preserve">Evidence: </w:t>
      </w:r>
      <w:r>
        <w:t>Vitest, TypeScript, ESLint, build verification, local smoke test and production smoke test.</w:t>
      </w:r>
    </w:p>
    <w:p>
      <w:pPr>
        <w:spacing w:after="120"/>
      </w:pPr>
      <w:r>
        <w:rPr>
          <w:b/>
        </w:rPr>
        <w:t xml:space="preserve">Report-writing use: </w:t>
      </w:r>
      <w:r>
        <w:t>Supports User Interface Design, System Architecture and Deployment sections.</w:t>
      </w:r>
    </w:p>
    <w:p>
      <w:pPr>
        <w:pStyle w:val="Heading2"/>
      </w:pPr>
      <w:r>
        <w:t>Week 4 - Explanation layer and bounded LLM integration</w:t>
      </w:r>
    </w:p>
    <w:p>
      <w:pPr>
        <w:pStyle w:val="ListBullet"/>
        <w:spacing w:after="80"/>
        <w:ind w:left="720" w:hanging="360"/>
      </w:pPr>
      <w:r>
        <w:t>Deterministic template explanation layer implemented.</w:t>
      </w:r>
    </w:p>
    <w:p>
      <w:pPr>
        <w:pStyle w:val="ListBullet"/>
        <w:spacing w:after="80"/>
        <w:ind w:left="720" w:hanging="360"/>
      </w:pPr>
      <w:r>
        <w:t>Internal POST /api/explain route added.</w:t>
      </w:r>
    </w:p>
    <w:p>
      <w:pPr>
        <w:pStyle w:val="ListBullet"/>
        <w:spacing w:after="80"/>
        <w:ind w:left="720" w:hanging="360"/>
      </w:pPr>
      <w:r>
        <w:t>Prompt builder and validator added to constrain LLM outputs.</w:t>
      </w:r>
    </w:p>
    <w:p>
      <w:pPr>
        <w:pStyle w:val="ListBullet"/>
        <w:spacing w:after="80"/>
        <w:ind w:left="720" w:hanging="360"/>
      </w:pPr>
      <w:r>
        <w:t>Gemini integrated through a server-side API key.</w:t>
      </w:r>
    </w:p>
    <w:p>
      <w:pPr>
        <w:pStyle w:val="ListBullet"/>
        <w:spacing w:after="80"/>
        <w:ind w:left="720" w:hanging="360"/>
      </w:pPr>
      <w:r>
        <w:t>Deterministic fallback preserved for missing API keys, provider errors or unsafe model output.</w:t>
      </w:r>
    </w:p>
    <w:p>
      <w:pPr>
        <w:spacing w:after="120"/>
      </w:pPr>
      <w:r>
        <w:rPr>
          <w:b/>
        </w:rPr>
        <w:t xml:space="preserve">Evidence: </w:t>
      </w:r>
      <w:r>
        <w:t>Template, prompt, validation, route and Gemini adapter tests.</w:t>
      </w:r>
    </w:p>
    <w:p>
      <w:pPr>
        <w:spacing w:after="120"/>
      </w:pPr>
      <w:r>
        <w:rPr>
          <w:b/>
        </w:rPr>
        <w:t xml:space="preserve">Report-writing use: </w:t>
      </w:r>
      <w:r>
        <w:t>Supports AI Integration, Safety, Explainability and Limitations sections.</w:t>
      </w:r>
    </w:p>
    <w:p>
      <w:pPr>
        <w:pStyle w:val="Heading2"/>
      </w:pPr>
      <w:r>
        <w:t>Week 5 - Printable report, accessibility and evaluation readiness</w:t>
      </w:r>
    </w:p>
    <w:p>
      <w:pPr>
        <w:pStyle w:val="ListBullet"/>
        <w:spacing w:after="80"/>
        <w:ind w:left="720" w:hanging="360"/>
      </w:pPr>
      <w:r>
        <w:t>Per-benefit printable report implemented with metadata, rule trace, evidence and sources.</w:t>
      </w:r>
    </w:p>
    <w:p>
      <w:pPr>
        <w:pStyle w:val="ListBullet"/>
        <w:spacing w:after="80"/>
        <w:ind w:left="720" w:hanging="360"/>
      </w:pPr>
      <w:r>
        <w:t>Static accessibility review completed and ARIA issues fixed.</w:t>
      </w:r>
    </w:p>
    <w:p>
      <w:pPr>
        <w:pStyle w:val="ListBullet"/>
        <w:spacing w:after="80"/>
        <w:ind w:left="720" w:hanging="360"/>
      </w:pPr>
      <w:r>
        <w:t>Playwright and axe-core added for automated WCAG-oriented checks.</w:t>
      </w:r>
    </w:p>
    <w:p>
      <w:pPr>
        <w:pStyle w:val="ListBullet"/>
        <w:spacing w:after="80"/>
        <w:ind w:left="720" w:hanging="360"/>
      </w:pPr>
      <w:r>
        <w:t>Keyboard-only navigation test added.</w:t>
      </w:r>
    </w:p>
    <w:p>
      <w:pPr>
        <w:pStyle w:val="ListBullet"/>
        <w:spacing w:after="80"/>
        <w:ind w:left="720" w:hanging="360"/>
      </w:pPr>
      <w:r>
        <w:t>Readability audit added using Flesch Reading Ease and Flesch-Kincaid checks.</w:t>
      </w:r>
    </w:p>
    <w:p>
      <w:pPr>
        <w:pStyle w:val="ListBullet"/>
        <w:spacing w:after="80"/>
        <w:ind w:left="720" w:hanging="360"/>
      </w:pPr>
      <w:r>
        <w:t>Ethics and usability-testing pack prepared.</w:t>
      </w:r>
    </w:p>
    <w:p>
      <w:pPr>
        <w:spacing w:after="120"/>
      </w:pPr>
      <w:r>
        <w:rPr>
          <w:b/>
        </w:rPr>
        <w:t xml:space="preserve">Evidence: </w:t>
      </w:r>
      <w:r>
        <w:t>npm run test:a11y, keyboard test, readability test and docs/ethics materials.</w:t>
      </w:r>
    </w:p>
    <w:p>
      <w:pPr>
        <w:spacing w:after="120"/>
      </w:pPr>
      <w:r>
        <w:rPr>
          <w:b/>
        </w:rPr>
        <w:t xml:space="preserve">Report-writing use: </w:t>
      </w:r>
      <w:r>
        <w:t>Supports Ethics, Accessibility, Evaluation Plan and Results sections.</w:t>
      </w:r>
    </w:p>
    <w:p>
      <w:pPr>
        <w:pStyle w:val="Heading2"/>
      </w:pPr>
      <w:r>
        <w:t>Week 6 / current refinement - CPAG source strategy, modern UI and demonstration readiness</w:t>
      </w:r>
    </w:p>
    <w:p>
      <w:pPr>
        <w:pStyle w:val="ListBullet"/>
        <w:spacing w:after="80"/>
        <w:ind w:left="720" w:hanging="360"/>
      </w:pPr>
      <w:r>
        <w:t>CPAG Welfare Rights made the primary source family shown in rule trace.</w:t>
      </w:r>
    </w:p>
    <w:p>
      <w:pPr>
        <w:pStyle w:val="ListBullet"/>
        <w:spacing w:after="80"/>
        <w:ind w:left="720" w:hanging="360"/>
      </w:pPr>
      <w:r>
        <w:t>GOV.UK retained as complementary official guidance.</w:t>
      </w:r>
    </w:p>
    <w:p>
      <w:pPr>
        <w:pStyle w:val="ListBullet"/>
        <w:spacing w:after="80"/>
        <w:ind w:left="720" w:hanging="360"/>
      </w:pPr>
      <w:r>
        <w:t>Blue Decision Lab visual remake implemented with a modern technology-oriented interface.</w:t>
      </w:r>
    </w:p>
    <w:p>
      <w:pPr>
        <w:pStyle w:val="ListBullet"/>
        <w:spacing w:after="80"/>
        <w:ind w:left="720" w:hanging="360"/>
      </w:pPr>
      <w:r>
        <w:t>Result cards polished with shorter badges, cleaner surfaces and lighter repeated actions.</w:t>
      </w:r>
    </w:p>
    <w:p>
      <w:pPr>
        <w:pStyle w:val="ListBullet"/>
        <w:spacing w:after="80"/>
        <w:ind w:left="720" w:hanging="360"/>
      </w:pPr>
      <w:r>
        <w:t>Anonymous study JSON export added for usability evaluation.</w:t>
      </w:r>
    </w:p>
    <w:p>
      <w:pPr>
        <w:pStyle w:val="ListBullet"/>
        <w:spacing w:after="80"/>
        <w:ind w:left="720" w:hanging="360"/>
      </w:pPr>
      <w:r>
        <w:t>Production deployment updated at https://verissimo-tawny.vercel.app.</w:t>
      </w:r>
    </w:p>
    <w:p>
      <w:pPr>
        <w:spacing w:after="120"/>
      </w:pPr>
      <w:r>
        <w:rPr>
          <w:b/>
        </w:rPr>
        <w:t xml:space="preserve">Evidence: </w:t>
      </w:r>
      <w:r>
        <w:t>119 tests passing, TypeScript, lint, coverage, build, accessibility tests and production smoke test.</w:t>
      </w:r>
    </w:p>
    <w:p>
      <w:pPr>
        <w:spacing w:after="120"/>
      </w:pPr>
      <w:r>
        <w:rPr>
          <w:b/>
        </w:rPr>
        <w:t xml:space="preserve">Report-writing use: </w:t>
      </w:r>
      <w:r>
        <w:t>Supports Final Artefact, Evaluation Readiness and Demonstration sections.</w:t>
      </w:r>
    </w:p>
    <w:p>
      <w:pPr>
        <w:pStyle w:val="Heading2"/>
      </w:pPr>
      <w:r>
        <w:t>Week 7 / next step - Participant testing and feedback collection</w:t>
      </w:r>
    </w:p>
    <w:p>
      <w:pPr>
        <w:pStyle w:val="ListBullet"/>
        <w:spacing w:after="80"/>
        <w:ind w:left="720" w:hanging="360"/>
      </w:pPr>
      <w:r>
        <w:t>Submit the ethics pack and wait for approval before involving real participants.</w:t>
      </w:r>
    </w:p>
    <w:p>
      <w:pPr>
        <w:pStyle w:val="ListBullet"/>
        <w:spacing w:after="80"/>
        <w:ind w:left="720" w:hanging="360"/>
      </w:pPr>
      <w:r>
        <w:t>Run usability testing with 5 to 8 participants using fictional scenarios.</w:t>
      </w:r>
    </w:p>
    <w:p>
      <w:pPr>
        <w:pStyle w:val="ListBullet"/>
        <w:spacing w:after="80"/>
        <w:ind w:left="720" w:hanging="360"/>
      </w:pPr>
      <w:r>
        <w:t>Collect anonymous JSON exports and post-test questionnaire responses.</w:t>
      </w:r>
    </w:p>
    <w:p>
      <w:pPr>
        <w:pStyle w:val="ListBullet"/>
        <w:spacing w:after="80"/>
        <w:ind w:left="720" w:hanging="360"/>
      </w:pPr>
      <w:r>
        <w:t>Analyse comprehension, trust, perceived accessibility and points of confusion.</w:t>
      </w:r>
    </w:p>
    <w:p>
      <w:pPr>
        <w:spacing w:after="120"/>
      </w:pPr>
      <w:r>
        <w:rPr>
          <w:b/>
        </w:rPr>
        <w:t xml:space="preserve">Evidence: </w:t>
      </w:r>
      <w:r>
        <w:t>Consent form, participant information sheet, screening form, task list, script and questionnaire.</w:t>
      </w:r>
    </w:p>
    <w:p>
      <w:pPr>
        <w:spacing w:after="120"/>
      </w:pPr>
      <w:r>
        <w:rPr>
          <w:b/>
        </w:rPr>
        <w:t xml:space="preserve">Report-writing use: </w:t>
      </w:r>
      <w:r>
        <w:t>Will support Methodology, Evaluation, Results and Further Work chapters.</w:t>
      </w:r>
    </w:p>
    <w:p>
      <w:pPr>
        <w:pStyle w:val="Heading2"/>
      </w:pPr>
      <w:r>
        <w:t>Weekly Summary Table</w:t>
      </w:r>
    </w:p>
    <w:tbl>
      <w:tblPr>
        <w:tblW w:type="dxa" w:w="9360"/>
        <w:tblLayout w:type="fixed"/>
        <w:tblLook w:firstColumn="1" w:firstRow="1" w:lastColumn="0" w:lastRow="0" w:noHBand="0" w:noVBand="1" w:val="04A0"/>
      </w:tblPr>
      <w:tblGrid>
        <w:gridCol w:w="1150"/>
        <w:gridCol w:w="1900"/>
        <w:gridCol w:w="4010"/>
        <w:gridCol w:w="2300"/>
      </w:tblGrid>
      <w:tr>
        <w:tc>
          <w:tcPr>
            <w:tcW w:type="dxa" w:w="1150"/>
            <w:tcMar>
              <w:top w:w="80" w:type="dxa"/>
              <w:bottom w:w="80" w:type="dxa"/>
              <w:start w:w="120" w:type="dxa"/>
              <w:end w:w="120" w:type="dxa"/>
            </w:tcMar>
            <w:vAlign w:val="center"/>
            <w:shd w:fill="2E74B5"/>
          </w:tcPr>
          <w:p>
            <w:pPr>
              <w:spacing w:after="0"/>
            </w:pPr>
            <w:r>
              <w:rPr>
                <w:rFonts w:ascii="Calibri" w:hAnsi="Calibri"/>
                <w:b/>
                <w:color w:val="FFFFFF"/>
                <w:sz w:val="21"/>
              </w:rPr>
              <w:t>Week</w:t>
            </w:r>
          </w:p>
        </w:tc>
        <w:tc>
          <w:tcPr>
            <w:tcW w:type="dxa" w:w="1900"/>
            <w:tcMar>
              <w:top w:w="80" w:type="dxa"/>
              <w:bottom w:w="80" w:type="dxa"/>
              <w:start w:w="120" w:type="dxa"/>
              <w:end w:w="120" w:type="dxa"/>
            </w:tcMar>
            <w:vAlign w:val="center"/>
            <w:shd w:fill="2E74B5"/>
          </w:tcPr>
          <w:p>
            <w:pPr>
              <w:spacing w:after="0"/>
            </w:pPr>
            <w:r>
              <w:rPr>
                <w:rFonts w:ascii="Calibri" w:hAnsi="Calibri"/>
                <w:b/>
                <w:color w:val="FFFFFF"/>
                <w:sz w:val="21"/>
              </w:rPr>
              <w:t>Focus</w:t>
            </w:r>
          </w:p>
        </w:tc>
        <w:tc>
          <w:tcPr>
            <w:tcW w:type="dxa" w:w="4010"/>
            <w:tcMar>
              <w:top w:w="80" w:type="dxa"/>
              <w:bottom w:w="80" w:type="dxa"/>
              <w:start w:w="120" w:type="dxa"/>
              <w:end w:w="120" w:type="dxa"/>
            </w:tcMar>
            <w:vAlign w:val="center"/>
            <w:shd w:fill="2E74B5"/>
          </w:tcPr>
          <w:p>
            <w:pPr>
              <w:spacing w:after="0"/>
            </w:pPr>
            <w:r>
              <w:rPr>
                <w:rFonts w:ascii="Calibri" w:hAnsi="Calibri"/>
                <w:b/>
                <w:color w:val="FFFFFF"/>
                <w:sz w:val="21"/>
              </w:rPr>
              <w:t>Main deliverables</w:t>
            </w:r>
          </w:p>
        </w:tc>
        <w:tc>
          <w:tcPr>
            <w:tcW w:type="dxa" w:w="2300"/>
            <w:tcMar>
              <w:top w:w="80" w:type="dxa"/>
              <w:bottom w:w="80" w:type="dxa"/>
              <w:start w:w="120" w:type="dxa"/>
              <w:end w:w="120" w:type="dxa"/>
            </w:tcMar>
            <w:vAlign w:val="center"/>
            <w:shd w:fill="2E74B5"/>
          </w:tcPr>
          <w:p>
            <w:pPr>
              <w:spacing w:after="0"/>
            </w:pPr>
            <w:r>
              <w:rPr>
                <w:rFonts w:ascii="Calibri" w:hAnsi="Calibri"/>
                <w:b/>
                <w:color w:val="FFFFFF"/>
                <w:sz w:val="21"/>
              </w:rPr>
              <w:t>Evidence</w:t>
            </w:r>
          </w:p>
        </w:tc>
      </w:tr>
      <w:tr>
        <w:tc>
          <w:tcPr>
            <w:tcW w:type="dxa" w:w="1150"/>
            <w:tcMar>
              <w:top w:w="80" w:type="dxa"/>
              <w:bottom w:w="80" w:type="dxa"/>
              <w:start w:w="120" w:type="dxa"/>
              <w:end w:w="120" w:type="dxa"/>
            </w:tcMar>
            <w:vAlign w:val="center"/>
          </w:tcPr>
          <w:p>
            <w:pPr>
              <w:spacing w:after="0"/>
            </w:pPr>
            <w:r>
              <w:rPr>
                <w:rFonts w:ascii="Calibri" w:hAnsi="Calibri"/>
                <w:b w:val="0"/>
                <w:color w:val="14202F"/>
                <w:sz w:val="20"/>
              </w:rPr>
              <w:t>Week 1</w:t>
            </w:r>
          </w:p>
        </w:tc>
        <w:tc>
          <w:tcPr>
            <w:tcW w:type="dxa" w:w="1900"/>
            <w:tcMar>
              <w:top w:w="80" w:type="dxa"/>
              <w:bottom w:w="80" w:type="dxa"/>
              <w:start w:w="120" w:type="dxa"/>
              <w:end w:w="120" w:type="dxa"/>
            </w:tcMar>
            <w:vAlign w:val="center"/>
          </w:tcPr>
          <w:p>
            <w:pPr>
              <w:spacing w:after="0"/>
            </w:pPr>
            <w:r>
              <w:rPr>
                <w:rFonts w:ascii="Calibri" w:hAnsi="Calibri"/>
                <w:b w:val="0"/>
                <w:color w:val="14202F"/>
                <w:sz w:val="20"/>
              </w:rPr>
              <w:t>Technical foundation and deterministic rules engine</w:t>
            </w:r>
          </w:p>
        </w:tc>
        <w:tc>
          <w:tcPr>
            <w:tcW w:type="dxa" w:w="4010"/>
            <w:tcMar>
              <w:top w:w="80" w:type="dxa"/>
              <w:bottom w:w="80" w:type="dxa"/>
              <w:start w:w="120" w:type="dxa"/>
              <w:end w:w="120" w:type="dxa"/>
            </w:tcMar>
            <w:vAlign w:val="center"/>
          </w:tcPr>
          <w:p>
            <w:pPr>
              <w:spacing w:after="0"/>
            </w:pPr>
            <w:r>
              <w:rPr>
                <w:rFonts w:ascii="Calibri" w:hAnsi="Calibri"/>
                <w:b w:val="0"/>
                <w:color w:val="14202F"/>
                <w:sz w:val="20"/>
              </w:rPr>
              <w:t>Next.js project scaffolded with TypeScript, Vitest, ESLint and production build support.; Zod schema created for declarative benefit rule files.; Deterministic operators implemented: gte, lte, eq, in and is_true.</w:t>
            </w:r>
          </w:p>
        </w:tc>
        <w:tc>
          <w:tcPr>
            <w:tcW w:type="dxa" w:w="2300"/>
            <w:tcMar>
              <w:top w:w="80" w:type="dxa"/>
              <w:bottom w:w="80" w:type="dxa"/>
              <w:start w:w="120" w:type="dxa"/>
              <w:end w:w="120" w:type="dxa"/>
            </w:tcMar>
            <w:vAlign w:val="center"/>
          </w:tcPr>
          <w:p>
            <w:pPr>
              <w:spacing w:after="0"/>
            </w:pPr>
            <w:r>
              <w:rPr>
                <w:rFonts w:ascii="Calibri" w:hAnsi="Calibri"/>
                <w:b w:val="0"/>
                <w:color w:val="14202F"/>
                <w:sz w:val="20"/>
              </w:rPr>
              <w:t>Rules-engine unit tests, coverage above the defined gate and a working Next.js production build.</w:t>
            </w:r>
          </w:p>
        </w:tc>
      </w:tr>
      <w:tr>
        <w:tc>
          <w:tcPr>
            <w:tcW w:type="dxa" w:w="1150"/>
            <w:tcMar>
              <w:top w:w="80" w:type="dxa"/>
              <w:bottom w:w="80" w:type="dxa"/>
              <w:start w:w="120" w:type="dxa"/>
              <w:end w:w="120" w:type="dxa"/>
            </w:tcMar>
            <w:vAlign w:val="center"/>
            <w:shd w:fill="F8FAFC"/>
          </w:tcPr>
          <w:p>
            <w:pPr>
              <w:spacing w:after="0"/>
            </w:pPr>
            <w:r>
              <w:rPr>
                <w:rFonts w:ascii="Calibri" w:hAnsi="Calibri"/>
                <w:b w:val="0"/>
                <w:color w:val="14202F"/>
                <w:sz w:val="20"/>
              </w:rPr>
              <w:t>Week 2</w:t>
            </w:r>
          </w:p>
        </w:tc>
        <w:tc>
          <w:tcPr>
            <w:tcW w:type="dxa" w:w="1900"/>
            <w:tcMar>
              <w:top w:w="80" w:type="dxa"/>
              <w:bottom w:w="80" w:type="dxa"/>
              <w:start w:w="120" w:type="dxa"/>
              <w:end w:w="120" w:type="dxa"/>
            </w:tcMar>
            <w:vAlign w:val="center"/>
            <w:shd w:fill="F8FAFC"/>
          </w:tcPr>
          <w:p>
            <w:pPr>
              <w:spacing w:after="0"/>
            </w:pPr>
            <w:r>
              <w:rPr>
                <w:rFonts w:ascii="Calibri" w:hAnsi="Calibri"/>
                <w:b w:val="0"/>
                <w:color w:val="14202F"/>
                <w:sz w:val="20"/>
              </w:rPr>
              <w:t>Benefit expansion and evidence recommendations</w:t>
            </w:r>
          </w:p>
        </w:tc>
        <w:tc>
          <w:tcPr>
            <w:tcW w:type="dxa" w:w="4010"/>
            <w:tcMar>
              <w:top w:w="80" w:type="dxa"/>
              <w:bottom w:w="80" w:type="dxa"/>
              <w:start w:w="120" w:type="dxa"/>
              <w:end w:w="120" w:type="dxa"/>
            </w:tcMar>
            <w:vAlign w:val="center"/>
            <w:shd w:fill="F8FAFC"/>
          </w:tcPr>
          <w:p>
            <w:pPr>
              <w:spacing w:after="0"/>
            </w:pPr>
            <w:r>
              <w:rPr>
                <w:rFonts w:ascii="Calibri" w:hAnsi="Calibri"/>
                <w:b w:val="0"/>
                <w:color w:val="14202F"/>
                <w:sz w:val="20"/>
              </w:rPr>
              <w:t>Universal Credit and Personal Independence Payment added as YAML rule files.; assessAll implemented to evaluate all three benefits together.; Deterministic evidence recommendations added based on triggered criteria.</w:t>
            </w:r>
          </w:p>
        </w:tc>
        <w:tc>
          <w:tcPr>
            <w:tcW w:type="dxa" w:w="2300"/>
            <w:tcMar>
              <w:top w:w="80" w:type="dxa"/>
              <w:bottom w:w="80" w:type="dxa"/>
              <w:start w:w="120" w:type="dxa"/>
              <w:end w:w="120" w:type="dxa"/>
            </w:tcMar>
            <w:vAlign w:val="center"/>
            <w:shd w:fill="F8FAFC"/>
          </w:tcPr>
          <w:p>
            <w:pPr>
              <w:spacing w:after="0"/>
            </w:pPr>
            <w:r>
              <w:rPr>
                <w:rFonts w:ascii="Calibri" w:hAnsi="Calibri"/>
                <w:b w:val="0"/>
                <w:color w:val="14202F"/>
                <w:sz w:val="20"/>
              </w:rPr>
              <w:t>Local test suite, coverage gate and versioned YAML files.</w:t>
            </w:r>
          </w:p>
        </w:tc>
      </w:tr>
      <w:tr>
        <w:tc>
          <w:tcPr>
            <w:tcW w:type="dxa" w:w="1150"/>
            <w:tcMar>
              <w:top w:w="80" w:type="dxa"/>
              <w:bottom w:w="80" w:type="dxa"/>
              <w:start w:w="120" w:type="dxa"/>
              <w:end w:w="120" w:type="dxa"/>
            </w:tcMar>
            <w:vAlign w:val="center"/>
          </w:tcPr>
          <w:p>
            <w:pPr>
              <w:spacing w:after="0"/>
            </w:pPr>
            <w:r>
              <w:rPr>
                <w:rFonts w:ascii="Calibri" w:hAnsi="Calibri"/>
                <w:b w:val="0"/>
                <w:color w:val="14202F"/>
                <w:sz w:val="20"/>
              </w:rPr>
              <w:t>Week 3</w:t>
            </w:r>
          </w:p>
        </w:tc>
        <w:tc>
          <w:tcPr>
            <w:tcW w:type="dxa" w:w="1900"/>
            <w:tcMar>
              <w:top w:w="80" w:type="dxa"/>
              <w:bottom w:w="80" w:type="dxa"/>
              <w:start w:w="120" w:type="dxa"/>
              <w:end w:w="120" w:type="dxa"/>
            </w:tcMar>
            <w:vAlign w:val="center"/>
          </w:tcPr>
          <w:p>
            <w:pPr>
              <w:spacing w:after="0"/>
            </w:pPr>
            <w:r>
              <w:rPr>
                <w:rFonts w:ascii="Calibri" w:hAnsi="Calibri"/>
                <w:b w:val="0"/>
                <w:color w:val="14202F"/>
                <w:sz w:val="20"/>
              </w:rPr>
              <w:t>Guided questionnaire and assessment results</w:t>
            </w:r>
          </w:p>
        </w:tc>
        <w:tc>
          <w:tcPr>
            <w:tcW w:type="dxa" w:w="4010"/>
            <w:tcMar>
              <w:top w:w="80" w:type="dxa"/>
              <w:bottom w:w="80" w:type="dxa"/>
              <w:start w:w="120" w:type="dxa"/>
              <w:end w:w="120" w:type="dxa"/>
            </w:tcMar>
            <w:vAlign w:val="center"/>
          </w:tcPr>
          <w:p>
            <w:pPr>
              <w:spacing w:after="0"/>
            </w:pPr>
            <w:r>
              <w:rPr>
                <w:rFonts w:ascii="Calibri" w:hAnsi="Calibri"/>
                <w:b w:val="0"/>
                <w:color w:val="14202F"/>
                <w:sz w:val="20"/>
              </w:rPr>
              <w:t>Wizard-style intake interface implemented with one question shown at a time.; Question configuration mapped to every answer key required by the rule files.; Internal POST /api/assess route added so YAML loading and file-system access stay server-side.</w:t>
            </w:r>
          </w:p>
        </w:tc>
        <w:tc>
          <w:tcPr>
            <w:tcW w:type="dxa" w:w="2300"/>
            <w:tcMar>
              <w:top w:w="80" w:type="dxa"/>
              <w:bottom w:w="80" w:type="dxa"/>
              <w:start w:w="120" w:type="dxa"/>
              <w:end w:w="120" w:type="dxa"/>
            </w:tcMar>
            <w:vAlign w:val="center"/>
          </w:tcPr>
          <w:p>
            <w:pPr>
              <w:spacing w:after="0"/>
            </w:pPr>
            <w:r>
              <w:rPr>
                <w:rFonts w:ascii="Calibri" w:hAnsi="Calibri"/>
                <w:b w:val="0"/>
                <w:color w:val="14202F"/>
                <w:sz w:val="20"/>
              </w:rPr>
              <w:t>Vitest, TypeScript, ESLint, build verification, local smoke test and production smoke test.</w:t>
            </w:r>
          </w:p>
        </w:tc>
      </w:tr>
      <w:tr>
        <w:tc>
          <w:tcPr>
            <w:tcW w:type="dxa" w:w="1150"/>
            <w:tcMar>
              <w:top w:w="80" w:type="dxa"/>
              <w:bottom w:w="80" w:type="dxa"/>
              <w:start w:w="120" w:type="dxa"/>
              <w:end w:w="120" w:type="dxa"/>
            </w:tcMar>
            <w:vAlign w:val="center"/>
            <w:shd w:fill="F8FAFC"/>
          </w:tcPr>
          <w:p>
            <w:pPr>
              <w:spacing w:after="0"/>
            </w:pPr>
            <w:r>
              <w:rPr>
                <w:rFonts w:ascii="Calibri" w:hAnsi="Calibri"/>
                <w:b w:val="0"/>
                <w:color w:val="14202F"/>
                <w:sz w:val="20"/>
              </w:rPr>
              <w:t>Week 4</w:t>
            </w:r>
          </w:p>
        </w:tc>
        <w:tc>
          <w:tcPr>
            <w:tcW w:type="dxa" w:w="1900"/>
            <w:tcMar>
              <w:top w:w="80" w:type="dxa"/>
              <w:bottom w:w="80" w:type="dxa"/>
              <w:start w:w="120" w:type="dxa"/>
              <w:end w:w="120" w:type="dxa"/>
            </w:tcMar>
            <w:vAlign w:val="center"/>
            <w:shd w:fill="F8FAFC"/>
          </w:tcPr>
          <w:p>
            <w:pPr>
              <w:spacing w:after="0"/>
            </w:pPr>
            <w:r>
              <w:rPr>
                <w:rFonts w:ascii="Calibri" w:hAnsi="Calibri"/>
                <w:b w:val="0"/>
                <w:color w:val="14202F"/>
                <w:sz w:val="20"/>
              </w:rPr>
              <w:t>Explanation layer and bounded LLM integration</w:t>
            </w:r>
          </w:p>
        </w:tc>
        <w:tc>
          <w:tcPr>
            <w:tcW w:type="dxa" w:w="4010"/>
            <w:tcMar>
              <w:top w:w="80" w:type="dxa"/>
              <w:bottom w:w="80" w:type="dxa"/>
              <w:start w:w="120" w:type="dxa"/>
              <w:end w:w="120" w:type="dxa"/>
            </w:tcMar>
            <w:vAlign w:val="center"/>
            <w:shd w:fill="F8FAFC"/>
          </w:tcPr>
          <w:p>
            <w:pPr>
              <w:spacing w:after="0"/>
            </w:pPr>
            <w:r>
              <w:rPr>
                <w:rFonts w:ascii="Calibri" w:hAnsi="Calibri"/>
                <w:b w:val="0"/>
                <w:color w:val="14202F"/>
                <w:sz w:val="20"/>
              </w:rPr>
              <w:t>Deterministic template explanation layer implemented.; Internal POST /api/explain route added.; Prompt builder and validator added to constrain LLM outputs.</w:t>
            </w:r>
          </w:p>
        </w:tc>
        <w:tc>
          <w:tcPr>
            <w:tcW w:type="dxa" w:w="2300"/>
            <w:tcMar>
              <w:top w:w="80" w:type="dxa"/>
              <w:bottom w:w="80" w:type="dxa"/>
              <w:start w:w="120" w:type="dxa"/>
              <w:end w:w="120" w:type="dxa"/>
            </w:tcMar>
            <w:vAlign w:val="center"/>
            <w:shd w:fill="F8FAFC"/>
          </w:tcPr>
          <w:p>
            <w:pPr>
              <w:spacing w:after="0"/>
            </w:pPr>
            <w:r>
              <w:rPr>
                <w:rFonts w:ascii="Calibri" w:hAnsi="Calibri"/>
                <w:b w:val="0"/>
                <w:color w:val="14202F"/>
                <w:sz w:val="20"/>
              </w:rPr>
              <w:t>Template, prompt, validation, route and Gemini adapter tests.</w:t>
            </w:r>
          </w:p>
        </w:tc>
      </w:tr>
      <w:tr>
        <w:tc>
          <w:tcPr>
            <w:tcW w:type="dxa" w:w="1150"/>
            <w:tcMar>
              <w:top w:w="80" w:type="dxa"/>
              <w:bottom w:w="80" w:type="dxa"/>
              <w:start w:w="120" w:type="dxa"/>
              <w:end w:w="120" w:type="dxa"/>
            </w:tcMar>
            <w:vAlign w:val="center"/>
          </w:tcPr>
          <w:p>
            <w:pPr>
              <w:spacing w:after="0"/>
            </w:pPr>
            <w:r>
              <w:rPr>
                <w:rFonts w:ascii="Calibri" w:hAnsi="Calibri"/>
                <w:b w:val="0"/>
                <w:color w:val="14202F"/>
                <w:sz w:val="20"/>
              </w:rPr>
              <w:t>Week 5</w:t>
            </w:r>
          </w:p>
        </w:tc>
        <w:tc>
          <w:tcPr>
            <w:tcW w:type="dxa" w:w="1900"/>
            <w:tcMar>
              <w:top w:w="80" w:type="dxa"/>
              <w:bottom w:w="80" w:type="dxa"/>
              <w:start w:w="120" w:type="dxa"/>
              <w:end w:w="120" w:type="dxa"/>
            </w:tcMar>
            <w:vAlign w:val="center"/>
          </w:tcPr>
          <w:p>
            <w:pPr>
              <w:spacing w:after="0"/>
            </w:pPr>
            <w:r>
              <w:rPr>
                <w:rFonts w:ascii="Calibri" w:hAnsi="Calibri"/>
                <w:b w:val="0"/>
                <w:color w:val="14202F"/>
                <w:sz w:val="20"/>
              </w:rPr>
              <w:t>Printable report, accessibility and evaluation readiness</w:t>
            </w:r>
          </w:p>
        </w:tc>
        <w:tc>
          <w:tcPr>
            <w:tcW w:type="dxa" w:w="4010"/>
            <w:tcMar>
              <w:top w:w="80" w:type="dxa"/>
              <w:bottom w:w="80" w:type="dxa"/>
              <w:start w:w="120" w:type="dxa"/>
              <w:end w:w="120" w:type="dxa"/>
            </w:tcMar>
            <w:vAlign w:val="center"/>
          </w:tcPr>
          <w:p>
            <w:pPr>
              <w:spacing w:after="0"/>
            </w:pPr>
            <w:r>
              <w:rPr>
                <w:rFonts w:ascii="Calibri" w:hAnsi="Calibri"/>
                <w:b w:val="0"/>
                <w:color w:val="14202F"/>
                <w:sz w:val="20"/>
              </w:rPr>
              <w:t>Per-benefit printable report implemented with metadata, rule trace, evidence and sources.; Static accessibility review completed and ARIA issues fixed.; Playwright and axe-core added for automated WCAG-oriented checks.</w:t>
            </w:r>
          </w:p>
        </w:tc>
        <w:tc>
          <w:tcPr>
            <w:tcW w:type="dxa" w:w="2300"/>
            <w:tcMar>
              <w:top w:w="80" w:type="dxa"/>
              <w:bottom w:w="80" w:type="dxa"/>
              <w:start w:w="120" w:type="dxa"/>
              <w:end w:w="120" w:type="dxa"/>
            </w:tcMar>
            <w:vAlign w:val="center"/>
          </w:tcPr>
          <w:p>
            <w:pPr>
              <w:spacing w:after="0"/>
            </w:pPr>
            <w:r>
              <w:rPr>
                <w:rFonts w:ascii="Calibri" w:hAnsi="Calibri"/>
                <w:b w:val="0"/>
                <w:color w:val="14202F"/>
                <w:sz w:val="20"/>
              </w:rPr>
              <w:t>npm run test:a11y, keyboard test, readability test and docs/ethics materials.</w:t>
            </w:r>
          </w:p>
        </w:tc>
      </w:tr>
      <w:tr>
        <w:tc>
          <w:tcPr>
            <w:tcW w:type="dxa" w:w="1150"/>
            <w:tcMar>
              <w:top w:w="80" w:type="dxa"/>
              <w:bottom w:w="80" w:type="dxa"/>
              <w:start w:w="120" w:type="dxa"/>
              <w:end w:w="120" w:type="dxa"/>
            </w:tcMar>
            <w:vAlign w:val="center"/>
            <w:shd w:fill="F8FAFC"/>
          </w:tcPr>
          <w:p>
            <w:pPr>
              <w:spacing w:after="0"/>
            </w:pPr>
            <w:r>
              <w:rPr>
                <w:rFonts w:ascii="Calibri" w:hAnsi="Calibri"/>
                <w:b w:val="0"/>
                <w:color w:val="14202F"/>
                <w:sz w:val="20"/>
              </w:rPr>
              <w:t>Week 6 / current refinement</w:t>
            </w:r>
          </w:p>
        </w:tc>
        <w:tc>
          <w:tcPr>
            <w:tcW w:type="dxa" w:w="1900"/>
            <w:tcMar>
              <w:top w:w="80" w:type="dxa"/>
              <w:bottom w:w="80" w:type="dxa"/>
              <w:start w:w="120" w:type="dxa"/>
              <w:end w:w="120" w:type="dxa"/>
            </w:tcMar>
            <w:vAlign w:val="center"/>
            <w:shd w:fill="F8FAFC"/>
          </w:tcPr>
          <w:p>
            <w:pPr>
              <w:spacing w:after="0"/>
            </w:pPr>
            <w:r>
              <w:rPr>
                <w:rFonts w:ascii="Calibri" w:hAnsi="Calibri"/>
                <w:b w:val="0"/>
                <w:color w:val="14202F"/>
                <w:sz w:val="20"/>
              </w:rPr>
              <w:t>CPAG source strategy, modern UI and demonstration readiness</w:t>
            </w:r>
          </w:p>
        </w:tc>
        <w:tc>
          <w:tcPr>
            <w:tcW w:type="dxa" w:w="4010"/>
            <w:tcMar>
              <w:top w:w="80" w:type="dxa"/>
              <w:bottom w:w="80" w:type="dxa"/>
              <w:start w:w="120" w:type="dxa"/>
              <w:end w:w="120" w:type="dxa"/>
            </w:tcMar>
            <w:vAlign w:val="center"/>
            <w:shd w:fill="F8FAFC"/>
          </w:tcPr>
          <w:p>
            <w:pPr>
              <w:spacing w:after="0"/>
            </w:pPr>
            <w:r>
              <w:rPr>
                <w:rFonts w:ascii="Calibri" w:hAnsi="Calibri"/>
                <w:b w:val="0"/>
                <w:color w:val="14202F"/>
                <w:sz w:val="20"/>
              </w:rPr>
              <w:t>CPAG Welfare Rights made the primary source family shown in rule trace.; GOV.UK retained as complementary official guidance.; Blue Decision Lab visual remake implemented with a modern technology-oriented interface.</w:t>
            </w:r>
          </w:p>
        </w:tc>
        <w:tc>
          <w:tcPr>
            <w:tcW w:type="dxa" w:w="2300"/>
            <w:tcMar>
              <w:top w:w="80" w:type="dxa"/>
              <w:bottom w:w="80" w:type="dxa"/>
              <w:start w:w="120" w:type="dxa"/>
              <w:end w:w="120" w:type="dxa"/>
            </w:tcMar>
            <w:vAlign w:val="center"/>
            <w:shd w:fill="F8FAFC"/>
          </w:tcPr>
          <w:p>
            <w:pPr>
              <w:spacing w:after="0"/>
            </w:pPr>
            <w:r>
              <w:rPr>
                <w:rFonts w:ascii="Calibri" w:hAnsi="Calibri"/>
                <w:b w:val="0"/>
                <w:color w:val="14202F"/>
                <w:sz w:val="20"/>
              </w:rPr>
              <w:t>119 tests passing, TypeScript, lint, coverage, build, accessibility tests and production smoke test.</w:t>
            </w:r>
          </w:p>
        </w:tc>
      </w:tr>
      <w:tr>
        <w:tc>
          <w:tcPr>
            <w:tcW w:type="dxa" w:w="1150"/>
            <w:tcMar>
              <w:top w:w="80" w:type="dxa"/>
              <w:bottom w:w="80" w:type="dxa"/>
              <w:start w:w="120" w:type="dxa"/>
              <w:end w:w="120" w:type="dxa"/>
            </w:tcMar>
            <w:vAlign w:val="center"/>
          </w:tcPr>
          <w:p>
            <w:pPr>
              <w:spacing w:after="0"/>
            </w:pPr>
            <w:r>
              <w:rPr>
                <w:rFonts w:ascii="Calibri" w:hAnsi="Calibri"/>
                <w:b w:val="0"/>
                <w:color w:val="14202F"/>
                <w:sz w:val="20"/>
              </w:rPr>
              <w:t>Week 7 / next step</w:t>
            </w:r>
          </w:p>
        </w:tc>
        <w:tc>
          <w:tcPr>
            <w:tcW w:type="dxa" w:w="1900"/>
            <w:tcMar>
              <w:top w:w="80" w:type="dxa"/>
              <w:bottom w:w="80" w:type="dxa"/>
              <w:start w:w="120" w:type="dxa"/>
              <w:end w:w="120" w:type="dxa"/>
            </w:tcMar>
            <w:vAlign w:val="center"/>
          </w:tcPr>
          <w:p>
            <w:pPr>
              <w:spacing w:after="0"/>
            </w:pPr>
            <w:r>
              <w:rPr>
                <w:rFonts w:ascii="Calibri" w:hAnsi="Calibri"/>
                <w:b w:val="0"/>
                <w:color w:val="14202F"/>
                <w:sz w:val="20"/>
              </w:rPr>
              <w:t>Participant testing and feedback collection</w:t>
            </w:r>
          </w:p>
        </w:tc>
        <w:tc>
          <w:tcPr>
            <w:tcW w:type="dxa" w:w="4010"/>
            <w:tcMar>
              <w:top w:w="80" w:type="dxa"/>
              <w:bottom w:w="80" w:type="dxa"/>
              <w:start w:w="120" w:type="dxa"/>
              <w:end w:w="120" w:type="dxa"/>
            </w:tcMar>
            <w:vAlign w:val="center"/>
          </w:tcPr>
          <w:p>
            <w:pPr>
              <w:spacing w:after="0"/>
            </w:pPr>
            <w:r>
              <w:rPr>
                <w:rFonts w:ascii="Calibri" w:hAnsi="Calibri"/>
                <w:b w:val="0"/>
                <w:color w:val="14202F"/>
                <w:sz w:val="20"/>
              </w:rPr>
              <w:t>Submit the ethics pack and wait for approval before involving real participants.; Run usability testing with 5 to 8 participants using fictional scenarios.; Collect anonymous JSON exports and post-test questionnaire responses.</w:t>
            </w:r>
          </w:p>
        </w:tc>
        <w:tc>
          <w:tcPr>
            <w:tcW w:type="dxa" w:w="2300"/>
            <w:tcMar>
              <w:top w:w="80" w:type="dxa"/>
              <w:bottom w:w="80" w:type="dxa"/>
              <w:start w:w="120" w:type="dxa"/>
              <w:end w:w="120" w:type="dxa"/>
            </w:tcMar>
            <w:vAlign w:val="center"/>
          </w:tcPr>
          <w:p>
            <w:pPr>
              <w:spacing w:after="0"/>
            </w:pPr>
            <w:r>
              <w:rPr>
                <w:rFonts w:ascii="Calibri" w:hAnsi="Calibri"/>
                <w:b w:val="0"/>
                <w:color w:val="14202F"/>
                <w:sz w:val="20"/>
              </w:rPr>
              <w:t>Consent form, participant information sheet, screening form, task list, script and questionnaire.</w:t>
            </w:r>
          </w:p>
        </w:tc>
      </w:tr>
    </w:tbl>
    <w:p/>
    <w:p>
      <w:pPr>
        <w:pStyle w:val="Heading1"/>
      </w:pPr>
      <w:r>
        <w:t>3. Application Architecture</w:t>
      </w:r>
    </w:p>
    <w:p>
      <w:pPr>
        <w:spacing w:after="120"/>
      </w:pPr>
      <w:r>
        <w:t>The architecture keeps eligibility decisions outside the LLM. The frontend presents the questionnaire and results. The internal API receives answers and calls the server-side rules engine. YAML files store declarative benefit criteria.</w:t>
      </w:r>
    </w:p>
    <w:tbl>
      <w:tblPr>
        <w:tblW w:type="dxa" w:w="9360"/>
        <w:tblLayout w:type="fixed"/>
        <w:tblLook w:firstColumn="1" w:firstRow="1" w:lastColumn="0" w:lastRow="0" w:noHBand="0" w:noVBand="1" w:val="04A0"/>
      </w:tblPr>
      <w:tblGrid>
        <w:gridCol w:w="1450"/>
        <w:gridCol w:w="3600"/>
        <w:gridCol w:w="4310"/>
      </w:tblGrid>
      <w:tr>
        <w:tc>
          <w:tcPr>
            <w:tcW w:type="dxa" w:w="1450"/>
            <w:tcMar>
              <w:top w:w="80" w:type="dxa"/>
              <w:bottom w:w="80" w:type="dxa"/>
              <w:start w:w="120" w:type="dxa"/>
              <w:end w:w="120" w:type="dxa"/>
            </w:tcMar>
            <w:vAlign w:val="center"/>
            <w:shd w:fill="2E74B5"/>
          </w:tcPr>
          <w:p>
            <w:pPr>
              <w:spacing w:after="0"/>
            </w:pPr>
            <w:r>
              <w:rPr>
                <w:rFonts w:ascii="Calibri" w:hAnsi="Calibri"/>
                <w:b/>
                <w:color w:val="FFFFFF"/>
                <w:sz w:val="21"/>
              </w:rPr>
              <w:t>Layer</w:t>
            </w:r>
          </w:p>
        </w:tc>
        <w:tc>
          <w:tcPr>
            <w:tcW w:type="dxa" w:w="3600"/>
            <w:tcMar>
              <w:top w:w="80" w:type="dxa"/>
              <w:bottom w:w="80" w:type="dxa"/>
              <w:start w:w="120" w:type="dxa"/>
              <w:end w:w="120" w:type="dxa"/>
            </w:tcMar>
            <w:vAlign w:val="center"/>
            <w:shd w:fill="2E74B5"/>
          </w:tcPr>
          <w:p>
            <w:pPr>
              <w:spacing w:after="0"/>
            </w:pPr>
            <w:r>
              <w:rPr>
                <w:rFonts w:ascii="Calibri" w:hAnsi="Calibri"/>
                <w:b/>
                <w:color w:val="FFFFFF"/>
                <w:sz w:val="21"/>
              </w:rPr>
              <w:t>Responsibility</w:t>
            </w:r>
          </w:p>
        </w:tc>
        <w:tc>
          <w:tcPr>
            <w:tcW w:type="dxa" w:w="4310"/>
            <w:tcMar>
              <w:top w:w="80" w:type="dxa"/>
              <w:bottom w:w="80" w:type="dxa"/>
              <w:start w:w="120" w:type="dxa"/>
              <w:end w:w="120" w:type="dxa"/>
            </w:tcMar>
            <w:vAlign w:val="center"/>
            <w:shd w:fill="2E74B5"/>
          </w:tcPr>
          <w:p>
            <w:pPr>
              <w:spacing w:after="0"/>
            </w:pPr>
            <w:r>
              <w:rPr>
                <w:rFonts w:ascii="Calibri" w:hAnsi="Calibri"/>
                <w:b/>
                <w:color w:val="FFFFFF"/>
                <w:sz w:val="21"/>
              </w:rPr>
              <w:t>Main files</w:t>
            </w:r>
          </w:p>
        </w:tc>
      </w:tr>
      <w:tr>
        <w:tc>
          <w:tcPr>
            <w:tcW w:type="dxa" w:w="1450"/>
            <w:tcMar>
              <w:top w:w="80" w:type="dxa"/>
              <w:bottom w:w="80" w:type="dxa"/>
              <w:start w:w="120" w:type="dxa"/>
              <w:end w:w="120" w:type="dxa"/>
            </w:tcMar>
            <w:vAlign w:val="center"/>
          </w:tcPr>
          <w:p>
            <w:pPr>
              <w:spacing w:after="0"/>
            </w:pPr>
            <w:r>
              <w:rPr>
                <w:rFonts w:ascii="Calibri" w:hAnsi="Calibri"/>
                <w:b w:val="0"/>
                <w:color w:val="14202F"/>
                <w:sz w:val="20"/>
              </w:rPr>
              <w:t>Frontend</w:t>
            </w:r>
          </w:p>
        </w:tc>
        <w:tc>
          <w:tcPr>
            <w:tcW w:type="dxa" w:w="3600"/>
            <w:tcMar>
              <w:top w:w="80" w:type="dxa"/>
              <w:bottom w:w="80" w:type="dxa"/>
              <w:start w:w="120" w:type="dxa"/>
              <w:end w:w="120" w:type="dxa"/>
            </w:tcMar>
            <w:vAlign w:val="center"/>
          </w:tcPr>
          <w:p>
            <w:pPr>
              <w:spacing w:after="0"/>
            </w:pPr>
            <w:r>
              <w:rPr>
                <w:rFonts w:ascii="Calibri" w:hAnsi="Calibri"/>
                <w:b w:val="0"/>
                <w:color w:val="14202F"/>
                <w:sz w:val="20"/>
              </w:rPr>
              <w:t>Guided questionnaire, result cards, printable report and anonymous export.</w:t>
            </w:r>
          </w:p>
        </w:tc>
        <w:tc>
          <w:tcPr>
            <w:tcW w:type="dxa" w:w="4310"/>
            <w:tcMar>
              <w:top w:w="80" w:type="dxa"/>
              <w:bottom w:w="80" w:type="dxa"/>
              <w:start w:w="120" w:type="dxa"/>
              <w:end w:w="120" w:type="dxa"/>
            </w:tcMar>
            <w:vAlign w:val="center"/>
          </w:tcPr>
          <w:p>
            <w:pPr>
              <w:spacing w:after="0"/>
            </w:pPr>
            <w:r>
              <w:rPr>
                <w:rFonts w:ascii="Calibri" w:hAnsi="Calibri"/>
                <w:b w:val="0"/>
                <w:color w:val="14202F"/>
                <w:sz w:val="20"/>
              </w:rPr>
              <w:t>src/components/assessment/AssessmentApp.tsx; src/app/globals.css</w:t>
            </w:r>
          </w:p>
        </w:tc>
      </w:tr>
      <w:tr>
        <w:tc>
          <w:tcPr>
            <w:tcW w:type="dxa" w:w="1450"/>
            <w:tcMar>
              <w:top w:w="80" w:type="dxa"/>
              <w:bottom w:w="80" w:type="dxa"/>
              <w:start w:w="120" w:type="dxa"/>
              <w:end w:w="120" w:type="dxa"/>
            </w:tcMar>
            <w:vAlign w:val="center"/>
            <w:shd w:fill="F8FAFC"/>
          </w:tcPr>
          <w:p>
            <w:pPr>
              <w:spacing w:after="0"/>
            </w:pPr>
            <w:r>
              <w:rPr>
                <w:rFonts w:ascii="Calibri" w:hAnsi="Calibri"/>
                <w:b w:val="0"/>
                <w:color w:val="14202F"/>
                <w:sz w:val="20"/>
              </w:rPr>
              <w:t>API</w:t>
            </w:r>
          </w:p>
        </w:tc>
        <w:tc>
          <w:tcPr>
            <w:tcW w:type="dxa" w:w="3600"/>
            <w:tcMar>
              <w:top w:w="80" w:type="dxa"/>
              <w:bottom w:w="80" w:type="dxa"/>
              <w:start w:w="120" w:type="dxa"/>
              <w:end w:w="120" w:type="dxa"/>
            </w:tcMar>
            <w:vAlign w:val="center"/>
            <w:shd w:fill="F8FAFC"/>
          </w:tcPr>
          <w:p>
            <w:pPr>
              <w:spacing w:after="0"/>
            </w:pPr>
            <w:r>
              <w:rPr>
                <w:rFonts w:ascii="Calibri" w:hAnsi="Calibri"/>
                <w:b w:val="0"/>
                <w:color w:val="14202F"/>
                <w:sz w:val="20"/>
              </w:rPr>
              <w:t>Internal assessment and explanation routes.</w:t>
            </w:r>
          </w:p>
        </w:tc>
        <w:tc>
          <w:tcPr>
            <w:tcW w:type="dxa" w:w="4310"/>
            <w:tcMar>
              <w:top w:w="80" w:type="dxa"/>
              <w:bottom w:w="80" w:type="dxa"/>
              <w:start w:w="120" w:type="dxa"/>
              <w:end w:w="120" w:type="dxa"/>
            </w:tcMar>
            <w:vAlign w:val="center"/>
            <w:shd w:fill="F8FAFC"/>
          </w:tcPr>
          <w:p>
            <w:pPr>
              <w:spacing w:after="0"/>
            </w:pPr>
            <w:r>
              <w:rPr>
                <w:rFonts w:ascii="Calibri" w:hAnsi="Calibri"/>
                <w:b w:val="0"/>
                <w:color w:val="14202F"/>
                <w:sz w:val="20"/>
              </w:rPr>
              <w:t>src/app/api/assess/route.ts; src/app/api/explain/route.ts</w:t>
            </w:r>
          </w:p>
        </w:tc>
      </w:tr>
      <w:tr>
        <w:tc>
          <w:tcPr>
            <w:tcW w:type="dxa" w:w="1450"/>
            <w:tcMar>
              <w:top w:w="80" w:type="dxa"/>
              <w:bottom w:w="80" w:type="dxa"/>
              <w:start w:w="120" w:type="dxa"/>
              <w:end w:w="120" w:type="dxa"/>
            </w:tcMar>
            <w:vAlign w:val="center"/>
          </w:tcPr>
          <w:p>
            <w:pPr>
              <w:spacing w:after="0"/>
            </w:pPr>
            <w:r>
              <w:rPr>
                <w:rFonts w:ascii="Calibri" w:hAnsi="Calibri"/>
                <w:b w:val="0"/>
                <w:color w:val="14202F"/>
                <w:sz w:val="20"/>
              </w:rPr>
              <w:t>Rules engine</w:t>
            </w:r>
          </w:p>
        </w:tc>
        <w:tc>
          <w:tcPr>
            <w:tcW w:type="dxa" w:w="3600"/>
            <w:tcMar>
              <w:top w:w="80" w:type="dxa"/>
              <w:bottom w:w="80" w:type="dxa"/>
              <w:start w:w="120" w:type="dxa"/>
              <w:end w:w="120" w:type="dxa"/>
            </w:tcMar>
            <w:vAlign w:val="center"/>
          </w:tcPr>
          <w:p>
            <w:pPr>
              <w:spacing w:after="0"/>
            </w:pPr>
            <w:r>
              <w:rPr>
                <w:rFonts w:ascii="Calibri" w:hAnsi="Calibri"/>
                <w:b w:val="0"/>
                <w:color w:val="14202F"/>
                <w:sz w:val="20"/>
              </w:rPr>
              <w:t>Load YAML, validate schema, evaluate criteria, derive outcome and recommend evidence.</w:t>
            </w:r>
          </w:p>
        </w:tc>
        <w:tc>
          <w:tcPr>
            <w:tcW w:type="dxa" w:w="4310"/>
            <w:tcMar>
              <w:top w:w="80" w:type="dxa"/>
              <w:bottom w:w="80" w:type="dxa"/>
              <w:start w:w="120" w:type="dxa"/>
              <w:end w:w="120" w:type="dxa"/>
            </w:tcMar>
            <w:vAlign w:val="center"/>
          </w:tcPr>
          <w:p>
            <w:pPr>
              <w:spacing w:after="0"/>
            </w:pPr>
            <w:r>
              <w:rPr>
                <w:rFonts w:ascii="Calibri" w:hAnsi="Calibri"/>
                <w:b w:val="0"/>
                <w:color w:val="14202F"/>
                <w:sz w:val="20"/>
              </w:rPr>
              <w:t>src/lib/rules/engine.ts; load.ts; schema.ts; outcome.ts; operators.ts</w:t>
            </w:r>
          </w:p>
        </w:tc>
      </w:tr>
      <w:tr>
        <w:tc>
          <w:tcPr>
            <w:tcW w:type="dxa" w:w="1450"/>
            <w:tcMar>
              <w:top w:w="80" w:type="dxa"/>
              <w:bottom w:w="80" w:type="dxa"/>
              <w:start w:w="120" w:type="dxa"/>
              <w:end w:w="120" w:type="dxa"/>
            </w:tcMar>
            <w:vAlign w:val="center"/>
            <w:shd w:fill="F8FAFC"/>
          </w:tcPr>
          <w:p>
            <w:pPr>
              <w:spacing w:after="0"/>
            </w:pPr>
            <w:r>
              <w:rPr>
                <w:rFonts w:ascii="Calibri" w:hAnsi="Calibri"/>
                <w:b w:val="0"/>
                <w:color w:val="14202F"/>
                <w:sz w:val="20"/>
              </w:rPr>
              <w:t>Rules</w:t>
            </w:r>
          </w:p>
        </w:tc>
        <w:tc>
          <w:tcPr>
            <w:tcW w:type="dxa" w:w="3600"/>
            <w:tcMar>
              <w:top w:w="80" w:type="dxa"/>
              <w:bottom w:w="80" w:type="dxa"/>
              <w:start w:w="120" w:type="dxa"/>
              <w:end w:w="120" w:type="dxa"/>
            </w:tcMar>
            <w:vAlign w:val="center"/>
            <w:shd w:fill="F8FAFC"/>
          </w:tcPr>
          <w:p>
            <w:pPr>
              <w:spacing w:after="0"/>
            </w:pPr>
            <w:r>
              <w:rPr>
                <w:rFonts w:ascii="Calibri" w:hAnsi="Calibri"/>
                <w:b w:val="0"/>
                <w:color w:val="14202F"/>
                <w:sz w:val="20"/>
              </w:rPr>
              <w:t>Declarative criteria, sources and evidence by benefit.</w:t>
            </w:r>
          </w:p>
        </w:tc>
        <w:tc>
          <w:tcPr>
            <w:tcW w:type="dxa" w:w="4310"/>
            <w:tcMar>
              <w:top w:w="80" w:type="dxa"/>
              <w:bottom w:w="80" w:type="dxa"/>
              <w:start w:w="120" w:type="dxa"/>
              <w:end w:w="120" w:type="dxa"/>
            </w:tcMar>
            <w:vAlign w:val="center"/>
            <w:shd w:fill="F8FAFC"/>
          </w:tcPr>
          <w:p>
            <w:pPr>
              <w:spacing w:after="0"/>
            </w:pPr>
            <w:r>
              <w:rPr>
                <w:rFonts w:ascii="Calibri" w:hAnsi="Calibri"/>
                <w:b w:val="0"/>
                <w:color w:val="14202F"/>
                <w:sz w:val="20"/>
              </w:rPr>
              <w:t>rules/attendance-allowance.yaml; universal-credit.yaml; personal-independence-payment.yaml</w:t>
            </w:r>
          </w:p>
        </w:tc>
      </w:tr>
      <w:tr>
        <w:tc>
          <w:tcPr>
            <w:tcW w:type="dxa" w:w="1450"/>
            <w:tcMar>
              <w:top w:w="80" w:type="dxa"/>
              <w:bottom w:w="80" w:type="dxa"/>
              <w:start w:w="120" w:type="dxa"/>
              <w:end w:w="120" w:type="dxa"/>
            </w:tcMar>
            <w:vAlign w:val="center"/>
          </w:tcPr>
          <w:p>
            <w:pPr>
              <w:spacing w:after="0"/>
            </w:pPr>
            <w:r>
              <w:rPr>
                <w:rFonts w:ascii="Calibri" w:hAnsi="Calibri"/>
                <w:b w:val="0"/>
                <w:color w:val="14202F"/>
                <w:sz w:val="20"/>
              </w:rPr>
              <w:t>Explanation</w:t>
            </w:r>
          </w:p>
        </w:tc>
        <w:tc>
          <w:tcPr>
            <w:tcW w:type="dxa" w:w="3600"/>
            <w:tcMar>
              <w:top w:w="80" w:type="dxa"/>
              <w:bottom w:w="80" w:type="dxa"/>
              <w:start w:w="120" w:type="dxa"/>
              <w:end w:w="120" w:type="dxa"/>
            </w:tcMar>
            <w:vAlign w:val="center"/>
          </w:tcPr>
          <w:p>
            <w:pPr>
              <w:spacing w:after="0"/>
            </w:pPr>
            <w:r>
              <w:rPr>
                <w:rFonts w:ascii="Calibri" w:hAnsi="Calibri"/>
                <w:b w:val="0"/>
                <w:color w:val="14202F"/>
                <w:sz w:val="20"/>
              </w:rPr>
              <w:t>Deterministic template, safe prompt, validator and Gemini adapter.</w:t>
            </w:r>
          </w:p>
        </w:tc>
        <w:tc>
          <w:tcPr>
            <w:tcW w:type="dxa" w:w="4310"/>
            <w:tcMar>
              <w:top w:w="80" w:type="dxa"/>
              <w:bottom w:w="80" w:type="dxa"/>
              <w:start w:w="120" w:type="dxa"/>
              <w:end w:w="120" w:type="dxa"/>
            </w:tcMar>
            <w:vAlign w:val="center"/>
          </w:tcPr>
          <w:p>
            <w:pPr>
              <w:spacing w:after="0"/>
            </w:pPr>
            <w:r>
              <w:rPr>
                <w:rFonts w:ascii="Calibri" w:hAnsi="Calibri"/>
                <w:b w:val="0"/>
                <w:color w:val="14202F"/>
                <w:sz w:val="20"/>
              </w:rPr>
              <w:t>src/lib/explanations/template.ts; llm.ts; gemini.ts</w:t>
            </w:r>
          </w:p>
        </w:tc>
      </w:tr>
      <w:tr>
        <w:tc>
          <w:tcPr>
            <w:tcW w:type="dxa" w:w="1450"/>
            <w:tcMar>
              <w:top w:w="80" w:type="dxa"/>
              <w:bottom w:w="80" w:type="dxa"/>
              <w:start w:w="120" w:type="dxa"/>
              <w:end w:w="120" w:type="dxa"/>
            </w:tcMar>
            <w:vAlign w:val="center"/>
            <w:shd w:fill="F8FAFC"/>
          </w:tcPr>
          <w:p>
            <w:pPr>
              <w:spacing w:after="0"/>
            </w:pPr>
            <w:r>
              <w:rPr>
                <w:rFonts w:ascii="Calibri" w:hAnsi="Calibri"/>
                <w:b w:val="0"/>
                <w:color w:val="14202F"/>
                <w:sz w:val="20"/>
              </w:rPr>
              <w:t>Tests</w:t>
            </w:r>
          </w:p>
        </w:tc>
        <w:tc>
          <w:tcPr>
            <w:tcW w:type="dxa" w:w="3600"/>
            <w:tcMar>
              <w:top w:w="80" w:type="dxa"/>
              <w:bottom w:w="80" w:type="dxa"/>
              <w:start w:w="120" w:type="dxa"/>
              <w:end w:w="120" w:type="dxa"/>
            </w:tcMar>
            <w:vAlign w:val="center"/>
            <w:shd w:fill="F8FAFC"/>
          </w:tcPr>
          <w:p>
            <w:pPr>
              <w:spacing w:after="0"/>
            </w:pPr>
            <w:r>
              <w:rPr>
                <w:rFonts w:ascii="Calibri" w:hAnsi="Calibri"/>
                <w:b w:val="0"/>
                <w:color w:val="14202F"/>
                <w:sz w:val="20"/>
              </w:rPr>
              <w:t>Unit, route, UI, accessibility, keyboard and readability tests.</w:t>
            </w:r>
          </w:p>
        </w:tc>
        <w:tc>
          <w:tcPr>
            <w:tcW w:type="dxa" w:w="4310"/>
            <w:tcMar>
              <w:top w:w="80" w:type="dxa"/>
              <w:bottom w:w="80" w:type="dxa"/>
              <w:start w:w="120" w:type="dxa"/>
              <w:end w:w="120" w:type="dxa"/>
            </w:tcMar>
            <w:vAlign w:val="center"/>
            <w:shd w:fill="F8FAFC"/>
          </w:tcPr>
          <w:p>
            <w:pPr>
              <w:spacing w:after="0"/>
            </w:pPr>
            <w:r>
              <w:rPr>
                <w:rFonts w:ascii="Calibri" w:hAnsi="Calibri"/>
                <w:b w:val="0"/>
                <w:color w:val="14202F"/>
                <w:sz w:val="20"/>
              </w:rPr>
              <w:t>tests/rules; tests/intake; tests/explanations; tests/e2e</w:t>
            </w:r>
          </w:p>
        </w:tc>
      </w:tr>
    </w:tbl>
    <w:p/>
    <w:tbl>
      <w:tblPr>
        <w:tblW w:type="dxa" w:w="9360"/>
        <w:tblLayout w:type="fixed"/>
        <w:tblLook w:firstColumn="1" w:firstRow="1" w:lastColumn="0" w:lastRow="0" w:noHBand="0" w:noVBand="1" w:val="04A0"/>
      </w:tblPr>
      <w:tblGrid>
        <w:gridCol w:w="9360"/>
      </w:tblGrid>
      <w:tr>
        <w:tc>
          <w:tcPr>
            <w:tcW w:type="dxa" w:w="9360"/>
            <w:shd w:fill="FFF7E6"/>
            <w:tcMar>
              <w:top w:w="140" w:type="dxa"/>
              <w:bottom w:w="140" w:type="dxa"/>
              <w:start w:w="180" w:type="dxa"/>
              <w:end w:w="180" w:type="dxa"/>
            </w:tcMar>
          </w:tcPr>
          <w:p>
            <w:pPr>
              <w:spacing w:after="0"/>
            </w:pPr>
            <w:r>
              <w:rPr>
                <w:b/>
                <w:color w:val="1F4D78"/>
              </w:rPr>
              <w:t xml:space="preserve">Important architectural decision: </w:t>
            </w:r>
            <w:r>
              <w:t>The LLM does not calculate eligibility, create criteria or choose benefits. It receives a result already produced by the rules engine and attempts to explain it in simpler language. If the external response is unsafe or unavailable, the application uses a deterministic fallback.</w:t>
            </w:r>
          </w:p>
        </w:tc>
      </w:tr>
    </w:tbl>
    <w:p/>
    <w:p>
      <w:pPr>
        <w:pStyle w:val="Heading1"/>
      </w:pPr>
      <w:r>
        <w:t>4. Data Sources and Traceability</w:t>
      </w:r>
    </w:p>
    <w:p>
      <w:pPr>
        <w:spacing w:after="120"/>
      </w:pPr>
      <w:r>
        <w:t>CPAG Welfare Rights is the primary source family shown in the rule trace. GOV.UK remains available as complementary official guidance. The application does not scrape sources live: rules are explicitly modelled in YAML so behaviour remains reproducible and testable.</w:t>
      </w:r>
    </w:p>
    <w:tbl>
      <w:tblPr>
        <w:tblW w:type="dxa" w:w="9360"/>
        <w:tblLayout w:type="fixed"/>
        <w:tblLook w:firstColumn="1" w:firstRow="1" w:lastColumn="0" w:lastRow="0" w:noHBand="0" w:noVBand="1" w:val="04A0"/>
      </w:tblPr>
      <w:tblGrid>
        <w:gridCol w:w="1800"/>
        <w:gridCol w:w="4180"/>
        <w:gridCol w:w="3380"/>
      </w:tblGrid>
      <w:tr>
        <w:tc>
          <w:tcPr>
            <w:tcW w:type="dxa" w:w="1800"/>
            <w:tcMar>
              <w:top w:w="80" w:type="dxa"/>
              <w:bottom w:w="80" w:type="dxa"/>
              <w:start w:w="120" w:type="dxa"/>
              <w:end w:w="120" w:type="dxa"/>
            </w:tcMar>
            <w:vAlign w:val="center"/>
            <w:shd w:fill="2E74B5"/>
          </w:tcPr>
          <w:p>
            <w:pPr>
              <w:spacing w:after="0"/>
            </w:pPr>
            <w:r>
              <w:rPr>
                <w:rFonts w:ascii="Calibri" w:hAnsi="Calibri"/>
                <w:b/>
                <w:color w:val="FFFFFF"/>
                <w:sz w:val="21"/>
              </w:rPr>
              <w:t>Benefit</w:t>
            </w:r>
          </w:p>
        </w:tc>
        <w:tc>
          <w:tcPr>
            <w:tcW w:type="dxa" w:w="4180"/>
            <w:tcMar>
              <w:top w:w="80" w:type="dxa"/>
              <w:bottom w:w="80" w:type="dxa"/>
              <w:start w:w="120" w:type="dxa"/>
              <w:end w:w="120" w:type="dxa"/>
            </w:tcMar>
            <w:vAlign w:val="center"/>
            <w:shd w:fill="2E74B5"/>
          </w:tcPr>
          <w:p>
            <w:pPr>
              <w:spacing w:after="0"/>
            </w:pPr>
            <w:r>
              <w:rPr>
                <w:rFonts w:ascii="Calibri" w:hAnsi="Calibri"/>
                <w:b/>
                <w:color w:val="FFFFFF"/>
                <w:sz w:val="21"/>
              </w:rPr>
              <w:t>Primary CPAG source</w:t>
            </w:r>
          </w:p>
        </w:tc>
        <w:tc>
          <w:tcPr>
            <w:tcW w:type="dxa" w:w="3380"/>
            <w:tcMar>
              <w:top w:w="80" w:type="dxa"/>
              <w:bottom w:w="80" w:type="dxa"/>
              <w:start w:w="120" w:type="dxa"/>
              <w:end w:w="120" w:type="dxa"/>
            </w:tcMar>
            <w:vAlign w:val="center"/>
            <w:shd w:fill="2E74B5"/>
          </w:tcPr>
          <w:p>
            <w:pPr>
              <w:spacing w:after="0"/>
            </w:pPr>
            <w:r>
              <w:rPr>
                <w:rFonts w:ascii="Calibri" w:hAnsi="Calibri"/>
                <w:b/>
                <w:color w:val="FFFFFF"/>
                <w:sz w:val="21"/>
              </w:rPr>
              <w:t>Complementary GOV.UK source</w:t>
            </w:r>
          </w:p>
        </w:tc>
      </w:tr>
      <w:tr>
        <w:tc>
          <w:tcPr>
            <w:tcW w:type="dxa" w:w="1800"/>
            <w:tcMar>
              <w:top w:w="80" w:type="dxa"/>
              <w:bottom w:w="80" w:type="dxa"/>
              <w:start w:w="120" w:type="dxa"/>
              <w:end w:w="120" w:type="dxa"/>
            </w:tcMar>
            <w:vAlign w:val="center"/>
          </w:tcPr>
          <w:p>
            <w:pPr>
              <w:spacing w:after="0"/>
            </w:pPr>
            <w:r>
              <w:rPr>
                <w:rFonts w:ascii="Calibri" w:hAnsi="Calibri"/>
                <w:b w:val="0"/>
                <w:color w:val="14202F"/>
                <w:sz w:val="20"/>
              </w:rPr>
              <w:t>Universal Credit</w:t>
            </w:r>
          </w:p>
        </w:tc>
        <w:tc>
          <w:tcPr>
            <w:tcW w:type="dxa" w:w="4180"/>
            <w:tcMar>
              <w:top w:w="80" w:type="dxa"/>
              <w:bottom w:w="80" w:type="dxa"/>
              <w:start w:w="120" w:type="dxa"/>
              <w:end w:w="120" w:type="dxa"/>
            </w:tcMar>
            <w:vAlign w:val="center"/>
          </w:tcPr>
          <w:p>
            <w:pPr>
              <w:spacing w:after="0"/>
            </w:pPr>
            <w:r>
              <w:rPr>
                <w:rFonts w:ascii="Calibri" w:hAnsi="Calibri"/>
                <w:b w:val="0"/>
                <w:color w:val="14202F"/>
                <w:sz w:val="20"/>
              </w:rPr>
              <w:t>https://cpag.org.uk/welfare-rights/key-topics/universal-credit/universal-credit-basics</w:t>
            </w:r>
          </w:p>
        </w:tc>
        <w:tc>
          <w:tcPr>
            <w:tcW w:type="dxa" w:w="3380"/>
            <w:tcMar>
              <w:top w:w="80" w:type="dxa"/>
              <w:bottom w:w="80" w:type="dxa"/>
              <w:start w:w="120" w:type="dxa"/>
              <w:end w:w="120" w:type="dxa"/>
            </w:tcMar>
            <w:vAlign w:val="center"/>
          </w:tcPr>
          <w:p>
            <w:pPr>
              <w:spacing w:after="0"/>
            </w:pPr>
            <w:r>
              <w:rPr>
                <w:rFonts w:ascii="Calibri" w:hAnsi="Calibri"/>
                <w:b w:val="0"/>
                <w:color w:val="14202F"/>
                <w:sz w:val="20"/>
              </w:rPr>
              <w:t>https://www.gov.uk/universal-credit/eligibility</w:t>
            </w:r>
          </w:p>
        </w:tc>
      </w:tr>
      <w:tr>
        <w:tc>
          <w:tcPr>
            <w:tcW w:type="dxa" w:w="1800"/>
            <w:tcMar>
              <w:top w:w="80" w:type="dxa"/>
              <w:bottom w:w="80" w:type="dxa"/>
              <w:start w:w="120" w:type="dxa"/>
              <w:end w:w="120" w:type="dxa"/>
            </w:tcMar>
            <w:vAlign w:val="center"/>
            <w:shd w:fill="F8FAFC"/>
          </w:tcPr>
          <w:p>
            <w:pPr>
              <w:spacing w:after="0"/>
            </w:pPr>
            <w:r>
              <w:rPr>
                <w:rFonts w:ascii="Calibri" w:hAnsi="Calibri"/>
                <w:b w:val="0"/>
                <w:color w:val="14202F"/>
                <w:sz w:val="20"/>
              </w:rPr>
              <w:t>Personal Independence Payment</w:t>
            </w:r>
          </w:p>
        </w:tc>
        <w:tc>
          <w:tcPr>
            <w:tcW w:type="dxa" w:w="4180"/>
            <w:tcMar>
              <w:top w:w="80" w:type="dxa"/>
              <w:bottom w:w="80" w:type="dxa"/>
              <w:start w:w="120" w:type="dxa"/>
              <w:end w:w="120" w:type="dxa"/>
            </w:tcMar>
            <w:vAlign w:val="center"/>
            <w:shd w:fill="F8FAFC"/>
          </w:tcPr>
          <w:p>
            <w:pPr>
              <w:spacing w:after="0"/>
            </w:pPr>
            <w:r>
              <w:rPr>
                <w:rFonts w:ascii="Calibri" w:hAnsi="Calibri"/>
                <w:b w:val="0"/>
                <w:color w:val="14202F"/>
                <w:sz w:val="20"/>
              </w:rPr>
              <w:t>https://cpag.org.uk/welfare-rights/key-topics/personal-independence-payment</w:t>
            </w:r>
          </w:p>
        </w:tc>
        <w:tc>
          <w:tcPr>
            <w:tcW w:type="dxa" w:w="3380"/>
            <w:tcMar>
              <w:top w:w="80" w:type="dxa"/>
              <w:bottom w:w="80" w:type="dxa"/>
              <w:start w:w="120" w:type="dxa"/>
              <w:end w:w="120" w:type="dxa"/>
            </w:tcMar>
            <w:vAlign w:val="center"/>
            <w:shd w:fill="F8FAFC"/>
          </w:tcPr>
          <w:p>
            <w:pPr>
              <w:spacing w:after="0"/>
            </w:pPr>
            <w:r>
              <w:rPr>
                <w:rFonts w:ascii="Calibri" w:hAnsi="Calibri"/>
                <w:b w:val="0"/>
                <w:color w:val="14202F"/>
                <w:sz w:val="20"/>
              </w:rPr>
              <w:t>https://www.gov.uk/pip/eligibility</w:t>
            </w:r>
          </w:p>
        </w:tc>
      </w:tr>
      <w:tr>
        <w:tc>
          <w:tcPr>
            <w:tcW w:type="dxa" w:w="1800"/>
            <w:tcMar>
              <w:top w:w="80" w:type="dxa"/>
              <w:bottom w:w="80" w:type="dxa"/>
              <w:start w:w="120" w:type="dxa"/>
              <w:end w:w="120" w:type="dxa"/>
            </w:tcMar>
            <w:vAlign w:val="center"/>
          </w:tcPr>
          <w:p>
            <w:pPr>
              <w:spacing w:after="0"/>
            </w:pPr>
            <w:r>
              <w:rPr>
                <w:rFonts w:ascii="Calibri" w:hAnsi="Calibri"/>
                <w:b w:val="0"/>
                <w:color w:val="14202F"/>
                <w:sz w:val="20"/>
              </w:rPr>
              <w:t>Attendance Allowance</w:t>
            </w:r>
          </w:p>
        </w:tc>
        <w:tc>
          <w:tcPr>
            <w:tcW w:type="dxa" w:w="4180"/>
            <w:tcMar>
              <w:top w:w="80" w:type="dxa"/>
              <w:bottom w:w="80" w:type="dxa"/>
              <w:start w:w="120" w:type="dxa"/>
              <w:end w:w="120" w:type="dxa"/>
            </w:tcMar>
            <w:vAlign w:val="center"/>
          </w:tcPr>
          <w:p>
            <w:pPr>
              <w:spacing w:after="0"/>
            </w:pPr>
            <w:r>
              <w:rPr>
                <w:rFonts w:ascii="Calibri" w:hAnsi="Calibri"/>
                <w:b w:val="0"/>
                <w:color w:val="14202F"/>
                <w:sz w:val="20"/>
              </w:rPr>
              <w:t>https://cpag.org.uk/welfare-rights</w:t>
            </w:r>
          </w:p>
        </w:tc>
        <w:tc>
          <w:tcPr>
            <w:tcW w:type="dxa" w:w="3380"/>
            <w:tcMar>
              <w:top w:w="80" w:type="dxa"/>
              <w:bottom w:w="80" w:type="dxa"/>
              <w:start w:w="120" w:type="dxa"/>
              <w:end w:w="120" w:type="dxa"/>
            </w:tcMar>
            <w:vAlign w:val="center"/>
          </w:tcPr>
          <w:p>
            <w:pPr>
              <w:spacing w:after="0"/>
            </w:pPr>
            <w:r>
              <w:rPr>
                <w:rFonts w:ascii="Calibri" w:hAnsi="Calibri"/>
                <w:b w:val="0"/>
                <w:color w:val="14202F"/>
                <w:sz w:val="20"/>
              </w:rPr>
              <w:t>https://www.gov.uk/attendance-allowance/eligibility</w:t>
            </w:r>
          </w:p>
        </w:tc>
      </w:tr>
    </w:tbl>
    <w:p/>
    <w:p>
      <w:pPr>
        <w:pStyle w:val="ListBullet"/>
        <w:spacing w:after="80"/>
        <w:ind w:left="720" w:hanging="360"/>
      </w:pPr>
      <w:r>
        <w:t>Each result includes rulesVersion so the exact YAML version can be traced.</w:t>
      </w:r>
    </w:p>
    <w:p>
      <w:pPr>
        <w:pStyle w:val="ListBullet"/>
        <w:spacing w:after="80"/>
        <w:ind w:left="720" w:hanging="360"/>
      </w:pPr>
      <w:r>
        <w:t>Each criterion includes an explanation and a source URL.</w:t>
      </w:r>
    </w:p>
    <w:p>
      <w:pPr>
        <w:pStyle w:val="ListBullet"/>
        <w:spacing w:after="80"/>
        <w:ind w:left="720" w:hanging="360"/>
      </w:pPr>
      <w:r>
        <w:t>Complementary GOV.UK sources are shown separately from the CPAG rule trace.</w:t>
      </w:r>
    </w:p>
    <w:p>
      <w:pPr>
        <w:pStyle w:val="ListBullet"/>
        <w:spacing w:after="80"/>
        <w:ind w:left="720" w:hanging="360"/>
      </w:pPr>
      <w:r>
        <w:t>Avoiding live scraping reduces instability during assessment and demonstration.</w:t>
      </w:r>
    </w:p>
    <w:p>
      <w:pPr>
        <w:pStyle w:val="Heading1"/>
      </w:pPr>
      <w:r>
        <w:t>5. Quality Evidence</w:t>
      </w:r>
    </w:p>
    <w:p>
      <w:pPr>
        <w:spacing w:after="120"/>
      </w:pPr>
      <w:r>
        <w:t>The project includes automated checks that can be cited as engineering, reliability and accessibility evidence. The latest verification after result-card polishing passed the following gates.</w:t>
      </w:r>
    </w:p>
    <w:tbl>
      <w:tblPr>
        <w:tblW w:type="dxa" w:w="9360"/>
        <w:tblLayout w:type="fixed"/>
        <w:tblLook w:firstColumn="1" w:firstRow="1" w:lastColumn="0" w:lastRow="0" w:noHBand="0" w:noVBand="1" w:val="04A0"/>
      </w:tblPr>
      <w:tblGrid>
        <w:gridCol w:w="2300"/>
        <w:gridCol w:w="2700"/>
        <w:gridCol w:w="4360"/>
      </w:tblGrid>
      <w:tr>
        <w:tc>
          <w:tcPr>
            <w:tcW w:type="dxa" w:w="2300"/>
            <w:tcMar>
              <w:top w:w="80" w:type="dxa"/>
              <w:bottom w:w="80" w:type="dxa"/>
              <w:start w:w="120" w:type="dxa"/>
              <w:end w:w="120" w:type="dxa"/>
            </w:tcMar>
            <w:vAlign w:val="center"/>
            <w:shd w:fill="2E74B5"/>
          </w:tcPr>
          <w:p>
            <w:pPr>
              <w:spacing w:after="0"/>
            </w:pPr>
            <w:r>
              <w:rPr>
                <w:rFonts w:ascii="Calibri" w:hAnsi="Calibri"/>
                <w:b/>
                <w:color w:val="FFFFFF"/>
                <w:sz w:val="21"/>
              </w:rPr>
              <w:t>Check</w:t>
            </w:r>
          </w:p>
        </w:tc>
        <w:tc>
          <w:tcPr>
            <w:tcW w:type="dxa" w:w="2700"/>
            <w:tcMar>
              <w:top w:w="80" w:type="dxa"/>
              <w:bottom w:w="80" w:type="dxa"/>
              <w:start w:w="120" w:type="dxa"/>
              <w:end w:w="120" w:type="dxa"/>
            </w:tcMar>
            <w:vAlign w:val="center"/>
            <w:shd w:fill="2E74B5"/>
          </w:tcPr>
          <w:p>
            <w:pPr>
              <w:spacing w:after="0"/>
            </w:pPr>
            <w:r>
              <w:rPr>
                <w:rFonts w:ascii="Calibri" w:hAnsi="Calibri"/>
                <w:b/>
                <w:color w:val="FFFFFF"/>
                <w:sz w:val="21"/>
              </w:rPr>
              <w:t>Recent result</w:t>
            </w:r>
          </w:p>
        </w:tc>
        <w:tc>
          <w:tcPr>
            <w:tcW w:type="dxa" w:w="4360"/>
            <w:tcMar>
              <w:top w:w="80" w:type="dxa"/>
              <w:bottom w:w="80" w:type="dxa"/>
              <w:start w:w="120" w:type="dxa"/>
              <w:end w:w="120" w:type="dxa"/>
            </w:tcMar>
            <w:vAlign w:val="center"/>
            <w:shd w:fill="2E74B5"/>
          </w:tcPr>
          <w:p>
            <w:pPr>
              <w:spacing w:after="0"/>
            </w:pPr>
            <w:r>
              <w:rPr>
                <w:rFonts w:ascii="Calibri" w:hAnsi="Calibri"/>
                <w:b/>
                <w:color w:val="FFFFFF"/>
                <w:sz w:val="21"/>
              </w:rPr>
              <w:t>What it supports</w:t>
            </w:r>
          </w:p>
        </w:tc>
      </w:tr>
      <w:tr>
        <w:tc>
          <w:tcPr>
            <w:tcW w:type="dxa" w:w="2300"/>
            <w:tcMar>
              <w:top w:w="80" w:type="dxa"/>
              <w:bottom w:w="80" w:type="dxa"/>
              <w:start w:w="120" w:type="dxa"/>
              <w:end w:w="120" w:type="dxa"/>
            </w:tcMar>
            <w:vAlign w:val="center"/>
          </w:tcPr>
          <w:p>
            <w:pPr>
              <w:spacing w:after="0"/>
            </w:pPr>
            <w:r>
              <w:rPr>
                <w:rFonts w:ascii="Calibri" w:hAnsi="Calibri"/>
                <w:b w:val="0"/>
                <w:color w:val="14202F"/>
                <w:sz w:val="20"/>
              </w:rPr>
              <w:t>npm test</w:t>
            </w:r>
          </w:p>
        </w:tc>
        <w:tc>
          <w:tcPr>
            <w:tcW w:type="dxa" w:w="2700"/>
            <w:tcMar>
              <w:top w:w="80" w:type="dxa"/>
              <w:bottom w:w="80" w:type="dxa"/>
              <w:start w:w="120" w:type="dxa"/>
              <w:end w:w="120" w:type="dxa"/>
            </w:tcMar>
            <w:vAlign w:val="center"/>
          </w:tcPr>
          <w:p>
            <w:pPr>
              <w:spacing w:after="0"/>
            </w:pPr>
            <w:r>
              <w:rPr>
                <w:rFonts w:ascii="Calibri" w:hAnsi="Calibri"/>
                <w:b w:val="0"/>
                <w:color w:val="14202F"/>
                <w:sz w:val="20"/>
              </w:rPr>
              <w:t>14 files / 119 tests passing</w:t>
            </w:r>
          </w:p>
        </w:tc>
        <w:tc>
          <w:tcPr>
            <w:tcW w:type="dxa" w:w="4360"/>
            <w:tcMar>
              <w:top w:w="80" w:type="dxa"/>
              <w:bottom w:w="80" w:type="dxa"/>
              <w:start w:w="120" w:type="dxa"/>
              <w:end w:w="120" w:type="dxa"/>
            </w:tcMar>
            <w:vAlign w:val="center"/>
          </w:tcPr>
          <w:p>
            <w:pPr>
              <w:spacing w:after="0"/>
            </w:pPr>
            <w:r>
              <w:rPr>
                <w:rFonts w:ascii="Calibri" w:hAnsi="Calibri"/>
                <w:b w:val="0"/>
                <w:color w:val="14202F"/>
                <w:sz w:val="20"/>
              </w:rPr>
              <w:t>Rules, routes, UI, explanations, helpers and readability.</w:t>
            </w:r>
          </w:p>
        </w:tc>
      </w:tr>
      <w:tr>
        <w:tc>
          <w:tcPr>
            <w:tcW w:type="dxa" w:w="2300"/>
            <w:tcMar>
              <w:top w:w="80" w:type="dxa"/>
              <w:bottom w:w="80" w:type="dxa"/>
              <w:start w:w="120" w:type="dxa"/>
              <w:end w:w="120" w:type="dxa"/>
            </w:tcMar>
            <w:vAlign w:val="center"/>
            <w:shd w:fill="F8FAFC"/>
          </w:tcPr>
          <w:p>
            <w:pPr>
              <w:spacing w:after="0"/>
            </w:pPr>
            <w:r>
              <w:rPr>
                <w:rFonts w:ascii="Calibri" w:hAnsi="Calibri"/>
                <w:b w:val="0"/>
                <w:color w:val="14202F"/>
                <w:sz w:val="20"/>
              </w:rPr>
              <w:t>npx tsc --noEmit</w:t>
            </w:r>
          </w:p>
        </w:tc>
        <w:tc>
          <w:tcPr>
            <w:tcW w:type="dxa" w:w="2700"/>
            <w:tcMar>
              <w:top w:w="80" w:type="dxa"/>
              <w:bottom w:w="80" w:type="dxa"/>
              <w:start w:w="120" w:type="dxa"/>
              <w:end w:w="120" w:type="dxa"/>
            </w:tcMar>
            <w:vAlign w:val="center"/>
            <w:shd w:fill="F8FAFC"/>
          </w:tcPr>
          <w:p>
            <w:pPr>
              <w:spacing w:after="0"/>
            </w:pPr>
            <w:r>
              <w:rPr>
                <w:rFonts w:ascii="Calibri" w:hAnsi="Calibri"/>
                <w:b w:val="0"/>
                <w:color w:val="14202F"/>
                <w:sz w:val="20"/>
              </w:rPr>
              <w:t>Passed</w:t>
            </w:r>
          </w:p>
        </w:tc>
        <w:tc>
          <w:tcPr>
            <w:tcW w:type="dxa" w:w="4360"/>
            <w:tcMar>
              <w:top w:w="80" w:type="dxa"/>
              <w:bottom w:w="80" w:type="dxa"/>
              <w:start w:w="120" w:type="dxa"/>
              <w:end w:w="120" w:type="dxa"/>
            </w:tcMar>
            <w:vAlign w:val="center"/>
            <w:shd w:fill="F8FAFC"/>
          </w:tcPr>
          <w:p>
            <w:pPr>
              <w:spacing w:after="0"/>
            </w:pPr>
            <w:r>
              <w:rPr>
                <w:rFonts w:ascii="Calibri" w:hAnsi="Calibri"/>
                <w:b w:val="0"/>
                <w:color w:val="14202F"/>
                <w:sz w:val="20"/>
              </w:rPr>
              <w:t>TypeScript type consistency.</w:t>
            </w:r>
          </w:p>
        </w:tc>
      </w:tr>
      <w:tr>
        <w:tc>
          <w:tcPr>
            <w:tcW w:type="dxa" w:w="2300"/>
            <w:tcMar>
              <w:top w:w="80" w:type="dxa"/>
              <w:bottom w:w="80" w:type="dxa"/>
              <w:start w:w="120" w:type="dxa"/>
              <w:end w:w="120" w:type="dxa"/>
            </w:tcMar>
            <w:vAlign w:val="center"/>
          </w:tcPr>
          <w:p>
            <w:pPr>
              <w:spacing w:after="0"/>
            </w:pPr>
            <w:r>
              <w:rPr>
                <w:rFonts w:ascii="Calibri" w:hAnsi="Calibri"/>
                <w:b w:val="0"/>
                <w:color w:val="14202F"/>
                <w:sz w:val="20"/>
              </w:rPr>
              <w:t>npm run lint</w:t>
            </w:r>
          </w:p>
        </w:tc>
        <w:tc>
          <w:tcPr>
            <w:tcW w:type="dxa" w:w="2700"/>
            <w:tcMar>
              <w:top w:w="80" w:type="dxa"/>
              <w:bottom w:w="80" w:type="dxa"/>
              <w:start w:w="120" w:type="dxa"/>
              <w:end w:w="120" w:type="dxa"/>
            </w:tcMar>
            <w:vAlign w:val="center"/>
          </w:tcPr>
          <w:p>
            <w:pPr>
              <w:spacing w:after="0"/>
            </w:pPr>
            <w:r>
              <w:rPr>
                <w:rFonts w:ascii="Calibri" w:hAnsi="Calibri"/>
                <w:b w:val="0"/>
                <w:color w:val="14202F"/>
                <w:sz w:val="20"/>
              </w:rPr>
              <w:t>Passed</w:t>
            </w:r>
          </w:p>
        </w:tc>
        <w:tc>
          <w:tcPr>
            <w:tcW w:type="dxa" w:w="4360"/>
            <w:tcMar>
              <w:top w:w="80" w:type="dxa"/>
              <w:bottom w:w="80" w:type="dxa"/>
              <w:start w:w="120" w:type="dxa"/>
              <w:end w:w="120" w:type="dxa"/>
            </w:tcMar>
            <w:vAlign w:val="center"/>
          </w:tcPr>
          <w:p>
            <w:pPr>
              <w:spacing w:after="0"/>
            </w:pPr>
            <w:r>
              <w:rPr>
                <w:rFonts w:ascii="Calibri" w:hAnsi="Calibri"/>
                <w:b w:val="0"/>
                <w:color w:val="14202F"/>
                <w:sz w:val="20"/>
              </w:rPr>
              <w:t>Static code-quality baseline.</w:t>
            </w:r>
          </w:p>
        </w:tc>
      </w:tr>
      <w:tr>
        <w:tc>
          <w:tcPr>
            <w:tcW w:type="dxa" w:w="2300"/>
            <w:tcMar>
              <w:top w:w="80" w:type="dxa"/>
              <w:bottom w:w="80" w:type="dxa"/>
              <w:start w:w="120" w:type="dxa"/>
              <w:end w:w="120" w:type="dxa"/>
            </w:tcMar>
            <w:vAlign w:val="center"/>
            <w:shd w:fill="F8FAFC"/>
          </w:tcPr>
          <w:p>
            <w:pPr>
              <w:spacing w:after="0"/>
            </w:pPr>
            <w:r>
              <w:rPr>
                <w:rFonts w:ascii="Calibri" w:hAnsi="Calibri"/>
                <w:b w:val="0"/>
                <w:color w:val="14202F"/>
                <w:sz w:val="20"/>
              </w:rPr>
              <w:t>npm run test:coverage</w:t>
            </w:r>
          </w:p>
        </w:tc>
        <w:tc>
          <w:tcPr>
            <w:tcW w:type="dxa" w:w="2700"/>
            <w:tcMar>
              <w:top w:w="80" w:type="dxa"/>
              <w:bottom w:w="80" w:type="dxa"/>
              <w:start w:w="120" w:type="dxa"/>
              <w:end w:w="120" w:type="dxa"/>
            </w:tcMar>
            <w:vAlign w:val="center"/>
            <w:shd w:fill="F8FAFC"/>
          </w:tcPr>
          <w:p>
            <w:pPr>
              <w:spacing w:after="0"/>
            </w:pPr>
            <w:r>
              <w:rPr>
                <w:rFonts w:ascii="Calibri" w:hAnsi="Calibri"/>
                <w:b w:val="0"/>
                <w:color w:val="14202F"/>
                <w:sz w:val="20"/>
              </w:rPr>
              <w:t>97.43% statements; 94.2% branches</w:t>
            </w:r>
          </w:p>
        </w:tc>
        <w:tc>
          <w:tcPr>
            <w:tcW w:type="dxa" w:w="4360"/>
            <w:tcMar>
              <w:top w:w="80" w:type="dxa"/>
              <w:bottom w:w="80" w:type="dxa"/>
              <w:start w:w="120" w:type="dxa"/>
              <w:end w:w="120" w:type="dxa"/>
            </w:tcMar>
            <w:vAlign w:val="center"/>
            <w:shd w:fill="F8FAFC"/>
          </w:tcPr>
          <w:p>
            <w:pPr>
              <w:spacing w:after="0"/>
            </w:pPr>
            <w:r>
              <w:rPr>
                <w:rFonts w:ascii="Calibri" w:hAnsi="Calibri"/>
                <w:b w:val="0"/>
                <w:color w:val="14202F"/>
                <w:sz w:val="20"/>
              </w:rPr>
              <w:t>Coverage above the defined gate.</w:t>
            </w:r>
          </w:p>
        </w:tc>
      </w:tr>
      <w:tr>
        <w:tc>
          <w:tcPr>
            <w:tcW w:type="dxa" w:w="2300"/>
            <w:tcMar>
              <w:top w:w="80" w:type="dxa"/>
              <w:bottom w:w="80" w:type="dxa"/>
              <w:start w:w="120" w:type="dxa"/>
              <w:end w:w="120" w:type="dxa"/>
            </w:tcMar>
            <w:vAlign w:val="center"/>
          </w:tcPr>
          <w:p>
            <w:pPr>
              <w:spacing w:after="0"/>
            </w:pPr>
            <w:r>
              <w:rPr>
                <w:rFonts w:ascii="Calibri" w:hAnsi="Calibri"/>
                <w:b w:val="0"/>
                <w:color w:val="14202F"/>
                <w:sz w:val="20"/>
              </w:rPr>
              <w:t>npm run build</w:t>
            </w:r>
          </w:p>
        </w:tc>
        <w:tc>
          <w:tcPr>
            <w:tcW w:type="dxa" w:w="2700"/>
            <w:tcMar>
              <w:top w:w="80" w:type="dxa"/>
              <w:bottom w:w="80" w:type="dxa"/>
              <w:start w:w="120" w:type="dxa"/>
              <w:end w:w="120" w:type="dxa"/>
            </w:tcMar>
            <w:vAlign w:val="center"/>
          </w:tcPr>
          <w:p>
            <w:pPr>
              <w:spacing w:after="0"/>
            </w:pPr>
            <w:r>
              <w:rPr>
                <w:rFonts w:ascii="Calibri" w:hAnsi="Calibri"/>
                <w:b w:val="0"/>
                <w:color w:val="14202F"/>
                <w:sz w:val="20"/>
              </w:rPr>
              <w:t>Passed</w:t>
            </w:r>
          </w:p>
        </w:tc>
        <w:tc>
          <w:tcPr>
            <w:tcW w:type="dxa" w:w="4360"/>
            <w:tcMar>
              <w:top w:w="80" w:type="dxa"/>
              <w:bottom w:w="80" w:type="dxa"/>
              <w:start w:w="120" w:type="dxa"/>
              <w:end w:w="120" w:type="dxa"/>
            </w:tcMar>
            <w:vAlign w:val="center"/>
          </w:tcPr>
          <w:p>
            <w:pPr>
              <w:spacing w:after="0"/>
            </w:pPr>
            <w:r>
              <w:rPr>
                <w:rFonts w:ascii="Calibri" w:hAnsi="Calibri"/>
                <w:b w:val="0"/>
                <w:color w:val="14202F"/>
                <w:sz w:val="20"/>
              </w:rPr>
              <w:t>Next.js production build.</w:t>
            </w:r>
          </w:p>
        </w:tc>
      </w:tr>
      <w:tr>
        <w:tc>
          <w:tcPr>
            <w:tcW w:type="dxa" w:w="2300"/>
            <w:tcMar>
              <w:top w:w="80" w:type="dxa"/>
              <w:bottom w:w="80" w:type="dxa"/>
              <w:start w:w="120" w:type="dxa"/>
              <w:end w:w="120" w:type="dxa"/>
            </w:tcMar>
            <w:vAlign w:val="center"/>
            <w:shd w:fill="F8FAFC"/>
          </w:tcPr>
          <w:p>
            <w:pPr>
              <w:spacing w:after="0"/>
            </w:pPr>
            <w:r>
              <w:rPr>
                <w:rFonts w:ascii="Calibri" w:hAnsi="Calibri"/>
                <w:b w:val="0"/>
                <w:color w:val="14202F"/>
                <w:sz w:val="20"/>
              </w:rPr>
              <w:t>npm run test:a11y</w:t>
            </w:r>
          </w:p>
        </w:tc>
        <w:tc>
          <w:tcPr>
            <w:tcW w:type="dxa" w:w="2700"/>
            <w:tcMar>
              <w:top w:w="80" w:type="dxa"/>
              <w:bottom w:w="80" w:type="dxa"/>
              <w:start w:w="120" w:type="dxa"/>
              <w:end w:w="120" w:type="dxa"/>
            </w:tcMar>
            <w:vAlign w:val="center"/>
            <w:shd w:fill="F8FAFC"/>
          </w:tcPr>
          <w:p>
            <w:pPr>
              <w:spacing w:after="0"/>
            </w:pPr>
            <w:r>
              <w:rPr>
                <w:rFonts w:ascii="Calibri" w:hAnsi="Calibri"/>
                <w:b w:val="0"/>
                <w:color w:val="14202F"/>
                <w:sz w:val="20"/>
              </w:rPr>
              <w:t>3 Playwright tests passing</w:t>
            </w:r>
          </w:p>
        </w:tc>
        <w:tc>
          <w:tcPr>
            <w:tcW w:type="dxa" w:w="4360"/>
            <w:tcMar>
              <w:top w:w="80" w:type="dxa"/>
              <w:bottom w:w="80" w:type="dxa"/>
              <w:start w:w="120" w:type="dxa"/>
              <w:end w:w="120" w:type="dxa"/>
            </w:tcMar>
            <w:vAlign w:val="center"/>
            <w:shd w:fill="F8FAFC"/>
          </w:tcPr>
          <w:p>
            <w:pPr>
              <w:spacing w:after="0"/>
            </w:pPr>
            <w:r>
              <w:rPr>
                <w:rFonts w:ascii="Calibri" w:hAnsi="Calibri"/>
                <w:b w:val="0"/>
                <w:color w:val="14202F"/>
                <w:sz w:val="20"/>
              </w:rPr>
              <w:t>Automated axe/WCAG checks and keyboard-only flow.</w:t>
            </w:r>
          </w:p>
        </w:tc>
      </w:tr>
      <w:tr>
        <w:tc>
          <w:tcPr>
            <w:tcW w:type="dxa" w:w="2300"/>
            <w:tcMar>
              <w:top w:w="80" w:type="dxa"/>
              <w:bottom w:w="80" w:type="dxa"/>
              <w:start w:w="120" w:type="dxa"/>
              <w:end w:w="120" w:type="dxa"/>
            </w:tcMar>
            <w:vAlign w:val="center"/>
          </w:tcPr>
          <w:p>
            <w:pPr>
              <w:spacing w:after="0"/>
            </w:pPr>
            <w:r>
              <w:rPr>
                <w:rFonts w:ascii="Calibri" w:hAnsi="Calibri"/>
                <w:b w:val="0"/>
                <w:color w:val="14202F"/>
                <w:sz w:val="20"/>
              </w:rPr>
              <w:t>Production smoke test</w:t>
            </w:r>
          </w:p>
        </w:tc>
        <w:tc>
          <w:tcPr>
            <w:tcW w:type="dxa" w:w="2700"/>
            <w:tcMar>
              <w:top w:w="80" w:type="dxa"/>
              <w:bottom w:w="80" w:type="dxa"/>
              <w:start w:w="120" w:type="dxa"/>
              <w:end w:w="120" w:type="dxa"/>
            </w:tcMar>
            <w:vAlign w:val="center"/>
          </w:tcPr>
          <w:p>
            <w:pPr>
              <w:spacing w:after="0"/>
            </w:pPr>
            <w:r>
              <w:rPr>
                <w:rFonts w:ascii="Calibri" w:hAnsi="Calibri"/>
                <w:b w:val="0"/>
                <w:color w:val="14202F"/>
                <w:sz w:val="20"/>
              </w:rPr>
              <w:t>HTTP 200 and API returns CPAG + GOV.UK</w:t>
            </w:r>
          </w:p>
        </w:tc>
        <w:tc>
          <w:tcPr>
            <w:tcW w:type="dxa" w:w="4360"/>
            <w:tcMar>
              <w:top w:w="80" w:type="dxa"/>
              <w:bottom w:w="80" w:type="dxa"/>
              <w:start w:w="120" w:type="dxa"/>
              <w:end w:w="120" w:type="dxa"/>
            </w:tcMar>
            <w:vAlign w:val="center"/>
          </w:tcPr>
          <w:p>
            <w:pPr>
              <w:spacing w:after="0"/>
            </w:pPr>
            <w:r>
              <w:rPr>
                <w:rFonts w:ascii="Calibri" w:hAnsi="Calibri"/>
                <w:b w:val="0"/>
                <w:color w:val="14202F"/>
                <w:sz w:val="20"/>
              </w:rPr>
              <w:t>Public deployment works after changes.</w:t>
            </w:r>
          </w:p>
        </w:tc>
      </w:tr>
    </w:tbl>
    <w:p/>
    <w:p>
      <w:pPr>
        <w:pStyle w:val="Heading1"/>
      </w:pPr>
      <w:r>
        <w:t>6. Ethics, Privacy and User Evaluation</w:t>
      </w:r>
    </w:p>
    <w:p>
      <w:pPr>
        <w:spacing w:after="120"/>
      </w:pPr>
      <w:r>
        <w:t>The project is structured to reduce risk before any participant testing. There is no login, user database or persistent storage of personal data. User testing should use fictional scenarios until formal ethics approval is granted.</w:t>
      </w:r>
    </w:p>
    <w:p>
      <w:pPr>
        <w:pStyle w:val="ListBullet"/>
        <w:spacing w:after="80"/>
        <w:ind w:left="720" w:hanging="360"/>
      </w:pPr>
      <w:r>
        <w:t>Participants should not enter real health, income, immigration or benefits information.</w:t>
      </w:r>
    </w:p>
    <w:p>
      <w:pPr>
        <w:pStyle w:val="ListBullet"/>
        <w:spacing w:after="80"/>
        <w:ind w:left="720" w:hanging="360"/>
      </w:pPr>
      <w:r>
        <w:t>The study JSON export is anonymous and intended for usability evaluation, not profiling.</w:t>
      </w:r>
    </w:p>
    <w:p>
      <w:pPr>
        <w:pStyle w:val="ListBullet"/>
        <w:spacing w:after="80"/>
        <w:ind w:left="720" w:hanging="360"/>
      </w:pPr>
      <w:r>
        <w:t>The site states that it does not provide official advice.</w:t>
      </w:r>
    </w:p>
    <w:p>
      <w:pPr>
        <w:pStyle w:val="ListBullet"/>
        <w:spacing w:after="80"/>
        <w:ind w:left="720" w:hanging="360"/>
      </w:pPr>
      <w:r>
        <w:t>The docs/ethics folder contains the consent form, participant information sheet, screening form, task list, script and post-test questionnaire.</w:t>
      </w:r>
    </w:p>
    <w:tbl>
      <w:tblPr>
        <w:tblW w:type="dxa" w:w="9360"/>
        <w:tblLayout w:type="fixed"/>
        <w:tblLook w:firstColumn="1" w:firstRow="1" w:lastColumn="0" w:lastRow="0" w:noHBand="0" w:noVBand="1" w:val="04A0"/>
      </w:tblPr>
      <w:tblGrid>
        <w:gridCol w:w="9360"/>
      </w:tblGrid>
      <w:tr>
        <w:tc>
          <w:tcPr>
            <w:tcW w:type="dxa" w:w="9360"/>
            <w:shd w:fill="FCECEC"/>
            <w:tcMar>
              <w:top w:w="140" w:type="dxa"/>
              <w:bottom w:w="140" w:type="dxa"/>
              <w:start w:w="180" w:type="dxa"/>
              <w:end w:w="180" w:type="dxa"/>
            </w:tcMar>
          </w:tcPr>
          <w:p>
            <w:pPr>
              <w:spacing w:after="0"/>
            </w:pPr>
            <w:r>
              <w:rPr>
                <w:b/>
                <w:color w:val="1F4D78"/>
              </w:rPr>
              <w:t xml:space="preserve">Weekly meeting point: </w:t>
            </w:r>
            <w:r>
              <w:t>Before real usability testing, the next key milestone is to review and submit the ethics pack through the university portal.</w:t>
            </w:r>
          </w:p>
        </w:tc>
      </w:tr>
    </w:tbl>
    <w:p/>
    <w:p>
      <w:pPr>
        <w:pStyle w:val="Heading1"/>
      </w:pPr>
      <w:r>
        <w:t>7. How This Supports the Academic Report</w:t>
      </w:r>
    </w:p>
    <w:tbl>
      <w:tblPr>
        <w:tblW w:type="dxa" w:w="9360"/>
        <w:tblLayout w:type="fixed"/>
        <w:tblLook w:firstColumn="1" w:firstRow="1" w:lastColumn="0" w:lastRow="0" w:noHBand="0" w:noVBand="1" w:val="04A0"/>
      </w:tblPr>
      <w:tblGrid>
        <w:gridCol w:w="1800"/>
        <w:gridCol w:w="4470"/>
        <w:gridCol w:w="3090"/>
      </w:tblGrid>
      <w:tr>
        <w:tc>
          <w:tcPr>
            <w:tcW w:type="dxa" w:w="1800"/>
            <w:tcMar>
              <w:top w:w="80" w:type="dxa"/>
              <w:bottom w:w="80" w:type="dxa"/>
              <w:start w:w="120" w:type="dxa"/>
              <w:end w:w="120" w:type="dxa"/>
            </w:tcMar>
            <w:vAlign w:val="center"/>
            <w:shd w:fill="2E74B5"/>
          </w:tcPr>
          <w:p>
            <w:pPr>
              <w:spacing w:after="0"/>
            </w:pPr>
            <w:r>
              <w:rPr>
                <w:rFonts w:ascii="Calibri" w:hAnsi="Calibri"/>
                <w:b/>
                <w:color w:val="FFFFFF"/>
                <w:sz w:val="21"/>
              </w:rPr>
              <w:t>Report section</w:t>
            </w:r>
          </w:p>
        </w:tc>
        <w:tc>
          <w:tcPr>
            <w:tcW w:type="dxa" w:w="4470"/>
            <w:tcMar>
              <w:top w:w="80" w:type="dxa"/>
              <w:bottom w:w="80" w:type="dxa"/>
              <w:start w:w="120" w:type="dxa"/>
              <w:end w:w="120" w:type="dxa"/>
            </w:tcMar>
            <w:vAlign w:val="center"/>
            <w:shd w:fill="2E74B5"/>
          </w:tcPr>
          <w:p>
            <w:pPr>
              <w:spacing w:after="0"/>
            </w:pPr>
            <w:r>
              <w:rPr>
                <w:rFonts w:ascii="Calibri" w:hAnsi="Calibri"/>
                <w:b/>
                <w:color w:val="FFFFFF"/>
                <w:sz w:val="21"/>
              </w:rPr>
              <w:t>Material to use</w:t>
            </w:r>
          </w:p>
        </w:tc>
        <w:tc>
          <w:tcPr>
            <w:tcW w:type="dxa" w:w="3090"/>
            <w:tcMar>
              <w:top w:w="80" w:type="dxa"/>
              <w:bottom w:w="80" w:type="dxa"/>
              <w:start w:w="120" w:type="dxa"/>
              <w:end w:w="120" w:type="dxa"/>
            </w:tcMar>
            <w:vAlign w:val="center"/>
            <w:shd w:fill="2E74B5"/>
          </w:tcPr>
          <w:p>
            <w:pPr>
              <w:spacing w:after="0"/>
            </w:pPr>
            <w:r>
              <w:rPr>
                <w:rFonts w:ascii="Calibri" w:hAnsi="Calibri"/>
                <w:b/>
                <w:color w:val="FFFFFF"/>
                <w:sz w:val="21"/>
              </w:rPr>
              <w:t>Local evidence</w:t>
            </w:r>
          </w:p>
        </w:tc>
      </w:tr>
      <w:tr>
        <w:tc>
          <w:tcPr>
            <w:tcW w:type="dxa" w:w="1800"/>
            <w:tcMar>
              <w:top w:w="80" w:type="dxa"/>
              <w:bottom w:w="80" w:type="dxa"/>
              <w:start w:w="120" w:type="dxa"/>
              <w:end w:w="120" w:type="dxa"/>
            </w:tcMar>
            <w:vAlign w:val="center"/>
          </w:tcPr>
          <w:p>
            <w:pPr>
              <w:spacing w:after="0"/>
            </w:pPr>
            <w:r>
              <w:rPr>
                <w:rFonts w:ascii="Calibri" w:hAnsi="Calibri"/>
                <w:b w:val="0"/>
                <w:color w:val="14202F"/>
                <w:sz w:val="20"/>
              </w:rPr>
              <w:t>Introduction / Problem</w:t>
            </w:r>
          </w:p>
        </w:tc>
        <w:tc>
          <w:tcPr>
            <w:tcW w:type="dxa" w:w="4470"/>
            <w:tcMar>
              <w:top w:w="80" w:type="dxa"/>
              <w:bottom w:w="80" w:type="dxa"/>
              <w:start w:w="120" w:type="dxa"/>
              <w:end w:w="120" w:type="dxa"/>
            </w:tcMar>
            <w:vAlign w:val="center"/>
          </w:tcPr>
          <w:p>
            <w:pPr>
              <w:spacing w:after="0"/>
            </w:pPr>
            <w:r>
              <w:rPr>
                <w:rFonts w:ascii="Calibri" w:hAnsi="Calibri"/>
                <w:b w:val="0"/>
                <w:color w:val="14202F"/>
                <w:sz w:val="20"/>
              </w:rPr>
              <w:t>Complexity of benefits, risk of AI-led decisions and need for explainability.</w:t>
            </w:r>
          </w:p>
        </w:tc>
        <w:tc>
          <w:tcPr>
            <w:tcW w:type="dxa" w:w="3090"/>
            <w:tcMar>
              <w:top w:w="80" w:type="dxa"/>
              <w:bottom w:w="80" w:type="dxa"/>
              <w:start w:w="120" w:type="dxa"/>
              <w:end w:w="120" w:type="dxa"/>
            </w:tcMar>
            <w:vAlign w:val="center"/>
          </w:tcPr>
          <w:p>
            <w:pPr>
              <w:spacing w:after="0"/>
            </w:pPr>
            <w:r>
              <w:rPr>
                <w:rFonts w:ascii="Calibri" w:hAnsi="Calibri"/>
                <w:b w:val="0"/>
                <w:color w:val="14202F"/>
                <w:sz w:val="20"/>
              </w:rPr>
              <w:t>Executive summary and prototype limitations.</w:t>
            </w:r>
          </w:p>
        </w:tc>
      </w:tr>
      <w:tr>
        <w:tc>
          <w:tcPr>
            <w:tcW w:type="dxa" w:w="1800"/>
            <w:tcMar>
              <w:top w:w="80" w:type="dxa"/>
              <w:bottom w:w="80" w:type="dxa"/>
              <w:start w:w="120" w:type="dxa"/>
              <w:end w:w="120" w:type="dxa"/>
            </w:tcMar>
            <w:vAlign w:val="center"/>
            <w:shd w:fill="F8FAFC"/>
          </w:tcPr>
          <w:p>
            <w:pPr>
              <w:spacing w:after="0"/>
            </w:pPr>
            <w:r>
              <w:rPr>
                <w:rFonts w:ascii="Calibri" w:hAnsi="Calibri"/>
                <w:b w:val="0"/>
                <w:color w:val="14202F"/>
                <w:sz w:val="20"/>
              </w:rPr>
              <w:t>Requirements</w:t>
            </w:r>
          </w:p>
        </w:tc>
        <w:tc>
          <w:tcPr>
            <w:tcW w:type="dxa" w:w="4470"/>
            <w:tcMar>
              <w:top w:w="80" w:type="dxa"/>
              <w:bottom w:w="80" w:type="dxa"/>
              <w:start w:w="120" w:type="dxa"/>
              <w:end w:w="120" w:type="dxa"/>
            </w:tcMar>
            <w:vAlign w:val="center"/>
            <w:shd w:fill="F8FAFC"/>
          </w:tcPr>
          <w:p>
            <w:pPr>
              <w:spacing w:after="0"/>
            </w:pPr>
            <w:r>
              <w:rPr>
                <w:rFonts w:ascii="Calibri" w:hAnsi="Calibri"/>
                <w:b w:val="0"/>
                <w:color w:val="14202F"/>
                <w:sz w:val="20"/>
              </w:rPr>
              <w:t>Three benefits, traceable sources, accessibility, privacy, simple explanations and public deployment.</w:t>
            </w:r>
          </w:p>
        </w:tc>
        <w:tc>
          <w:tcPr>
            <w:tcW w:type="dxa" w:w="3090"/>
            <w:tcMar>
              <w:top w:w="80" w:type="dxa"/>
              <w:bottom w:w="80" w:type="dxa"/>
              <w:start w:w="120" w:type="dxa"/>
              <w:end w:w="120" w:type="dxa"/>
            </w:tcMar>
            <w:vAlign w:val="center"/>
            <w:shd w:fill="F8FAFC"/>
          </w:tcPr>
          <w:p>
            <w:pPr>
              <w:spacing w:after="0"/>
            </w:pPr>
            <w:r>
              <w:rPr>
                <w:rFonts w:ascii="Calibri" w:hAnsi="Calibri"/>
                <w:b w:val="0"/>
                <w:color w:val="14202F"/>
                <w:sz w:val="20"/>
              </w:rPr>
              <w:t>Specs in docs/specs.</w:t>
            </w:r>
          </w:p>
        </w:tc>
      </w:tr>
      <w:tr>
        <w:tc>
          <w:tcPr>
            <w:tcW w:type="dxa" w:w="1800"/>
            <w:tcMar>
              <w:top w:w="80" w:type="dxa"/>
              <w:bottom w:w="80" w:type="dxa"/>
              <w:start w:w="120" w:type="dxa"/>
              <w:end w:w="120" w:type="dxa"/>
            </w:tcMar>
            <w:vAlign w:val="center"/>
          </w:tcPr>
          <w:p>
            <w:pPr>
              <w:spacing w:after="0"/>
            </w:pPr>
            <w:r>
              <w:rPr>
                <w:rFonts w:ascii="Calibri" w:hAnsi="Calibri"/>
                <w:b w:val="0"/>
                <w:color w:val="14202F"/>
                <w:sz w:val="20"/>
              </w:rPr>
              <w:t>Methodology</w:t>
            </w:r>
          </w:p>
        </w:tc>
        <w:tc>
          <w:tcPr>
            <w:tcW w:type="dxa" w:w="4470"/>
            <w:tcMar>
              <w:top w:w="80" w:type="dxa"/>
              <w:bottom w:w="80" w:type="dxa"/>
              <w:start w:w="120" w:type="dxa"/>
              <w:end w:w="120" w:type="dxa"/>
            </w:tcMar>
            <w:vAlign w:val="center"/>
          </w:tcPr>
          <w:p>
            <w:pPr>
              <w:spacing w:after="0"/>
            </w:pPr>
            <w:r>
              <w:rPr>
                <w:rFonts w:ascii="Calibri" w:hAnsi="Calibri"/>
                <w:b w:val="0"/>
                <w:color w:val="14202F"/>
                <w:sz w:val="20"/>
              </w:rPr>
              <w:t>Incremental development, TDD, continuous verification, UI reviews and usability-testing plan.</w:t>
            </w:r>
          </w:p>
        </w:tc>
        <w:tc>
          <w:tcPr>
            <w:tcW w:type="dxa" w:w="3090"/>
            <w:tcMar>
              <w:top w:w="80" w:type="dxa"/>
              <w:bottom w:w="80" w:type="dxa"/>
              <w:start w:w="120" w:type="dxa"/>
              <w:end w:w="120" w:type="dxa"/>
            </w:tcMar>
            <w:vAlign w:val="center"/>
          </w:tcPr>
          <w:p>
            <w:pPr>
              <w:spacing w:after="0"/>
            </w:pPr>
            <w:r>
              <w:rPr>
                <w:rFonts w:ascii="Calibri" w:hAnsi="Calibri"/>
                <w:b w:val="0"/>
                <w:color w:val="14202F"/>
                <w:sz w:val="20"/>
              </w:rPr>
              <w:t>WORKLOG.md and automated tests.</w:t>
            </w:r>
          </w:p>
        </w:tc>
      </w:tr>
      <w:tr>
        <w:tc>
          <w:tcPr>
            <w:tcW w:type="dxa" w:w="1800"/>
            <w:tcMar>
              <w:top w:w="80" w:type="dxa"/>
              <w:bottom w:w="80" w:type="dxa"/>
              <w:start w:w="120" w:type="dxa"/>
              <w:end w:w="120" w:type="dxa"/>
            </w:tcMar>
            <w:vAlign w:val="center"/>
            <w:shd w:fill="F8FAFC"/>
          </w:tcPr>
          <w:p>
            <w:pPr>
              <w:spacing w:after="0"/>
            </w:pPr>
            <w:r>
              <w:rPr>
                <w:rFonts w:ascii="Calibri" w:hAnsi="Calibri"/>
                <w:b w:val="0"/>
                <w:color w:val="14202F"/>
                <w:sz w:val="20"/>
              </w:rPr>
              <w:t>Design and Implementation</w:t>
            </w:r>
          </w:p>
        </w:tc>
        <w:tc>
          <w:tcPr>
            <w:tcW w:type="dxa" w:w="4470"/>
            <w:tcMar>
              <w:top w:w="80" w:type="dxa"/>
              <w:bottom w:w="80" w:type="dxa"/>
              <w:start w:w="120" w:type="dxa"/>
              <w:end w:w="120" w:type="dxa"/>
            </w:tcMar>
            <w:vAlign w:val="center"/>
            <w:shd w:fill="F8FAFC"/>
          </w:tcPr>
          <w:p>
            <w:pPr>
              <w:spacing w:after="0"/>
            </w:pPr>
            <w:r>
              <w:rPr>
                <w:rFonts w:ascii="Calibri" w:hAnsi="Calibri"/>
                <w:b w:val="0"/>
                <w:color w:val="14202F"/>
                <w:sz w:val="20"/>
              </w:rPr>
              <w:t>Next.js architecture, internal API, YAML rules engine, CPAG/GOV.UK strategy, LLM boundary and Blue Decision Lab UI.</w:t>
            </w:r>
          </w:p>
        </w:tc>
        <w:tc>
          <w:tcPr>
            <w:tcW w:type="dxa" w:w="3090"/>
            <w:tcMar>
              <w:top w:w="80" w:type="dxa"/>
              <w:bottom w:w="80" w:type="dxa"/>
              <w:start w:w="120" w:type="dxa"/>
              <w:end w:w="120" w:type="dxa"/>
            </w:tcMar>
            <w:vAlign w:val="center"/>
            <w:shd w:fill="F8FAFC"/>
          </w:tcPr>
          <w:p>
            <w:pPr>
              <w:spacing w:after="0"/>
            </w:pPr>
            <w:r>
              <w:rPr>
                <w:rFonts w:ascii="Calibri" w:hAnsi="Calibri"/>
                <w:b w:val="0"/>
                <w:color w:val="14202F"/>
                <w:sz w:val="20"/>
              </w:rPr>
              <w:t>src/, rules/, docs/plans and screenshots.</w:t>
            </w:r>
          </w:p>
        </w:tc>
      </w:tr>
      <w:tr>
        <w:tc>
          <w:tcPr>
            <w:tcW w:type="dxa" w:w="1800"/>
            <w:tcMar>
              <w:top w:w="80" w:type="dxa"/>
              <w:bottom w:w="80" w:type="dxa"/>
              <w:start w:w="120" w:type="dxa"/>
              <w:end w:w="120" w:type="dxa"/>
            </w:tcMar>
            <w:vAlign w:val="center"/>
          </w:tcPr>
          <w:p>
            <w:pPr>
              <w:spacing w:after="0"/>
            </w:pPr>
            <w:r>
              <w:rPr>
                <w:rFonts w:ascii="Calibri" w:hAnsi="Calibri"/>
                <w:b w:val="0"/>
                <w:color w:val="14202F"/>
                <w:sz w:val="20"/>
              </w:rPr>
              <w:t>Testing</w:t>
            </w:r>
          </w:p>
        </w:tc>
        <w:tc>
          <w:tcPr>
            <w:tcW w:type="dxa" w:w="4470"/>
            <w:tcMar>
              <w:top w:w="80" w:type="dxa"/>
              <w:bottom w:w="80" w:type="dxa"/>
              <w:start w:w="120" w:type="dxa"/>
              <w:end w:w="120" w:type="dxa"/>
            </w:tcMar>
            <w:vAlign w:val="center"/>
          </w:tcPr>
          <w:p>
            <w:pPr>
              <w:spacing w:after="0"/>
            </w:pPr>
            <w:r>
              <w:rPr>
                <w:rFonts w:ascii="Calibri" w:hAnsi="Calibri"/>
                <w:b w:val="0"/>
                <w:color w:val="14202F"/>
                <w:sz w:val="20"/>
              </w:rPr>
              <w:t>Vitest, coverage, TypeScript, ESLint, Playwright, axe-core, keyboard-only flow and readability audit.</w:t>
            </w:r>
          </w:p>
        </w:tc>
        <w:tc>
          <w:tcPr>
            <w:tcW w:type="dxa" w:w="3090"/>
            <w:tcMar>
              <w:top w:w="80" w:type="dxa"/>
              <w:bottom w:w="80" w:type="dxa"/>
              <w:start w:w="120" w:type="dxa"/>
              <w:end w:w="120" w:type="dxa"/>
            </w:tcMar>
            <w:vAlign w:val="center"/>
          </w:tcPr>
          <w:p>
            <w:pPr>
              <w:spacing w:after="0"/>
            </w:pPr>
            <w:r>
              <w:rPr>
                <w:rFonts w:ascii="Calibri" w:hAnsi="Calibri"/>
                <w:b w:val="0"/>
                <w:color w:val="14202F"/>
                <w:sz w:val="20"/>
              </w:rPr>
              <w:t>tests/ and coverage/.</w:t>
            </w:r>
          </w:p>
        </w:tc>
      </w:tr>
      <w:tr>
        <w:tc>
          <w:tcPr>
            <w:tcW w:type="dxa" w:w="1800"/>
            <w:tcMar>
              <w:top w:w="80" w:type="dxa"/>
              <w:bottom w:w="80" w:type="dxa"/>
              <w:start w:w="120" w:type="dxa"/>
              <w:end w:w="120" w:type="dxa"/>
            </w:tcMar>
            <w:vAlign w:val="center"/>
            <w:shd w:fill="F8FAFC"/>
          </w:tcPr>
          <w:p>
            <w:pPr>
              <w:spacing w:after="0"/>
            </w:pPr>
            <w:r>
              <w:rPr>
                <w:rFonts w:ascii="Calibri" w:hAnsi="Calibri"/>
                <w:b w:val="0"/>
                <w:color w:val="14202F"/>
                <w:sz w:val="20"/>
              </w:rPr>
              <w:t>Evaluation</w:t>
            </w:r>
          </w:p>
        </w:tc>
        <w:tc>
          <w:tcPr>
            <w:tcW w:type="dxa" w:w="4470"/>
            <w:tcMar>
              <w:top w:w="80" w:type="dxa"/>
              <w:bottom w:w="80" w:type="dxa"/>
              <w:start w:w="120" w:type="dxa"/>
              <w:end w:w="120" w:type="dxa"/>
            </w:tcMar>
            <w:vAlign w:val="center"/>
            <w:shd w:fill="F8FAFC"/>
          </w:tcPr>
          <w:p>
            <w:pPr>
              <w:spacing w:after="0"/>
            </w:pPr>
            <w:r>
              <w:rPr>
                <w:rFonts w:ascii="Calibri" w:hAnsi="Calibri"/>
                <w:b w:val="0"/>
                <w:color w:val="14202F"/>
                <w:sz w:val="20"/>
              </w:rPr>
              <w:t>Plan for 5 to 8 participants using fictional scenarios and anonymous JSON export.</w:t>
            </w:r>
          </w:p>
        </w:tc>
        <w:tc>
          <w:tcPr>
            <w:tcW w:type="dxa" w:w="3090"/>
            <w:tcMar>
              <w:top w:w="80" w:type="dxa"/>
              <w:bottom w:w="80" w:type="dxa"/>
              <w:start w:w="120" w:type="dxa"/>
              <w:end w:w="120" w:type="dxa"/>
            </w:tcMar>
            <w:vAlign w:val="center"/>
            <w:shd w:fill="F8FAFC"/>
          </w:tcPr>
          <w:p>
            <w:pPr>
              <w:spacing w:after="0"/>
            </w:pPr>
            <w:r>
              <w:rPr>
                <w:rFonts w:ascii="Calibri" w:hAnsi="Calibri"/>
                <w:b w:val="0"/>
                <w:color w:val="14202F"/>
                <w:sz w:val="20"/>
              </w:rPr>
              <w:t>docs/ethics and Export study JSON.</w:t>
            </w:r>
          </w:p>
        </w:tc>
      </w:tr>
      <w:tr>
        <w:tc>
          <w:tcPr>
            <w:tcW w:type="dxa" w:w="1800"/>
            <w:tcMar>
              <w:top w:w="80" w:type="dxa"/>
              <w:bottom w:w="80" w:type="dxa"/>
              <w:start w:w="120" w:type="dxa"/>
              <w:end w:w="120" w:type="dxa"/>
            </w:tcMar>
            <w:vAlign w:val="center"/>
          </w:tcPr>
          <w:p>
            <w:pPr>
              <w:spacing w:after="0"/>
            </w:pPr>
            <w:r>
              <w:rPr>
                <w:rFonts w:ascii="Calibri" w:hAnsi="Calibri"/>
                <w:b w:val="0"/>
                <w:color w:val="14202F"/>
                <w:sz w:val="20"/>
              </w:rPr>
              <w:t>Conclusion / Further Work</w:t>
            </w:r>
          </w:p>
        </w:tc>
        <w:tc>
          <w:tcPr>
            <w:tcW w:type="dxa" w:w="4470"/>
            <w:tcMar>
              <w:top w:w="80" w:type="dxa"/>
              <w:bottom w:w="80" w:type="dxa"/>
              <w:start w:w="120" w:type="dxa"/>
              <w:end w:w="120" w:type="dxa"/>
            </w:tcMar>
            <w:vAlign w:val="center"/>
          </w:tcPr>
          <w:p>
            <w:pPr>
              <w:spacing w:after="0"/>
            </w:pPr>
            <w:r>
              <w:rPr>
                <w:rFonts w:ascii="Calibri" w:hAnsi="Calibri"/>
                <w:b w:val="0"/>
                <w:color w:val="14202F"/>
                <w:sz w:val="20"/>
              </w:rPr>
              <w:t>More benefits, rule-editing interface, adviser review, source-update workflow and longer-term evaluation.</w:t>
            </w:r>
          </w:p>
        </w:tc>
        <w:tc>
          <w:tcPr>
            <w:tcW w:type="dxa" w:w="3090"/>
            <w:tcMar>
              <w:top w:w="80" w:type="dxa"/>
              <w:bottom w:w="80" w:type="dxa"/>
              <w:start w:w="120" w:type="dxa"/>
              <w:end w:w="120" w:type="dxa"/>
            </w:tcMar>
            <w:vAlign w:val="center"/>
          </w:tcPr>
          <w:p>
            <w:pPr>
              <w:spacing w:after="0"/>
            </w:pPr>
            <w:r>
              <w:rPr>
                <w:rFonts w:ascii="Calibri" w:hAnsi="Calibri"/>
                <w:b w:val="0"/>
                <w:color w:val="14202F"/>
                <w:sz w:val="20"/>
              </w:rPr>
              <w:t>Risks and next steps in this document.</w:t>
            </w:r>
          </w:p>
        </w:tc>
      </w:tr>
    </w:tbl>
    <w:p/>
    <w:p>
      <w:pPr>
        <w:pStyle w:val="Heading1"/>
      </w:pPr>
      <w:r>
        <w:t>8. Risks, Limitations and Next Steps</w:t>
      </w:r>
    </w:p>
    <w:tbl>
      <w:tblPr>
        <w:tblW w:type="dxa" w:w="9360"/>
        <w:tblLayout w:type="fixed"/>
        <w:tblLook w:firstColumn="1" w:firstRow="1" w:lastColumn="0" w:lastRow="0" w:noHBand="0" w:noVBand="1" w:val="04A0"/>
      </w:tblPr>
      <w:tblGrid>
        <w:gridCol w:w="900"/>
        <w:gridCol w:w="4300"/>
        <w:gridCol w:w="4160"/>
      </w:tblGrid>
      <w:tr>
        <w:tc>
          <w:tcPr>
            <w:tcW w:type="dxa" w:w="900"/>
            <w:tcMar>
              <w:top w:w="80" w:type="dxa"/>
              <w:bottom w:w="80" w:type="dxa"/>
              <w:start w:w="120" w:type="dxa"/>
              <w:end w:w="120" w:type="dxa"/>
            </w:tcMar>
            <w:vAlign w:val="center"/>
            <w:shd w:fill="2E74B5"/>
          </w:tcPr>
          <w:p>
            <w:pPr>
              <w:spacing w:after="0"/>
            </w:pPr>
            <w:r>
              <w:rPr>
                <w:rFonts w:ascii="Calibri" w:hAnsi="Calibri"/>
                <w:b/>
                <w:color w:val="FFFFFF"/>
                <w:sz w:val="21"/>
              </w:rPr>
              <w:t>Level</w:t>
            </w:r>
          </w:p>
        </w:tc>
        <w:tc>
          <w:tcPr>
            <w:tcW w:type="dxa" w:w="4300"/>
            <w:tcMar>
              <w:top w:w="80" w:type="dxa"/>
              <w:bottom w:w="80" w:type="dxa"/>
              <w:start w:w="120" w:type="dxa"/>
              <w:end w:w="120" w:type="dxa"/>
            </w:tcMar>
            <w:vAlign w:val="center"/>
            <w:shd w:fill="2E74B5"/>
          </w:tcPr>
          <w:p>
            <w:pPr>
              <w:spacing w:after="0"/>
            </w:pPr>
            <w:r>
              <w:rPr>
                <w:rFonts w:ascii="Calibri" w:hAnsi="Calibri"/>
                <w:b/>
                <w:color w:val="FFFFFF"/>
                <w:sz w:val="21"/>
              </w:rPr>
              <w:t>Risk or limitation</w:t>
            </w:r>
          </w:p>
        </w:tc>
        <w:tc>
          <w:tcPr>
            <w:tcW w:type="dxa" w:w="4160"/>
            <w:tcMar>
              <w:top w:w="80" w:type="dxa"/>
              <w:bottom w:w="80" w:type="dxa"/>
              <w:start w:w="120" w:type="dxa"/>
              <w:end w:w="120" w:type="dxa"/>
            </w:tcMar>
            <w:vAlign w:val="center"/>
            <w:shd w:fill="2E74B5"/>
          </w:tcPr>
          <w:p>
            <w:pPr>
              <w:spacing w:after="0"/>
            </w:pPr>
            <w:r>
              <w:rPr>
                <w:rFonts w:ascii="Calibri" w:hAnsi="Calibri"/>
                <w:b/>
                <w:color w:val="FFFFFF"/>
                <w:sz w:val="21"/>
              </w:rPr>
              <w:t>Proposed mitigation</w:t>
            </w:r>
          </w:p>
        </w:tc>
      </w:tr>
      <w:tr>
        <w:tc>
          <w:tcPr>
            <w:tcW w:type="dxa" w:w="900"/>
            <w:tcMar>
              <w:top w:w="80" w:type="dxa"/>
              <w:bottom w:w="80" w:type="dxa"/>
              <w:start w:w="120" w:type="dxa"/>
              <w:end w:w="120" w:type="dxa"/>
            </w:tcMar>
            <w:vAlign w:val="center"/>
          </w:tcPr>
          <w:p>
            <w:pPr>
              <w:spacing w:after="0"/>
            </w:pPr>
            <w:r>
              <w:rPr>
                <w:rFonts w:ascii="Calibri" w:hAnsi="Calibri"/>
                <w:b w:val="0"/>
                <w:color w:val="14202F"/>
                <w:sz w:val="20"/>
              </w:rPr>
              <w:t>High</w:t>
            </w:r>
          </w:p>
        </w:tc>
        <w:tc>
          <w:tcPr>
            <w:tcW w:type="dxa" w:w="4300"/>
            <w:tcMar>
              <w:top w:w="80" w:type="dxa"/>
              <w:bottom w:w="80" w:type="dxa"/>
              <w:start w:w="120" w:type="dxa"/>
              <w:end w:w="120" w:type="dxa"/>
            </w:tcMar>
            <w:vAlign w:val="center"/>
          </w:tcPr>
          <w:p>
            <w:pPr>
              <w:spacing w:after="0"/>
            </w:pPr>
            <w:r>
              <w:rPr>
                <w:rFonts w:ascii="Calibri" w:hAnsi="Calibri"/>
                <w:b w:val="0"/>
                <w:color w:val="14202F"/>
                <w:sz w:val="20"/>
              </w:rPr>
              <w:t>Benefit rules can change and the prototype must not provide official advice.</w:t>
            </w:r>
          </w:p>
        </w:tc>
        <w:tc>
          <w:tcPr>
            <w:tcW w:type="dxa" w:w="4160"/>
            <w:tcMar>
              <w:top w:w="80" w:type="dxa"/>
              <w:bottom w:w="80" w:type="dxa"/>
              <w:start w:w="120" w:type="dxa"/>
              <w:end w:w="120" w:type="dxa"/>
            </w:tcMar>
            <w:vAlign w:val="center"/>
          </w:tcPr>
          <w:p>
            <w:pPr>
              <w:spacing w:after="0"/>
            </w:pPr>
            <w:r>
              <w:rPr>
                <w:rFonts w:ascii="Calibri" w:hAnsi="Calibri"/>
                <w:b w:val="0"/>
                <w:color w:val="14202F"/>
                <w:sz w:val="20"/>
              </w:rPr>
              <w:t>Track last_verified, show sources and direct users to CPAG, GOV.UK or a qualified adviser.</w:t>
            </w:r>
          </w:p>
        </w:tc>
      </w:tr>
      <w:tr>
        <w:tc>
          <w:tcPr>
            <w:tcW w:type="dxa" w:w="900"/>
            <w:tcMar>
              <w:top w:w="80" w:type="dxa"/>
              <w:bottom w:w="80" w:type="dxa"/>
              <w:start w:w="120" w:type="dxa"/>
              <w:end w:w="120" w:type="dxa"/>
            </w:tcMar>
            <w:vAlign w:val="center"/>
            <w:shd w:fill="F8FAFC"/>
          </w:tcPr>
          <w:p>
            <w:pPr>
              <w:spacing w:after="0"/>
            </w:pPr>
            <w:r>
              <w:rPr>
                <w:rFonts w:ascii="Calibri" w:hAnsi="Calibri"/>
                <w:b w:val="0"/>
                <w:color w:val="14202F"/>
                <w:sz w:val="20"/>
              </w:rPr>
              <w:t>High</w:t>
            </w:r>
          </w:p>
        </w:tc>
        <w:tc>
          <w:tcPr>
            <w:tcW w:type="dxa" w:w="4300"/>
            <w:tcMar>
              <w:top w:w="80" w:type="dxa"/>
              <w:bottom w:w="80" w:type="dxa"/>
              <w:start w:w="120" w:type="dxa"/>
              <w:end w:w="120" w:type="dxa"/>
            </w:tcMar>
            <w:vAlign w:val="center"/>
            <w:shd w:fill="F8FAFC"/>
          </w:tcPr>
          <w:p>
            <w:pPr>
              <w:spacing w:after="0"/>
            </w:pPr>
            <w:r>
              <w:rPr>
                <w:rFonts w:ascii="Calibri" w:hAnsi="Calibri"/>
                <w:b w:val="0"/>
                <w:color w:val="14202F"/>
                <w:sz w:val="20"/>
              </w:rPr>
              <w:t>Real-user testing before ethics approval.</w:t>
            </w:r>
          </w:p>
        </w:tc>
        <w:tc>
          <w:tcPr>
            <w:tcW w:type="dxa" w:w="4160"/>
            <w:tcMar>
              <w:top w:w="80" w:type="dxa"/>
              <w:bottom w:w="80" w:type="dxa"/>
              <w:start w:w="120" w:type="dxa"/>
              <w:end w:w="120" w:type="dxa"/>
            </w:tcMar>
            <w:vAlign w:val="center"/>
            <w:shd w:fill="F8FAFC"/>
          </w:tcPr>
          <w:p>
            <w:pPr>
              <w:spacing w:after="0"/>
            </w:pPr>
            <w:r>
              <w:rPr>
                <w:rFonts w:ascii="Calibri" w:hAnsi="Calibri"/>
                <w:b w:val="0"/>
                <w:color w:val="14202F"/>
                <w:sz w:val="20"/>
              </w:rPr>
              <w:t>Use fictional scenarios only until formal approval is granted.</w:t>
            </w:r>
          </w:p>
        </w:tc>
      </w:tr>
      <w:tr>
        <w:tc>
          <w:tcPr>
            <w:tcW w:type="dxa" w:w="900"/>
            <w:tcMar>
              <w:top w:w="80" w:type="dxa"/>
              <w:bottom w:w="80" w:type="dxa"/>
              <w:start w:w="120" w:type="dxa"/>
              <w:end w:w="120" w:type="dxa"/>
            </w:tcMar>
            <w:vAlign w:val="center"/>
          </w:tcPr>
          <w:p>
            <w:pPr>
              <w:spacing w:after="0"/>
            </w:pPr>
            <w:r>
              <w:rPr>
                <w:rFonts w:ascii="Calibri" w:hAnsi="Calibri"/>
                <w:b w:val="0"/>
                <w:color w:val="14202F"/>
                <w:sz w:val="20"/>
              </w:rPr>
              <w:t>Medium</w:t>
            </w:r>
          </w:p>
        </w:tc>
        <w:tc>
          <w:tcPr>
            <w:tcW w:type="dxa" w:w="4300"/>
            <w:tcMar>
              <w:top w:w="80" w:type="dxa"/>
              <w:bottom w:w="80" w:type="dxa"/>
              <w:start w:w="120" w:type="dxa"/>
              <w:end w:w="120" w:type="dxa"/>
            </w:tcMar>
            <w:vAlign w:val="center"/>
          </w:tcPr>
          <w:p>
            <w:pPr>
              <w:spacing w:after="0"/>
            </w:pPr>
            <w:r>
              <w:rPr>
                <w:rFonts w:ascii="Calibri" w:hAnsi="Calibri"/>
                <w:b w:val="0"/>
                <w:color w:val="14202F"/>
                <w:sz w:val="20"/>
              </w:rPr>
              <w:t>The LLM may produce unsuitable explanatory text.</w:t>
            </w:r>
          </w:p>
        </w:tc>
        <w:tc>
          <w:tcPr>
            <w:tcW w:type="dxa" w:w="4160"/>
            <w:tcMar>
              <w:top w:w="80" w:type="dxa"/>
              <w:bottom w:w="80" w:type="dxa"/>
              <w:start w:w="120" w:type="dxa"/>
              <w:end w:w="120" w:type="dxa"/>
            </w:tcMar>
            <w:vAlign w:val="center"/>
          </w:tcPr>
          <w:p>
            <w:pPr>
              <w:spacing w:after="0"/>
            </w:pPr>
            <w:r>
              <w:rPr>
                <w:rFonts w:ascii="Calibri" w:hAnsi="Calibri"/>
                <w:b w:val="0"/>
                <w:color w:val="14202F"/>
                <w:sz w:val="20"/>
              </w:rPr>
              <w:t>Validate responses, allowlist URLs and retain deterministic fallback.</w:t>
            </w:r>
          </w:p>
        </w:tc>
      </w:tr>
      <w:tr>
        <w:tc>
          <w:tcPr>
            <w:tcW w:type="dxa" w:w="900"/>
            <w:tcMar>
              <w:top w:w="80" w:type="dxa"/>
              <w:bottom w:w="80" w:type="dxa"/>
              <w:start w:w="120" w:type="dxa"/>
              <w:end w:w="120" w:type="dxa"/>
            </w:tcMar>
            <w:vAlign w:val="center"/>
            <w:shd w:fill="F8FAFC"/>
          </w:tcPr>
          <w:p>
            <w:pPr>
              <w:spacing w:after="0"/>
            </w:pPr>
            <w:r>
              <w:rPr>
                <w:rFonts w:ascii="Calibri" w:hAnsi="Calibri"/>
                <w:b w:val="0"/>
                <w:color w:val="14202F"/>
                <w:sz w:val="20"/>
              </w:rPr>
              <w:t>Medium</w:t>
            </w:r>
          </w:p>
        </w:tc>
        <w:tc>
          <w:tcPr>
            <w:tcW w:type="dxa" w:w="4300"/>
            <w:tcMar>
              <w:top w:w="80" w:type="dxa"/>
              <w:bottom w:w="80" w:type="dxa"/>
              <w:start w:w="120" w:type="dxa"/>
              <w:end w:w="120" w:type="dxa"/>
            </w:tcMar>
            <w:vAlign w:val="center"/>
            <w:shd w:fill="F8FAFC"/>
          </w:tcPr>
          <w:p>
            <w:pPr>
              <w:spacing w:after="0"/>
            </w:pPr>
            <w:r>
              <w:rPr>
                <w:rFonts w:ascii="Calibri" w:hAnsi="Calibri"/>
                <w:b w:val="0"/>
                <w:color w:val="14202F"/>
                <w:sz w:val="20"/>
              </w:rPr>
              <w:t>The prototype covers only three benefits.</w:t>
            </w:r>
          </w:p>
        </w:tc>
        <w:tc>
          <w:tcPr>
            <w:tcW w:type="dxa" w:w="4160"/>
            <w:tcMar>
              <w:top w:w="80" w:type="dxa"/>
              <w:bottom w:w="80" w:type="dxa"/>
              <w:start w:w="120" w:type="dxa"/>
              <w:end w:w="120" w:type="dxa"/>
            </w:tcMar>
            <w:vAlign w:val="center"/>
            <w:shd w:fill="F8FAFC"/>
          </w:tcPr>
          <w:p>
            <w:pPr>
              <w:spacing w:after="0"/>
            </w:pPr>
            <w:r>
              <w:rPr>
                <w:rFonts w:ascii="Calibri" w:hAnsi="Calibri"/>
                <w:b w:val="0"/>
                <w:color w:val="14202F"/>
                <w:sz w:val="20"/>
              </w:rPr>
              <w:t>Present it as a focused prototype and list expansion as further work.</w:t>
            </w:r>
          </w:p>
        </w:tc>
      </w:tr>
      <w:tr>
        <w:tc>
          <w:tcPr>
            <w:tcW w:type="dxa" w:w="900"/>
            <w:tcMar>
              <w:top w:w="80" w:type="dxa"/>
              <w:bottom w:w="80" w:type="dxa"/>
              <w:start w:w="120" w:type="dxa"/>
              <w:end w:w="120" w:type="dxa"/>
            </w:tcMar>
            <w:vAlign w:val="center"/>
          </w:tcPr>
          <w:p>
            <w:pPr>
              <w:spacing w:after="0"/>
            </w:pPr>
            <w:r>
              <w:rPr>
                <w:rFonts w:ascii="Calibri" w:hAnsi="Calibri"/>
                <w:b w:val="0"/>
                <w:color w:val="14202F"/>
                <w:sz w:val="20"/>
              </w:rPr>
              <w:t>Low</w:t>
            </w:r>
          </w:p>
        </w:tc>
        <w:tc>
          <w:tcPr>
            <w:tcW w:type="dxa" w:w="4300"/>
            <w:tcMar>
              <w:top w:w="80" w:type="dxa"/>
              <w:bottom w:w="80" w:type="dxa"/>
              <w:start w:w="120" w:type="dxa"/>
              <w:end w:w="120" w:type="dxa"/>
            </w:tcMar>
            <w:vAlign w:val="center"/>
          </w:tcPr>
          <w:p>
            <w:pPr>
              <w:spacing w:after="0"/>
            </w:pPr>
            <w:r>
              <w:rPr>
                <w:rFonts w:ascii="Calibri" w:hAnsi="Calibri"/>
                <w:b w:val="0"/>
                <w:color w:val="14202F"/>
                <w:sz w:val="20"/>
              </w:rPr>
              <w:t>The UI may need adjustment after participant feedback.</w:t>
            </w:r>
          </w:p>
        </w:tc>
        <w:tc>
          <w:tcPr>
            <w:tcW w:type="dxa" w:w="4160"/>
            <w:tcMar>
              <w:top w:w="80" w:type="dxa"/>
              <w:bottom w:w="80" w:type="dxa"/>
              <w:start w:w="120" w:type="dxa"/>
              <w:end w:w="120" w:type="dxa"/>
            </w:tcMar>
            <w:vAlign w:val="center"/>
          </w:tcPr>
          <w:p>
            <w:pPr>
              <w:spacing w:after="0"/>
            </w:pPr>
            <w:r>
              <w:rPr>
                <w:rFonts w:ascii="Calibri" w:hAnsi="Calibri"/>
                <w:b w:val="0"/>
                <w:color w:val="14202F"/>
                <w:sz w:val="20"/>
              </w:rPr>
              <w:t>Use JSON export, post-test questionnaire and documented visual iterations.</w:t>
            </w:r>
          </w:p>
        </w:tc>
      </w:tr>
    </w:tbl>
    <w:p/>
    <w:p>
      <w:pPr>
        <w:pStyle w:val="Heading2"/>
      </w:pPr>
      <w:r>
        <w:t>Recommended Next Steps</w:t>
      </w:r>
    </w:p>
    <w:p>
      <w:pPr>
        <w:pStyle w:val="ListNumber"/>
        <w:spacing w:after="80"/>
        <w:ind w:left="720" w:hanging="360"/>
      </w:pPr>
      <w:r>
        <w:t>Review this weekly report with the supervisor or stakeholder.</w:t>
      </w:r>
    </w:p>
    <w:p>
      <w:pPr>
        <w:pStyle w:val="ListNumber"/>
        <w:spacing w:after="80"/>
        <w:ind w:left="720" w:hanging="360"/>
      </w:pPr>
      <w:r>
        <w:t>Finalise and submit the ethics application.</w:t>
      </w:r>
    </w:p>
    <w:p>
      <w:pPr>
        <w:pStyle w:val="ListNumber"/>
        <w:spacing w:after="80"/>
        <w:ind w:left="720" w:hanging="360"/>
      </w:pPr>
      <w:r>
        <w:t>Prepare the public-site demonstration script.</w:t>
      </w:r>
    </w:p>
    <w:p>
      <w:pPr>
        <w:pStyle w:val="ListNumber"/>
        <w:spacing w:after="80"/>
        <w:ind w:left="720" w:hanging="360"/>
      </w:pPr>
      <w:r>
        <w:t>Run usability testing with 5 to 8 participants after approval.</w:t>
      </w:r>
    </w:p>
    <w:p>
      <w:pPr>
        <w:pStyle w:val="ListNumber"/>
        <w:spacing w:after="80"/>
        <w:ind w:left="720" w:hanging="360"/>
      </w:pPr>
      <w:r>
        <w:t>Turn the sections in this document into academic report chapters.</w:t>
      </w:r>
    </w:p>
    <w:p>
      <w:pPr>
        <w:pStyle w:val="Heading1"/>
      </w:pPr>
      <w:r>
        <w:t>9. Main Evidence and Artefacts</w:t>
      </w:r>
    </w:p>
    <w:p>
      <w:pPr>
        <w:pStyle w:val="ListBullet"/>
        <w:spacing w:after="80"/>
        <w:ind w:left="720" w:hanging="360"/>
      </w:pPr>
      <w:r>
        <w:t>Public application: https://verissimo-tawny.vercel.app</w:t>
      </w:r>
    </w:p>
    <w:p>
      <w:pPr>
        <w:pStyle w:val="ListBullet"/>
        <w:spacing w:after="80"/>
        <w:ind w:left="720" w:hanging="360"/>
      </w:pPr>
      <w:r>
        <w:t>Rules: rules/attendance-allowance.yaml, rules/universal-credit.yaml, rules/personal-independence-payment.yaml</w:t>
      </w:r>
    </w:p>
    <w:p>
      <w:pPr>
        <w:pStyle w:val="ListBullet"/>
        <w:spacing w:after="80"/>
        <w:ind w:left="720" w:hanging="360"/>
      </w:pPr>
      <w:r>
        <w:t>Rules engine: src/lib/rules/</w:t>
      </w:r>
    </w:p>
    <w:p>
      <w:pPr>
        <w:pStyle w:val="ListBullet"/>
        <w:spacing w:after="80"/>
        <w:ind w:left="720" w:hanging="360"/>
      </w:pPr>
      <w:r>
        <w:t>UI: src/components/assessment/AssessmentApp.tsx and src/app/globals.css</w:t>
      </w:r>
    </w:p>
    <w:p>
      <w:pPr>
        <w:pStyle w:val="ListBullet"/>
        <w:spacing w:after="80"/>
        <w:ind w:left="720" w:hanging="360"/>
      </w:pPr>
      <w:r>
        <w:t>LLM boundary and explanation layer: src/lib/explanations/</w:t>
      </w:r>
    </w:p>
    <w:p>
      <w:pPr>
        <w:pStyle w:val="ListBullet"/>
        <w:spacing w:after="80"/>
        <w:ind w:left="720" w:hanging="360"/>
      </w:pPr>
      <w:r>
        <w:t>Tests: tests/</w:t>
      </w:r>
    </w:p>
    <w:p>
      <w:pPr>
        <w:pStyle w:val="ListBullet"/>
        <w:spacing w:after="80"/>
        <w:ind w:left="720" w:hanging="360"/>
      </w:pPr>
      <w:r>
        <w:t>Ethics pack: docs/ethics/</w:t>
      </w:r>
    </w:p>
    <w:p>
      <w:pPr>
        <w:pStyle w:val="ListBullet"/>
        <w:spacing w:after="80"/>
        <w:ind w:left="720" w:hanging="360"/>
      </w:pPr>
      <w:r>
        <w:t>Recent visual evidence: test-results/result-card-polish-desktop.png</w:t>
      </w:r>
    </w:p>
    <w:p>
      <w:pPr>
        <w:pStyle w:val="ListBullet"/>
        <w:spacing w:after="80"/>
        <w:ind w:left="720" w:hanging="360"/>
      </w:pPr>
      <w:r>
        <w:t>Latest cited deployment: dpl_EsNxnGJ5kKT31J4hwStxprmnyJdt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56273"/>
        <w:sz w:val="18"/>
      </w:rPr>
      <w:t>Generated for weekly presentation support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56273"/>
        <w:sz w:val="18"/>
      </w:rPr>
      <w:t>VERISSIMO - weekly support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420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