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0E324" w14:textId="77777777" w:rsidR="00000000" w:rsidRDefault="00040CB7">
      <w:pPr>
        <w:pStyle w:val="a3"/>
        <w:spacing w:before="0" w:beforeAutospacing="0" w:after="0" w:afterAutospacing="0"/>
        <w:rPr>
          <w:rFonts w:ascii="Calibri" w:eastAsia="Microsoft YaHei UI" w:hAnsi="Calibri" w:cs="Calibri"/>
          <w:sz w:val="40"/>
          <w:szCs w:val="40"/>
        </w:rPr>
      </w:pPr>
      <w:bookmarkStart w:id="0" w:name="_GoBack"/>
      <w:bookmarkEnd w:id="0"/>
      <w:r>
        <w:rPr>
          <w:rFonts w:ascii="Calibri" w:eastAsia="Microsoft YaHei UI" w:hAnsi="Calibri" w:cs="Calibri"/>
          <w:sz w:val="40"/>
          <w:szCs w:val="40"/>
        </w:rPr>
        <w:t>PPT</w:t>
      </w:r>
    </w:p>
    <w:p w14:paraId="5E06B744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/>
          <w:color w:val="767676"/>
          <w:sz w:val="20"/>
          <w:szCs w:val="20"/>
        </w:rPr>
      </w:pPr>
      <w:r>
        <w:rPr>
          <w:rFonts w:ascii="Calibri" w:eastAsia="Microsoft YaHei UI" w:hAnsi="Calibri" w:cs="Calibri"/>
          <w:color w:val="767676"/>
          <w:sz w:val="20"/>
          <w:szCs w:val="20"/>
        </w:rPr>
        <w:t>2018</w:t>
      </w:r>
      <w:r>
        <w:rPr>
          <w:rFonts w:ascii="Microsoft YaHei UI" w:eastAsia="Microsoft YaHei UI" w:hAnsi="Microsoft YaHei UI" w:hint="eastAsia"/>
          <w:color w:val="767676"/>
          <w:sz w:val="20"/>
          <w:szCs w:val="20"/>
        </w:rPr>
        <w:t>年</w:t>
      </w:r>
      <w:r>
        <w:rPr>
          <w:rFonts w:ascii="Calibri" w:eastAsia="Microsoft YaHei UI" w:hAnsi="Calibri" w:cs="Calibri"/>
          <w:color w:val="767676"/>
          <w:sz w:val="20"/>
          <w:szCs w:val="20"/>
        </w:rPr>
        <w:t>9</w:t>
      </w:r>
      <w:r>
        <w:rPr>
          <w:rFonts w:ascii="Microsoft YaHei UI" w:eastAsia="Microsoft YaHei UI" w:hAnsi="Microsoft YaHei UI" w:hint="eastAsia"/>
          <w:color w:val="767676"/>
          <w:sz w:val="20"/>
          <w:szCs w:val="20"/>
        </w:rPr>
        <w:t>月</w:t>
      </w:r>
      <w:r>
        <w:rPr>
          <w:rFonts w:ascii="Calibri" w:eastAsia="Microsoft YaHei UI" w:hAnsi="Calibri" w:cs="Calibri"/>
          <w:color w:val="767676"/>
          <w:sz w:val="20"/>
          <w:szCs w:val="20"/>
        </w:rPr>
        <w:t>11</w:t>
      </w:r>
      <w:r>
        <w:rPr>
          <w:rFonts w:ascii="Microsoft YaHei UI" w:eastAsia="Microsoft YaHei UI" w:hAnsi="Microsoft YaHei UI" w:hint="eastAsia"/>
          <w:color w:val="767676"/>
          <w:sz w:val="20"/>
          <w:szCs w:val="20"/>
        </w:rPr>
        <w:t>日</w:t>
      </w:r>
    </w:p>
    <w:p w14:paraId="42B187B7" w14:textId="77777777" w:rsidR="00000000" w:rsidRDefault="00040CB7">
      <w:pPr>
        <w:pStyle w:val="a3"/>
        <w:spacing w:before="0" w:beforeAutospacing="0" w:after="0" w:afterAutospacing="0"/>
        <w:rPr>
          <w:rFonts w:ascii="Calibri" w:eastAsia="Microsoft YaHei UI" w:hAnsi="Calibri" w:cs="Calibri" w:hint="eastAsia"/>
          <w:color w:val="767676"/>
          <w:sz w:val="20"/>
          <w:szCs w:val="20"/>
        </w:rPr>
      </w:pPr>
      <w:r>
        <w:rPr>
          <w:rFonts w:ascii="Calibri" w:eastAsia="Microsoft YaHei UI" w:hAnsi="Calibri" w:cs="Calibri"/>
          <w:color w:val="767676"/>
          <w:sz w:val="20"/>
          <w:szCs w:val="20"/>
        </w:rPr>
        <w:t>19:30</w:t>
      </w:r>
    </w:p>
    <w:p w14:paraId="2FB0536B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1A7D04D8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利率是管制利率，不是市场利率</w:t>
      </w:r>
    </w:p>
    <w:p w14:paraId="492F8532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3F15A7E1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选题：计量，刚好这学期学计量，选这个主题能够帮我们打下一些基础</w:t>
      </w:r>
    </w:p>
    <w:p w14:paraId="3CD63EFA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做计量有个很关键的就是数据一定要全，之前我们题目本来是打算做需求分析，但是因为数据不全换了题。而证券市场的数据是很好获得的也很完全，其他的一些宏观经济指标也非常容易获得，这就是我们选这个题目的原因</w:t>
      </w:r>
    </w:p>
    <w:p w14:paraId="023AC74E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23FC9D95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指标选取：</w:t>
      </w:r>
    </w:p>
    <w:p w14:paraId="2D3610FC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/>
          <w:noProof/>
          <w:sz w:val="23"/>
          <w:szCs w:val="23"/>
        </w:rPr>
        <w:drawing>
          <wp:inline distT="0" distB="0" distL="0" distR="0" wp14:anchorId="6C910DF8" wp14:editId="13D1E027">
            <wp:extent cx="9144000" cy="1581150"/>
            <wp:effectExtent l="0" t="0" r="0" b="0"/>
            <wp:docPr id="1" name="图片 1" descr="C:\F4820E65\F0BD05EB-F426-4C2A-95E1-D20E8468FBB2.files\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4820E65\F0BD05EB-F426-4C2A-95E1-D20E8468FBB2.files\image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5257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  <w:highlight w:val="yellow"/>
        </w:rPr>
        <w:t>宏观景气指数</w:t>
      </w:r>
      <w:r>
        <w:rPr>
          <w:rFonts w:ascii="Microsoft YaHei UI" w:eastAsia="Microsoft YaHei UI" w:hAnsi="Microsoft YaHei UI" w:hint="eastAsia"/>
          <w:sz w:val="23"/>
          <w:szCs w:val="23"/>
        </w:rPr>
        <w:t>是反映宏观经济运行情况的综合统计指数。它是在企业景气调查的基础上，利用调查资料编制出的各行业的景气指数和它们的增加值来计算的。</w:t>
      </w:r>
    </w:p>
    <w:p w14:paraId="55018F53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  <w:highlight w:val="yellow"/>
        </w:rPr>
        <w:t>景气指数</w:t>
      </w:r>
      <w:r>
        <w:rPr>
          <w:rFonts w:ascii="Microsoft YaHei UI" w:eastAsia="Microsoft YaHei UI" w:hAnsi="Microsoft YaHei UI" w:hint="eastAsia"/>
          <w:sz w:val="23"/>
          <w:szCs w:val="23"/>
        </w:rPr>
        <w:t>介于</w:t>
      </w:r>
      <w:r>
        <w:rPr>
          <w:rFonts w:ascii="Microsoft YaHei UI" w:eastAsia="Microsoft YaHei UI" w:hAnsi="Microsoft YaHei UI" w:hint="eastAsia"/>
          <w:sz w:val="23"/>
          <w:szCs w:val="23"/>
        </w:rPr>
        <w:t>0-200</w:t>
      </w:r>
      <w:r>
        <w:rPr>
          <w:rFonts w:ascii="Microsoft YaHei UI" w:eastAsia="Microsoft YaHei UI" w:hAnsi="Microsoft YaHei UI" w:hint="eastAsia"/>
          <w:sz w:val="23"/>
          <w:szCs w:val="23"/>
        </w:rPr>
        <w:t>之间，</w:t>
      </w:r>
      <w:r>
        <w:rPr>
          <w:rFonts w:ascii="Microsoft YaHei UI" w:eastAsia="Microsoft YaHei UI" w:hAnsi="Microsoft YaHei UI" w:hint="eastAsia"/>
          <w:sz w:val="23"/>
          <w:szCs w:val="23"/>
        </w:rPr>
        <w:t>100</w:t>
      </w:r>
      <w:r>
        <w:rPr>
          <w:rFonts w:ascii="Microsoft YaHei UI" w:eastAsia="Microsoft YaHei UI" w:hAnsi="Microsoft YaHei UI" w:hint="eastAsia"/>
          <w:sz w:val="23"/>
          <w:szCs w:val="23"/>
        </w:rPr>
        <w:t>为景气指数的临界值，当景气指数大于</w:t>
      </w:r>
      <w:r>
        <w:rPr>
          <w:rFonts w:ascii="Microsoft YaHei UI" w:eastAsia="Microsoft YaHei UI" w:hAnsi="Microsoft YaHei UI" w:hint="eastAsia"/>
          <w:sz w:val="23"/>
          <w:szCs w:val="23"/>
        </w:rPr>
        <w:t>100</w:t>
      </w:r>
      <w:r>
        <w:rPr>
          <w:rFonts w:ascii="Microsoft YaHei UI" w:eastAsia="Microsoft YaHei UI" w:hAnsi="Microsoft YaHei UI" w:hint="eastAsia"/>
          <w:sz w:val="23"/>
          <w:szCs w:val="23"/>
        </w:rPr>
        <w:t>时，表明经济状况趋于上升或改善，当景气指数小于</w:t>
      </w:r>
      <w:r>
        <w:rPr>
          <w:rFonts w:ascii="Microsoft YaHei UI" w:eastAsia="Microsoft YaHei UI" w:hAnsi="Microsoft YaHei UI" w:hint="eastAsia"/>
          <w:sz w:val="23"/>
          <w:szCs w:val="23"/>
        </w:rPr>
        <w:t>100</w:t>
      </w:r>
      <w:r>
        <w:rPr>
          <w:rFonts w:ascii="Microsoft YaHei UI" w:eastAsia="Microsoft YaHei UI" w:hAnsi="Microsoft YaHei UI" w:hint="eastAsia"/>
          <w:sz w:val="23"/>
          <w:szCs w:val="23"/>
        </w:rPr>
        <w:t>时，表明经济状况趋于下降或恶化，处于不景气状态。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83"/>
        <w:gridCol w:w="1567"/>
      </w:tblGrid>
      <w:tr w:rsidR="00000000" w14:paraId="6DD6BD50" w14:textId="77777777">
        <w:trPr>
          <w:divId w:val="778723669"/>
        </w:trPr>
        <w:tc>
          <w:tcPr>
            <w:tcW w:w="17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43413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GDP/CPI</w:t>
            </w:r>
          </w:p>
        </w:tc>
        <w:tc>
          <w:tcPr>
            <w:tcW w:w="14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AE9D56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国家统计局</w:t>
            </w:r>
          </w:p>
        </w:tc>
      </w:tr>
      <w:tr w:rsidR="00000000" w14:paraId="0390BA29" w14:textId="77777777">
        <w:trPr>
          <w:divId w:val="778723669"/>
        </w:trPr>
        <w:tc>
          <w:tcPr>
            <w:tcW w:w="17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29946E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国房景气</w:t>
            </w:r>
          </w:p>
        </w:tc>
        <w:tc>
          <w:tcPr>
            <w:tcW w:w="14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02F3A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国家统计局</w:t>
            </w:r>
          </w:p>
        </w:tc>
      </w:tr>
      <w:tr w:rsidR="00000000" w14:paraId="51CB7598" w14:textId="77777777">
        <w:trPr>
          <w:divId w:val="778723669"/>
        </w:trPr>
        <w:tc>
          <w:tcPr>
            <w:tcW w:w="17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2748F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活期</w:t>
            </w: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/</w:t>
            </w: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定期</w:t>
            </w: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/M2</w:t>
            </w:r>
          </w:p>
        </w:tc>
        <w:tc>
          <w:tcPr>
            <w:tcW w:w="15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7E7E99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中国人民银行</w:t>
            </w:r>
          </w:p>
        </w:tc>
      </w:tr>
      <w:tr w:rsidR="00000000" w14:paraId="7CDBBE3A" w14:textId="77777777">
        <w:trPr>
          <w:divId w:val="778723669"/>
        </w:trPr>
        <w:tc>
          <w:tcPr>
            <w:tcW w:w="17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6B2309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沪深</w:t>
            </w: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300</w:t>
            </w:r>
          </w:p>
        </w:tc>
        <w:tc>
          <w:tcPr>
            <w:tcW w:w="14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2BC970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上证</w:t>
            </w:r>
          </w:p>
        </w:tc>
      </w:tr>
      <w:tr w:rsidR="00000000" w14:paraId="0D809A55" w14:textId="77777777">
        <w:trPr>
          <w:divId w:val="778723669"/>
        </w:trPr>
        <w:tc>
          <w:tcPr>
            <w:tcW w:w="17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1DB0AF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 </w:t>
            </w:r>
          </w:p>
        </w:tc>
        <w:tc>
          <w:tcPr>
            <w:tcW w:w="14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0FD58F" w14:textId="77777777" w:rsidR="00000000" w:rsidRDefault="00040CB7">
            <w:pPr>
              <w:pStyle w:val="a3"/>
              <w:spacing w:before="0" w:beforeAutospacing="0" w:after="0" w:afterAutospacing="0"/>
              <w:rPr>
                <w:rFonts w:ascii="Microsoft YaHei UI" w:eastAsia="Microsoft YaHei UI" w:hAnsi="Microsoft YaHei UI" w:hint="eastAsia"/>
                <w:sz w:val="23"/>
                <w:szCs w:val="23"/>
              </w:rPr>
            </w:pPr>
            <w:r>
              <w:rPr>
                <w:rFonts w:ascii="Microsoft YaHei UI" w:eastAsia="Microsoft YaHei UI" w:hAnsi="Microsoft YaHei UI" w:hint="eastAsia"/>
                <w:sz w:val="23"/>
                <w:szCs w:val="23"/>
              </w:rPr>
              <w:t> </w:t>
            </w:r>
          </w:p>
        </w:tc>
      </w:tr>
    </w:tbl>
    <w:p w14:paraId="19AD5804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2A166094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季节调整</w:t>
      </w:r>
    </w:p>
    <w:p w14:paraId="3783E06A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59450365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Y_t</w:t>
      </w:r>
      <w:r>
        <w:rPr>
          <w:rFonts w:ascii="Microsoft YaHei UI" w:eastAsia="Microsoft YaHei UI" w:hAnsi="Microsoft YaHei UI" w:hint="eastAsia"/>
          <w:sz w:val="23"/>
          <w:szCs w:val="23"/>
        </w:rPr>
        <w:t>为原序列</w:t>
      </w:r>
      <w:r>
        <w:rPr>
          <w:rFonts w:ascii="Microsoft YaHei UI" w:eastAsia="Microsoft YaHei UI" w:hAnsi="Microsoft YaHei UI" w:hint="eastAsia"/>
          <w:sz w:val="23"/>
          <w:szCs w:val="23"/>
        </w:rPr>
        <w:t>\\</w:t>
      </w:r>
    </w:p>
    <w:p w14:paraId="47A01F12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lastRenderedPageBreak/>
        <w:t>TC_t</w:t>
      </w:r>
      <w:r>
        <w:rPr>
          <w:rFonts w:ascii="Microsoft YaHei UI" w:eastAsia="Microsoft YaHei UI" w:hAnsi="Microsoft YaHei UI" w:hint="eastAsia"/>
          <w:sz w:val="23"/>
          <w:szCs w:val="23"/>
        </w:rPr>
        <w:t>为趋势循环要素</w:t>
      </w:r>
      <w:r>
        <w:rPr>
          <w:rFonts w:ascii="Microsoft YaHei UI" w:eastAsia="Microsoft YaHei UI" w:hAnsi="Microsoft YaHei UI" w:hint="eastAsia"/>
          <w:sz w:val="23"/>
          <w:szCs w:val="23"/>
        </w:rPr>
        <w:t>\\</w:t>
      </w:r>
    </w:p>
    <w:p w14:paraId="64D4C629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T</w:t>
      </w:r>
      <w:r>
        <w:rPr>
          <w:rFonts w:ascii="Microsoft YaHei UI" w:eastAsia="Microsoft YaHei UI" w:hAnsi="Microsoft YaHei UI" w:hint="eastAsia"/>
          <w:sz w:val="23"/>
          <w:szCs w:val="23"/>
        </w:rPr>
        <w:t>反映的是经济现象的长期演变方向</w:t>
      </w:r>
      <w:r>
        <w:rPr>
          <w:rFonts w:ascii="Microsoft YaHei UI" w:eastAsia="Microsoft YaHei UI" w:hAnsi="Microsoft YaHei UI" w:hint="eastAsia"/>
          <w:sz w:val="23"/>
          <w:szCs w:val="23"/>
        </w:rPr>
        <w:t>\\C</w:t>
      </w:r>
      <w:r>
        <w:rPr>
          <w:rFonts w:ascii="Microsoft YaHei UI" w:eastAsia="Microsoft YaHei UI" w:hAnsi="Microsoft YaHei UI" w:hint="eastAsia"/>
          <w:sz w:val="23"/>
          <w:szCs w:val="23"/>
        </w:rPr>
        <w:t>是时间序列表现出的持续的周期性波动</w:t>
      </w:r>
      <w:r>
        <w:rPr>
          <w:rFonts w:ascii="Microsoft YaHei UI" w:eastAsia="Microsoft YaHei UI" w:hAnsi="Microsoft YaHei UI" w:hint="eastAsia"/>
          <w:sz w:val="23"/>
          <w:szCs w:val="23"/>
        </w:rPr>
        <w:t>\\</w:t>
      </w:r>
    </w:p>
    <w:p w14:paraId="51C2FDD1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由于测算趋势在实际工作中有一定的难度，因此一般把趋势与循环放在一起不再进行区分</w:t>
      </w:r>
      <w:r>
        <w:rPr>
          <w:rFonts w:ascii="Microsoft YaHei UI" w:eastAsia="Microsoft YaHei UI" w:hAnsi="Microsoft YaHei UI" w:hint="eastAsia"/>
          <w:sz w:val="23"/>
          <w:szCs w:val="23"/>
        </w:rPr>
        <w:t>\\</w:t>
      </w:r>
    </w:p>
    <w:p w14:paraId="40901C7C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S_t</w:t>
      </w:r>
      <w:r>
        <w:rPr>
          <w:rFonts w:ascii="Microsoft YaHei UI" w:eastAsia="Microsoft YaHei UI" w:hAnsi="Microsoft YaHei UI" w:hint="eastAsia"/>
          <w:sz w:val="23"/>
          <w:szCs w:val="23"/>
        </w:rPr>
        <w:t>为季节要素，反应不同年份相同季节的周期性变化</w:t>
      </w:r>
      <w:r>
        <w:rPr>
          <w:rFonts w:ascii="Microsoft YaHei UI" w:eastAsia="Microsoft YaHei UI" w:hAnsi="Microsoft YaHei UI" w:hint="eastAsia"/>
          <w:sz w:val="23"/>
          <w:szCs w:val="23"/>
        </w:rPr>
        <w:t>\\</w:t>
      </w:r>
    </w:p>
    <w:p w14:paraId="73A1878D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而</w:t>
      </w:r>
      <w:r>
        <w:rPr>
          <w:rFonts w:ascii="Microsoft YaHei UI" w:eastAsia="Microsoft YaHei UI" w:hAnsi="Microsoft YaHei UI" w:hint="eastAsia"/>
          <w:sz w:val="23"/>
          <w:szCs w:val="23"/>
        </w:rPr>
        <w:t>I_t</w:t>
      </w:r>
      <w:r>
        <w:rPr>
          <w:rFonts w:ascii="Microsoft YaHei UI" w:eastAsia="Microsoft YaHei UI" w:hAnsi="Microsoft YaHei UI" w:hint="eastAsia"/>
          <w:sz w:val="23"/>
          <w:szCs w:val="23"/>
        </w:rPr>
        <w:t>为不规则要素，比如罢工、自然灾害对经济活动的影响</w:t>
      </w:r>
    </w:p>
    <w:p w14:paraId="16DA2981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4A770850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季节调整的具体方法有多种，不同方法有不一样的结果，所以这是一项有主观性的工作。目前来说最权威的方法是美国普查局设计的专门</w:t>
      </w:r>
      <w:r>
        <w:rPr>
          <w:rFonts w:ascii="Microsoft YaHei UI" w:eastAsia="Microsoft YaHei UI" w:hAnsi="Microsoft YaHei UI" w:hint="eastAsia"/>
          <w:sz w:val="23"/>
          <w:szCs w:val="23"/>
        </w:rPr>
        <w:t>用于计算机上运行的</w:t>
      </w:r>
      <w:r>
        <w:rPr>
          <w:rFonts w:ascii="Microsoft YaHei UI" w:eastAsia="Microsoft YaHei UI" w:hAnsi="Microsoft YaHei UI" w:hint="eastAsia"/>
          <w:sz w:val="23"/>
          <w:szCs w:val="23"/>
        </w:rPr>
        <w:t>X12</w:t>
      </w:r>
      <w:r>
        <w:rPr>
          <w:rFonts w:ascii="Microsoft YaHei UI" w:eastAsia="Microsoft YaHei UI" w:hAnsi="Microsoft YaHei UI" w:hint="eastAsia"/>
          <w:sz w:val="23"/>
          <w:szCs w:val="23"/>
        </w:rPr>
        <w:t>方法，这是对比图，可以看到得到的结果还是非常接近的</w:t>
      </w:r>
    </w:p>
    <w:p w14:paraId="5386C5B8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745C09D1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09F19F4D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频率转化：局部二次拟合，因为我们觉得</w:t>
      </w:r>
      <w:r>
        <w:rPr>
          <w:rFonts w:ascii="Calibri" w:eastAsia="Microsoft YaHei UI" w:hAnsi="Calibri" w:cs="Calibri"/>
          <w:sz w:val="23"/>
          <w:szCs w:val="23"/>
        </w:rPr>
        <w:t>GDP</w:t>
      </w:r>
      <w:r>
        <w:rPr>
          <w:rFonts w:ascii="Microsoft YaHei UI" w:eastAsia="Microsoft YaHei UI" w:hAnsi="Microsoft YaHei UI" w:hint="eastAsia"/>
          <w:sz w:val="23"/>
          <w:szCs w:val="23"/>
        </w:rPr>
        <w:t>季度序列很符合二次多项式的特征</w:t>
      </w:r>
    </w:p>
    <w:p w14:paraId="1578F091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5BB1A8DD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Calibri" w:eastAsia="Microsoft YaHei UI" w:hAnsi="Calibri" w:cs="Calibri"/>
          <w:sz w:val="23"/>
          <w:szCs w:val="23"/>
        </w:rPr>
        <w:t>vec</w:t>
      </w:r>
      <w:r>
        <w:rPr>
          <w:rFonts w:ascii="Microsoft YaHei UI" w:eastAsia="Microsoft YaHei UI" w:hAnsi="Microsoft YaHei UI" w:hint="eastAsia"/>
          <w:sz w:val="23"/>
          <w:szCs w:val="23"/>
        </w:rPr>
        <w:t>翻书</w:t>
      </w:r>
    </w:p>
    <w:p w14:paraId="49A81D59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517AAADC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69F9975B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27306B4E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单位根检验</w:t>
      </w:r>
    </w:p>
    <w:p w14:paraId="079162BC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可以看到，我们选取的指标原序列都不平稳，而一阶差分都是平稳的，对于大部分指标我们认为这些都很符合经济发展的规律</w:t>
      </w:r>
      <w:r>
        <w:rPr>
          <w:rFonts w:ascii="Microsoft YaHei UI" w:eastAsia="Microsoft YaHei UI" w:hAnsi="Microsoft YaHei UI" w:hint="eastAsia"/>
          <w:color w:val="BFBFBF"/>
          <w:sz w:val="23"/>
          <w:szCs w:val="23"/>
        </w:rPr>
        <w:t>，但是国房景气指数这个指标，国房景气指数是以</w:t>
      </w:r>
      <w:r>
        <w:rPr>
          <w:rFonts w:ascii="Microsoft YaHei UI" w:eastAsia="Microsoft YaHei UI" w:hAnsi="Microsoft YaHei UI" w:hint="eastAsia"/>
          <w:color w:val="BFBFBF"/>
          <w:sz w:val="23"/>
          <w:szCs w:val="23"/>
        </w:rPr>
        <w:t>100</w:t>
      </w:r>
      <w:r>
        <w:rPr>
          <w:rFonts w:ascii="Microsoft YaHei UI" w:eastAsia="Microsoft YaHei UI" w:hAnsi="Microsoft YaHei UI" w:hint="eastAsia"/>
          <w:color w:val="BFBFBF"/>
          <w:sz w:val="23"/>
          <w:szCs w:val="23"/>
        </w:rPr>
        <w:t>为基准的，大于</w:t>
      </w:r>
      <w:r>
        <w:rPr>
          <w:rFonts w:ascii="Microsoft YaHei UI" w:eastAsia="Microsoft YaHei UI" w:hAnsi="Microsoft YaHei UI" w:hint="eastAsia"/>
          <w:color w:val="BFBFBF"/>
          <w:sz w:val="23"/>
          <w:szCs w:val="23"/>
        </w:rPr>
        <w:t>100</w:t>
      </w:r>
      <w:r>
        <w:rPr>
          <w:rFonts w:ascii="Microsoft YaHei UI" w:eastAsia="Microsoft YaHei UI" w:hAnsi="Microsoft YaHei UI" w:hint="eastAsia"/>
          <w:color w:val="BFBFBF"/>
          <w:sz w:val="23"/>
          <w:szCs w:val="23"/>
        </w:rPr>
        <w:t>说明房地产市场过热，小于</w:t>
      </w:r>
      <w:r>
        <w:rPr>
          <w:rFonts w:ascii="Microsoft YaHei UI" w:eastAsia="Microsoft YaHei UI" w:hAnsi="Microsoft YaHei UI" w:hint="eastAsia"/>
          <w:color w:val="BFBFBF"/>
          <w:sz w:val="23"/>
          <w:szCs w:val="23"/>
        </w:rPr>
        <w:t>100</w:t>
      </w:r>
      <w:r>
        <w:rPr>
          <w:rFonts w:ascii="Microsoft YaHei UI" w:eastAsia="Microsoft YaHei UI" w:hAnsi="Microsoft YaHei UI" w:hint="eastAsia"/>
          <w:color w:val="BFBFBF"/>
          <w:sz w:val="23"/>
          <w:szCs w:val="23"/>
        </w:rPr>
        <w:t>说明相反，所以说明从以前到现在这十几年房地产发展还是比较有活力的</w:t>
      </w:r>
    </w:p>
    <w:p w14:paraId="6F858024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/>
          <w:noProof/>
          <w:sz w:val="23"/>
          <w:szCs w:val="23"/>
        </w:rPr>
        <w:drawing>
          <wp:inline distT="0" distB="0" distL="0" distR="0" wp14:anchorId="7590F1C9" wp14:editId="5498A002">
            <wp:extent cx="12020550" cy="9020175"/>
            <wp:effectExtent l="0" t="0" r="0" b="9525"/>
            <wp:docPr id="2" name="图片 2" descr="计算机生成了可选文字:&#10;21·5单位根检验与平稳性检验&#10;定义如果{和独立同分布，期望为0，方差有限(finitevariance），则称{和为“独立白噪21'0&#10;）。换言之，独立白噪声就是期望为0，方差存在的iid序列。&#10;（independentwhitenoise&#10;考虑以下AR（1）模型：&#10;(21.10）&#10;的=0+1的一1+7+0&#10;其中，为时间趋势（如果不含时间趋势，可令：0）“为独立白噪声。考虑以下单边检验：&#10;其中，替代假设为“：&lt;1”，因为我们从理论上认为&gt;1不可能0。如果HO成立，则的为带&#10;漂移项的随机游走；如果不带漂移项，可令=0。在方程（21·10）两边同时减去的一1可得&#10;Ayt：0+“1+7+&#10;其中一一1。对应的原假设与替代假设变为&#10;0：0冯HI：&lt;0&#10;(21.12）&#10;(21.13)&#10;对方程（21.13）作OLS回归，可得估计量及相应的'统计量。此'统计量被称为&#10;“Dickey-Fuller统计量&quot;（简记(E)在stata中记为z(t)。但z（0并不服从渐近正态分布，其&#10;临界值须通过蒙特卡罗模拟来获得六显然，z@越小（绝对值很大的负数），则越倾向于拒绝原&#10;假设。因此,DF检验是左边单侧检验，即其拒绝域只在分布的最左边。&#10;2，AugmentedDickey-Fuller单位根检验（ADF检验）&#10;DF检验使用一阶自回归来检验单位根，要求扰动项{为独立白噪声，故扰动项无自相关。&#10;如果{0}存在自相关，可以引人更高阶的滞后项来控制。假设选择了适当的滞后期p，使得以下&#10;AR）模型的扰动项，}为独立白噪声：&#10;（21·14）&#10;垤如果&#10;证明油于p&#10;命题如果&#10;证明：首先《&#10;由于p&#10;气所还&#10;方鯫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21·5单位根检验与平稳性检验&#10;定义如果{和独立同分布，期望为0，方差有限(finitevariance），则称{和为“独立白噪21'0&#10;）。换言之，独立白噪声就是期望为0，方差存在的iid序列。&#10;（independentwhitenoise&#10;考虑以下AR（1）模型：&#10;(21.10）&#10;的=0+1的一1+7+0&#10;其中，为时间趋势（如果不含时间趋势，可令：0）“为独立白噪声。考虑以下单边检验：&#10;其中，替代假设为“：&lt;1”，因为我们从理论上认为&gt;1不可能0。如果HO成立，则的为带&#10;漂移项的随机游走；如果不带漂移项，可令=0。在方程（21·10）两边同时减去的一1可得&#10;Ayt：0+“1+7+&#10;其中一一1。对应的原假设与替代假设变为&#10;0：0冯HI：&lt;0&#10;(21.12）&#10;(21.13)&#10;对方程（21.13）作OLS回归，可得估计量及相应的'统计量。此'统计量被称为&#10;“Dickey-Fuller统计量&quot;（简记(E)在stata中记为z(t)。但z（0并不服从渐近正态分布，其&#10;临界值须通过蒙特卡罗模拟来获得六显然，z@越小（绝对值很大的负数），则越倾向于拒绝原&#10;假设。因此,DF检验是左边单侧检验，即其拒绝域只在分布的最左边。&#10;2，AugmentedDickey-Fuller单位根检验（ADF检验）&#10;DF检验使用一阶自回归来检验单位根，要求扰动项{为独立白噪声，故扰动项无自相关。&#10;如果{0}存在自相关，可以引人更高阶的滞后项来控制。假设选择了适当的滞后期p，使得以下&#10;AR）模型的扰动项，}为独立白噪声：&#10;（21·14）&#10;垤如果&#10;证明油于p&#10;命题如果&#10;证明：首先《&#10;由于p&#10;气所还&#10;方鯫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0" cy="902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C79B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46A3801E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0976CDA7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2DBC2F79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Calibri" w:eastAsia="Microsoft YaHei UI" w:hAnsi="Calibri" w:cs="Calibri"/>
          <w:sz w:val="23"/>
          <w:szCs w:val="23"/>
        </w:rPr>
        <w:t xml:space="preserve">Dfuller </w:t>
      </w:r>
      <w:r>
        <w:rPr>
          <w:rFonts w:ascii="Microsoft YaHei UI" w:eastAsia="Microsoft YaHei UI" w:hAnsi="Microsoft YaHei UI" w:hint="eastAsia"/>
          <w:sz w:val="23"/>
          <w:szCs w:val="23"/>
        </w:rPr>
        <w:t>原假设，</w:t>
      </w:r>
      <w:r>
        <w:rPr>
          <w:rFonts w:ascii="Calibri" w:eastAsia="Microsoft YaHei UI" w:hAnsi="Calibri" w:cs="Calibri"/>
          <w:sz w:val="23"/>
          <w:szCs w:val="23"/>
        </w:rPr>
        <w:t>P</w:t>
      </w:r>
      <w:r>
        <w:rPr>
          <w:rFonts w:ascii="Microsoft YaHei UI" w:eastAsia="Microsoft YaHei UI" w:hAnsi="Microsoft YaHei UI" w:hint="eastAsia"/>
          <w:sz w:val="23"/>
          <w:szCs w:val="23"/>
        </w:rPr>
        <w:t>值，统计量，临界值</w:t>
      </w:r>
    </w:p>
    <w:p w14:paraId="27760A74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767BC147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协整：</w:t>
      </w:r>
    </w:p>
    <w:p w14:paraId="04B2C964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Cambria Math" w:eastAsia="Microsoft YaHei UI" w:hAnsi="Cambria Math" w:hint="eastAsia"/>
          <w:sz w:val="23"/>
          <w:szCs w:val="23"/>
          <w:lang w:val=""/>
        </w:rPr>
      </w:pPr>
      <w:r>
        <w:rPr>
          <w:rFonts w:ascii="Cambria Math" w:eastAsia="Microsoft YaHei UI" w:hAnsi="Cambria Math"/>
          <w:noProof/>
          <w:sz w:val="23"/>
          <w:szCs w:val="23"/>
          <w:lang w:val=""/>
        </w:rPr>
        <w:drawing>
          <wp:inline distT="0" distB="0" distL="0" distR="0" wp14:anchorId="7E3F4D75" wp14:editId="5D8B6E73">
            <wp:extent cx="3429000" cy="361950"/>
            <wp:effectExtent l="0" t="0" r="0" b="0"/>
            <wp:docPr id="3" name="图片 3" descr="C:\F4820E65\F0BD05EB-F426-4C2A-95E1-D20E8468FBB2.files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F4820E65\F0BD05EB-F426-4C2A-95E1-D20E8468FBB2.files\image0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B9E6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Cambria Math" w:eastAsia="Microsoft YaHei UI" w:hAnsi="Cambria Math"/>
          <w:sz w:val="23"/>
          <w:szCs w:val="23"/>
          <w:lang w:val=""/>
        </w:rPr>
      </w:pPr>
      <w:r>
        <w:rPr>
          <w:rFonts w:ascii="Cambria Math" w:eastAsia="Microsoft YaHei UI" w:hAnsi="Cambria Math"/>
          <w:noProof/>
          <w:sz w:val="23"/>
          <w:szCs w:val="23"/>
          <w:lang w:val=""/>
        </w:rPr>
        <w:drawing>
          <wp:inline distT="0" distB="0" distL="0" distR="0" wp14:anchorId="49190FD0" wp14:editId="618076D4">
            <wp:extent cx="3390900" cy="361950"/>
            <wp:effectExtent l="0" t="0" r="0" b="0"/>
            <wp:docPr id="4" name="图片 4" descr="C:\F4820E65\F0BD05EB-F426-4C2A-95E1-D20E8468FBB2.files\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F4820E65\F0BD05EB-F426-4C2A-95E1-D20E8468FBB2.files\image0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8BB7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/>
          <w:sz w:val="23"/>
          <w:szCs w:val="23"/>
        </w:rPr>
      </w:pPr>
      <w:r>
        <w:rPr>
          <w:rFonts w:ascii="Microsoft YaHei UI" w:eastAsia="Microsoft YaHei UI" w:hAnsi="Microsoft YaHei UI"/>
          <w:noProof/>
          <w:sz w:val="23"/>
          <w:szCs w:val="23"/>
        </w:rPr>
        <w:drawing>
          <wp:inline distT="0" distB="0" distL="0" distR="0" wp14:anchorId="185B7BCF" wp14:editId="08A9710B">
            <wp:extent cx="5010150" cy="381000"/>
            <wp:effectExtent l="0" t="0" r="0" b="0"/>
            <wp:docPr id="5" name="图片 5" descr="C:\F4820E65\F0BD05EB-F426-4C2A-95E1-D20E8468FBB2.files\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F4820E65\F0BD05EB-F426-4C2A-95E1-D20E8468FBB2.files\image0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B92E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在</w:t>
      </w:r>
      <w:r>
        <w:rPr>
          <w:rFonts w:ascii="Microsoft YaHei UI" w:eastAsia="Microsoft YaHei UI" w:hAnsi="Microsoft YaHei UI" w:hint="eastAsia"/>
          <w:sz w:val="23"/>
          <w:szCs w:val="23"/>
        </w:rPr>
        <w:t>yt</w:t>
      </w:r>
      <w:r>
        <w:rPr>
          <w:rFonts w:ascii="Microsoft YaHei UI" w:eastAsia="Microsoft YaHei UI" w:hAnsi="Microsoft YaHei UI" w:hint="eastAsia"/>
          <w:sz w:val="23"/>
          <w:szCs w:val="23"/>
        </w:rPr>
        <w:t>和</w:t>
      </w:r>
      <w:r>
        <w:rPr>
          <w:rFonts w:ascii="Microsoft YaHei UI" w:eastAsia="Microsoft YaHei UI" w:hAnsi="Microsoft YaHei UI" w:hint="eastAsia"/>
          <w:sz w:val="23"/>
          <w:szCs w:val="23"/>
        </w:rPr>
        <w:t>xt</w:t>
      </w:r>
      <w:r>
        <w:rPr>
          <w:rFonts w:ascii="Microsoft YaHei UI" w:eastAsia="Microsoft YaHei UI" w:hAnsi="Microsoft YaHei UI" w:hint="eastAsia"/>
          <w:sz w:val="23"/>
          <w:szCs w:val="23"/>
        </w:rPr>
        <w:t>存在协整关系的原假设下，他们的</w:t>
      </w:r>
      <w:r>
        <w:rPr>
          <w:rFonts w:ascii="Microsoft YaHei UI" w:eastAsia="Microsoft YaHei UI" w:hAnsi="Microsoft YaHei UI" w:hint="eastAsia"/>
          <w:sz w:val="23"/>
          <w:szCs w:val="23"/>
        </w:rPr>
        <w:t>OLS</w:t>
      </w:r>
      <w:r>
        <w:rPr>
          <w:rFonts w:ascii="Microsoft YaHei UI" w:eastAsia="Microsoft YaHei UI" w:hAnsi="Microsoft YaHei UI" w:hint="eastAsia"/>
          <w:sz w:val="23"/>
          <w:szCs w:val="23"/>
        </w:rPr>
        <w:t>残差是平稳过程，用</w:t>
      </w:r>
      <w:r>
        <w:rPr>
          <w:rFonts w:ascii="Microsoft YaHei UI" w:eastAsia="Microsoft YaHei UI" w:hAnsi="Microsoft YaHei UI" w:hint="eastAsia"/>
          <w:sz w:val="23"/>
          <w:szCs w:val="23"/>
        </w:rPr>
        <w:t>ADF</w:t>
      </w:r>
      <w:r>
        <w:rPr>
          <w:rFonts w:ascii="Microsoft YaHei UI" w:eastAsia="Microsoft YaHei UI" w:hAnsi="Microsoft YaHei UI" w:hint="eastAsia"/>
          <w:sz w:val="23"/>
          <w:szCs w:val="23"/>
        </w:rPr>
        <w:t>检验，但是临界值和普</w:t>
      </w:r>
      <w:r>
        <w:rPr>
          <w:rFonts w:ascii="Microsoft YaHei UI" w:eastAsia="Microsoft YaHei UI" w:hAnsi="Microsoft YaHei UI" w:hint="eastAsia"/>
          <w:sz w:val="23"/>
          <w:szCs w:val="23"/>
        </w:rPr>
        <w:t>通的</w:t>
      </w:r>
      <w:r>
        <w:rPr>
          <w:rFonts w:ascii="Microsoft YaHei UI" w:eastAsia="Microsoft YaHei UI" w:hAnsi="Microsoft YaHei UI" w:hint="eastAsia"/>
          <w:sz w:val="23"/>
          <w:szCs w:val="23"/>
        </w:rPr>
        <w:t>ADF</w:t>
      </w:r>
      <w:r>
        <w:rPr>
          <w:rFonts w:ascii="Microsoft YaHei UI" w:eastAsia="Microsoft YaHei UI" w:hAnsi="Microsoft YaHei UI" w:hint="eastAsia"/>
          <w:sz w:val="23"/>
          <w:szCs w:val="23"/>
        </w:rPr>
        <w:t>检验不一样</w:t>
      </w:r>
    </w:p>
    <w:p w14:paraId="52F50169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1C4401F9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格兰杰因果检验</w:t>
      </w:r>
    </w:p>
    <w:p w14:paraId="780C655A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Cambria Math" w:eastAsia="Microsoft YaHei UI" w:hAnsi="Cambria Math" w:hint="eastAsia"/>
          <w:sz w:val="23"/>
          <w:szCs w:val="23"/>
          <w:lang w:val=""/>
        </w:rPr>
      </w:pPr>
      <w:r>
        <w:rPr>
          <w:rFonts w:ascii="Cambria Math" w:eastAsia="Microsoft YaHei UI" w:hAnsi="Cambria Math"/>
          <w:noProof/>
          <w:sz w:val="23"/>
          <w:szCs w:val="23"/>
          <w:lang w:val=""/>
        </w:rPr>
        <w:drawing>
          <wp:inline distT="0" distB="0" distL="0" distR="0" wp14:anchorId="6762795A" wp14:editId="47D6610A">
            <wp:extent cx="6324600" cy="971550"/>
            <wp:effectExtent l="0" t="0" r="0" b="0"/>
            <wp:docPr id="6" name="图片 6" descr="C:\F4820E65\F0BD05EB-F426-4C2A-95E1-D20E8468FBB2.file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F4820E65\F0BD05EB-F426-4C2A-95E1-D20E8468FBB2.files\image0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91ADF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原假设</w:t>
      </w:r>
      <w:r>
        <w:rPr>
          <w:rFonts w:ascii="Calibri" w:eastAsia="Microsoft YaHei UI" w:hAnsi="Calibri" w:cs="Calibri"/>
          <w:sz w:val="23"/>
          <w:szCs w:val="23"/>
        </w:rPr>
        <w:t>beta</w:t>
      </w:r>
      <w:r>
        <w:rPr>
          <w:rFonts w:ascii="Microsoft YaHei UI" w:eastAsia="Microsoft YaHei UI" w:hAnsi="Microsoft YaHei UI" w:hint="eastAsia"/>
          <w:sz w:val="23"/>
          <w:szCs w:val="23"/>
        </w:rPr>
        <w:t>全部为</w:t>
      </w:r>
      <w:r>
        <w:rPr>
          <w:rFonts w:ascii="Microsoft YaHei UI" w:eastAsia="Microsoft YaHei UI" w:hAnsi="Microsoft YaHei UI" w:hint="eastAsia"/>
          <w:sz w:val="23"/>
          <w:szCs w:val="23"/>
        </w:rPr>
        <w:t>0</w:t>
      </w:r>
      <w:r>
        <w:rPr>
          <w:rFonts w:ascii="Microsoft YaHei UI" w:eastAsia="Microsoft YaHei UI" w:hAnsi="Microsoft YaHei UI" w:hint="eastAsia"/>
          <w:sz w:val="23"/>
          <w:szCs w:val="23"/>
        </w:rPr>
        <w:t>，也就是说</w:t>
      </w:r>
      <w:r>
        <w:rPr>
          <w:rFonts w:ascii="Microsoft YaHei UI" w:eastAsia="Microsoft YaHei UI" w:hAnsi="Microsoft YaHei UI" w:hint="eastAsia"/>
          <w:sz w:val="23"/>
          <w:szCs w:val="23"/>
        </w:rPr>
        <w:t>x</w:t>
      </w:r>
      <w:r>
        <w:rPr>
          <w:rFonts w:ascii="Microsoft YaHei UI" w:eastAsia="Microsoft YaHei UI" w:hAnsi="Microsoft YaHei UI" w:hint="eastAsia"/>
          <w:sz w:val="23"/>
          <w:szCs w:val="23"/>
        </w:rPr>
        <w:t>的过去值对预测</w:t>
      </w:r>
      <w:r>
        <w:rPr>
          <w:rFonts w:ascii="Microsoft YaHei UI" w:eastAsia="Microsoft YaHei UI" w:hAnsi="Microsoft YaHei UI" w:hint="eastAsia"/>
          <w:sz w:val="23"/>
          <w:szCs w:val="23"/>
        </w:rPr>
        <w:t>y</w:t>
      </w:r>
      <w:r>
        <w:rPr>
          <w:rFonts w:ascii="Microsoft YaHei UI" w:eastAsia="Microsoft YaHei UI" w:hAnsi="Microsoft YaHei UI" w:hint="eastAsia"/>
          <w:sz w:val="23"/>
          <w:szCs w:val="23"/>
        </w:rPr>
        <w:t>的未来值没有帮助</w:t>
      </w:r>
    </w:p>
    <w:p w14:paraId="22A88327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不是真正意义上的因果关系</w:t>
      </w:r>
      <w:r>
        <w:rPr>
          <w:rFonts w:ascii="Microsoft YaHei UI" w:eastAsia="Microsoft YaHei UI" w:hAnsi="Microsoft YaHei UI" w:hint="eastAsia"/>
          <w:sz w:val="23"/>
          <w:szCs w:val="23"/>
        </w:rPr>
        <w:t>，而是一种变量是否对另一种变量有预测能力</w:t>
      </w:r>
    </w:p>
    <w:p w14:paraId="35BC341A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1027A77C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Calibri" w:eastAsia="Microsoft YaHei UI" w:hAnsi="Calibri" w:cs="Calibri"/>
          <w:sz w:val="23"/>
          <w:szCs w:val="23"/>
        </w:rPr>
        <w:t xml:space="preserve">VECM </w:t>
      </w:r>
      <w:r>
        <w:rPr>
          <w:rFonts w:ascii="Microsoft YaHei UI" w:eastAsia="Microsoft YaHei UI" w:hAnsi="Microsoft YaHei UI" w:hint="eastAsia"/>
          <w:sz w:val="23"/>
          <w:szCs w:val="23"/>
        </w:rPr>
        <w:t>向量误差修正模型</w:t>
      </w:r>
    </w:p>
    <w:p w14:paraId="5C50F1F3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因为有</w:t>
      </w:r>
      <w:r>
        <w:rPr>
          <w:rFonts w:ascii="Microsoft YaHei UI" w:eastAsia="Microsoft YaHei UI" w:hAnsi="Microsoft YaHei UI" w:hint="eastAsia"/>
          <w:sz w:val="23"/>
          <w:szCs w:val="23"/>
        </w:rPr>
        <w:t>6</w:t>
      </w:r>
      <w:r>
        <w:rPr>
          <w:rFonts w:ascii="Microsoft YaHei UI" w:eastAsia="Microsoft YaHei UI" w:hAnsi="Microsoft YaHei UI" w:hint="eastAsia"/>
          <w:sz w:val="23"/>
          <w:szCs w:val="23"/>
        </w:rPr>
        <w:t>个关系，我们需要凭借经济学知识剔除不正确的长期均衡关系，这是我们下一步需要做的</w:t>
      </w:r>
    </w:p>
    <w:p w14:paraId="285ED012" w14:textId="77777777" w:rsidR="00000000" w:rsidRDefault="00040CB7">
      <w:pPr>
        <w:pStyle w:val="a3"/>
        <w:spacing w:before="0" w:beforeAutospacing="0" w:after="0" w:afterAutospacing="0"/>
        <w:ind w:left="54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然后因为我们有</w:t>
      </w:r>
      <w:r>
        <w:rPr>
          <w:rFonts w:ascii="Microsoft YaHei UI" w:eastAsia="Microsoft YaHei UI" w:hAnsi="Microsoft YaHei UI" w:hint="eastAsia"/>
          <w:sz w:val="23"/>
          <w:szCs w:val="23"/>
        </w:rPr>
        <w:t>9</w:t>
      </w:r>
      <w:r>
        <w:rPr>
          <w:rFonts w:ascii="Microsoft YaHei UI" w:eastAsia="Microsoft YaHei UI" w:hAnsi="Microsoft YaHei UI" w:hint="eastAsia"/>
          <w:sz w:val="23"/>
          <w:szCs w:val="23"/>
        </w:rPr>
        <w:t>个变量，</w:t>
      </w:r>
      <w:r>
        <w:rPr>
          <w:rFonts w:ascii="Microsoft YaHei UI" w:eastAsia="Microsoft YaHei UI" w:hAnsi="Microsoft YaHei UI" w:hint="eastAsia"/>
          <w:sz w:val="23"/>
          <w:szCs w:val="23"/>
        </w:rPr>
        <w:t>6</w:t>
      </w:r>
      <w:r>
        <w:rPr>
          <w:rFonts w:ascii="Microsoft YaHei UI" w:eastAsia="Microsoft YaHei UI" w:hAnsi="Microsoft YaHei UI" w:hint="eastAsia"/>
          <w:sz w:val="23"/>
          <w:szCs w:val="23"/>
        </w:rPr>
        <w:t>个协整关系，最后得到的</w:t>
      </w:r>
      <w:r>
        <w:rPr>
          <w:rFonts w:ascii="Microsoft YaHei UI" w:eastAsia="Microsoft YaHei UI" w:hAnsi="Microsoft YaHei UI" w:hint="eastAsia"/>
          <w:sz w:val="23"/>
          <w:szCs w:val="23"/>
        </w:rPr>
        <w:t>VECM stata</w:t>
      </w:r>
      <w:r>
        <w:rPr>
          <w:rFonts w:ascii="Microsoft YaHei UI" w:eastAsia="Microsoft YaHei UI" w:hAnsi="Microsoft YaHei UI" w:hint="eastAsia"/>
          <w:sz w:val="23"/>
          <w:szCs w:val="23"/>
        </w:rPr>
        <w:t>运行结果非常长，我们就没有放上来了</w:t>
      </w:r>
    </w:p>
    <w:p w14:paraId="5860FF61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1C3218F6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所以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上证综合指数与国内生产总值和货币供应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量互为格兰杰成因</w:t>
      </w:r>
      <w:r>
        <w:rPr>
          <w:rFonts w:ascii="Microsoft YaHei UI" w:eastAsia="Microsoft YaHei UI" w:hAnsi="Microsoft YaHei UI" w:hint="eastAsia"/>
          <w:sz w:val="23"/>
          <w:szCs w:val="23"/>
        </w:rPr>
        <w:t>:</w:t>
      </w:r>
      <w:r>
        <w:rPr>
          <w:rFonts w:ascii="Microsoft YaHei UI" w:eastAsia="Microsoft YaHei UI" w:hAnsi="Microsoft YaHei UI" w:hint="eastAsia"/>
          <w:sz w:val="23"/>
          <w:szCs w:val="23"/>
        </w:rPr>
        <w:t>利率与上证综合指数之间不存在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格兰杰因果关系。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由是可以看出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货币供应量与上证综合指数之间</w:t>
      </w:r>
    </w:p>
    <w:p w14:paraId="48F45E59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存在长期的协整关系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而且是上证综合指数的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Granger </w:t>
      </w:r>
      <w:r>
        <w:rPr>
          <w:rFonts w:ascii="Microsoft YaHei UI" w:eastAsia="Microsoft YaHei UI" w:hAnsi="Microsoft YaHei UI" w:hint="eastAsia"/>
          <w:sz w:val="23"/>
          <w:szCs w:val="23"/>
        </w:rPr>
        <w:t>成因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是影响股价指数变动的一个直接原因</w:t>
      </w:r>
      <w:r>
        <w:rPr>
          <w:rFonts w:ascii="Microsoft YaHei UI" w:eastAsia="Microsoft YaHei UI" w:hAnsi="Microsoft YaHei UI" w:hint="eastAsia"/>
          <w:sz w:val="23"/>
          <w:szCs w:val="23"/>
        </w:rPr>
        <w:t>:</w:t>
      </w:r>
      <w:r>
        <w:rPr>
          <w:rFonts w:ascii="Microsoft YaHei UI" w:eastAsia="Microsoft YaHei UI" w:hAnsi="Microsoft YaHei UI" w:hint="eastAsia"/>
          <w:sz w:val="23"/>
          <w:szCs w:val="23"/>
        </w:rPr>
        <w:t>利率与上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证综合指数之间存在长期的协整关系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但不是上证综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合指数的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Granger </w:t>
      </w:r>
      <w:r>
        <w:rPr>
          <w:rFonts w:ascii="Microsoft YaHei UI" w:eastAsia="Microsoft YaHei UI" w:hAnsi="Microsoft YaHei UI" w:hint="eastAsia"/>
          <w:sz w:val="23"/>
          <w:szCs w:val="23"/>
        </w:rPr>
        <w:t>成因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不会直接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( </w:t>
      </w:r>
      <w:r>
        <w:rPr>
          <w:rFonts w:ascii="Microsoft YaHei UI" w:eastAsia="Microsoft YaHei UI" w:hAnsi="Microsoft YaHei UI" w:hint="eastAsia"/>
          <w:sz w:val="23"/>
          <w:szCs w:val="23"/>
        </w:rPr>
        <w:t>只能间接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) </w:t>
      </w:r>
      <w:r>
        <w:rPr>
          <w:rFonts w:ascii="Microsoft YaHei UI" w:eastAsia="Microsoft YaHei UI" w:hAnsi="Microsoft YaHei UI" w:hint="eastAsia"/>
          <w:sz w:val="23"/>
          <w:szCs w:val="23"/>
        </w:rPr>
        <w:t>影响股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价指数变动。因此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利率虽然是中央银行货币政策传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导非常重要的渠道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但中央银行的货币政策对证券市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场的传导主要是通过货币供应量来实现的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这在一定</w:t>
      </w:r>
    </w:p>
    <w:p w14:paraId="61D45306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程度上阻碍了股票市场的货币政策传导效率</w:t>
      </w:r>
      <w:r>
        <w:rPr>
          <w:rFonts w:ascii="Microsoft YaHei UI" w:eastAsia="Microsoft YaHei UI" w:hAnsi="Microsoft YaHei UI" w:hint="eastAsia"/>
          <w:sz w:val="23"/>
          <w:szCs w:val="23"/>
        </w:rPr>
        <w:t>。</w:t>
      </w:r>
    </w:p>
    <w:p w14:paraId="2981ED17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78715202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p w14:paraId="2E6421F2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第一</w:t>
      </w:r>
      <w:r>
        <w:rPr>
          <w:rFonts w:ascii="Microsoft YaHei UI" w:eastAsia="Microsoft YaHei UI" w:hAnsi="Microsoft YaHei UI" w:hint="eastAsia"/>
          <w:sz w:val="23"/>
          <w:szCs w:val="23"/>
        </w:rPr>
        <w:t>,</w:t>
      </w:r>
      <w:r>
        <w:rPr>
          <w:rFonts w:ascii="Microsoft YaHei UI" w:eastAsia="Microsoft YaHei UI" w:hAnsi="Microsoft YaHei UI" w:hint="eastAsia"/>
          <w:sz w:val="23"/>
          <w:szCs w:val="23"/>
        </w:rPr>
        <w:t>协整结果从数理上证实了股经背离的现象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即中国股票市场并非宏观经济的晴雨表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其发展与经济增长相背离。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本文认为其根本原因在于由于股票市场政府直接干预色彩较强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市场发展至今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上市公司的质量不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高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信息披露机制不健全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从而导致我国股票市场的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发展还不能满足生产力发展的要求。因此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我们应当</w:t>
      </w:r>
    </w:p>
    <w:p w14:paraId="52770745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对股票市场的监管手段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从而推动股票市场的有序发展。进入新世纪的前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20 </w:t>
      </w:r>
      <w:r>
        <w:rPr>
          <w:rFonts w:ascii="Microsoft YaHei UI" w:eastAsia="Microsoft YaHei UI" w:hAnsi="Microsoft YaHei UI" w:hint="eastAsia"/>
          <w:sz w:val="23"/>
          <w:szCs w:val="23"/>
        </w:rPr>
        <w:t>年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在进一步完善社会主义市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场经济体制的条件下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宏观经济要想继续保持高速增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长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股票市场能否稳定发展将是一个关键性的</w:t>
      </w:r>
      <w:r>
        <w:rPr>
          <w:rFonts w:ascii="Microsoft YaHei UI" w:eastAsia="Microsoft YaHei UI" w:hAnsi="Microsoft YaHei UI" w:hint="eastAsia"/>
          <w:sz w:val="23"/>
          <w:szCs w:val="23"/>
        </w:rPr>
        <w:t>制约因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素。所以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股票市场的发展是关乎宏观经济全局的一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个战略性问题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: </w:t>
      </w:r>
      <w:r>
        <w:rPr>
          <w:rFonts w:ascii="Microsoft YaHei UI" w:eastAsia="Microsoft YaHei UI" w:hAnsi="Microsoft YaHei UI" w:hint="eastAsia"/>
          <w:sz w:val="23"/>
          <w:szCs w:val="23"/>
        </w:rPr>
        <w:t>不仅中国证监会应加大工作力度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而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且国家各宏观部门都应给予呵护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从长远规划、体制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改革、财税政策、货币政策、法制建设等方面促其发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展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不断提高股票市场与宏观经济的关联度。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第二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实证表明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股票市场在一定程度上阻碍了</w:t>
      </w:r>
    </w:p>
    <w:p w14:paraId="3B5ED169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货币政策传导效率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股价指数与货币供应量及利率之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间都存在着负向变动关系。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我国利率的非市场化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货币市场与资本市场的割</w:t>
      </w:r>
    </w:p>
    <w:p w14:paraId="3F947FD6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裂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使得中央银行的利率政策对股票市场影响大多来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自政策性影响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而非利率传导影响。我国利</w:t>
      </w:r>
      <w:r>
        <w:rPr>
          <w:rFonts w:ascii="Microsoft YaHei UI" w:eastAsia="Microsoft YaHei UI" w:hAnsi="Microsoft YaHei UI" w:hint="eastAsia"/>
          <w:sz w:val="23"/>
          <w:szCs w:val="23"/>
        </w:rPr>
        <w:t>率市场化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尚未全放开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利率调整对股市还是短期的政策效应。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因此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政府应当加快利率的市场化改革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促进资</w:t>
      </w:r>
    </w:p>
    <w:p w14:paraId="3EF914A7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本市场与货币市场的互动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协调发展货币市场与资本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 </w:t>
      </w:r>
      <w:r>
        <w:rPr>
          <w:rFonts w:ascii="Microsoft YaHei UI" w:eastAsia="Microsoft YaHei UI" w:hAnsi="Microsoft YaHei UI" w:hint="eastAsia"/>
          <w:sz w:val="23"/>
          <w:szCs w:val="23"/>
        </w:rPr>
        <w:t>市场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从而保持实体经济与虚拟经济资金的合理比</w:t>
      </w:r>
    </w:p>
    <w:p w14:paraId="749A1153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重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推动股票市场与宏观经济的协调发展。</w:t>
      </w:r>
    </w:p>
    <w:p w14:paraId="55978201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转变政府职能</w:t>
      </w:r>
      <w:r>
        <w:rPr>
          <w:rFonts w:ascii="Microsoft YaHei UI" w:eastAsia="Microsoft YaHei UI" w:hAnsi="Microsoft YaHei UI" w:hint="eastAsia"/>
          <w:sz w:val="23"/>
          <w:szCs w:val="23"/>
        </w:rPr>
        <w:t xml:space="preserve">, </w:t>
      </w:r>
      <w:r>
        <w:rPr>
          <w:rFonts w:ascii="Microsoft YaHei UI" w:eastAsia="Microsoft YaHei UI" w:hAnsi="Microsoft YaHei UI" w:hint="eastAsia"/>
          <w:sz w:val="23"/>
          <w:szCs w:val="23"/>
        </w:rPr>
        <w:t>逐步推进股票市场的制度建设和完善</w:t>
      </w:r>
    </w:p>
    <w:p w14:paraId="30634D16" w14:textId="77777777" w:rsidR="00000000" w:rsidRDefault="00040CB7">
      <w:pPr>
        <w:pStyle w:val="a3"/>
        <w:spacing w:before="0" w:beforeAutospacing="0" w:after="0" w:afterAutospacing="0"/>
        <w:rPr>
          <w:rFonts w:ascii="Microsoft YaHei UI" w:eastAsia="Microsoft YaHei UI" w:hAnsi="Microsoft YaHei UI" w:hint="eastAsia"/>
          <w:sz w:val="23"/>
          <w:szCs w:val="23"/>
        </w:rPr>
      </w:pPr>
      <w:r>
        <w:rPr>
          <w:rFonts w:ascii="Microsoft YaHei UI" w:eastAsia="Microsoft YaHei UI" w:hAnsi="Microsoft YaHei UI" w:hint="eastAsia"/>
          <w:sz w:val="23"/>
          <w:szCs w:val="23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B80FD" w14:textId="77777777" w:rsidR="00040CB7" w:rsidRDefault="00040CB7" w:rsidP="00040CB7">
      <w:r>
        <w:separator/>
      </w:r>
    </w:p>
  </w:endnote>
  <w:endnote w:type="continuationSeparator" w:id="0">
    <w:p w14:paraId="3BE96372" w14:textId="77777777" w:rsidR="00040CB7" w:rsidRDefault="00040CB7" w:rsidP="00040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559354" w14:textId="77777777" w:rsidR="00040CB7" w:rsidRDefault="00040CB7" w:rsidP="00040CB7">
      <w:r>
        <w:separator/>
      </w:r>
    </w:p>
  </w:footnote>
  <w:footnote w:type="continuationSeparator" w:id="0">
    <w:p w14:paraId="08D8A779" w14:textId="77777777" w:rsidR="00040CB7" w:rsidRDefault="00040CB7" w:rsidP="00040C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B7"/>
    <w:rsid w:val="0004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64861D"/>
  <w15:chartTrackingRefBased/>
  <w15:docId w15:val="{6DB42C48-3005-4A53-9C70-F494BD22E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040C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40CB7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40CB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40CB7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723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313</Words>
  <Characters>1789</Characters>
  <Application>Microsoft Office Word</Application>
  <DocSecurity>0</DocSecurity>
  <Lines>14</Lines>
  <Paragraphs>4</Paragraphs>
  <ScaleCrop>false</ScaleCrop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Verlaski</dc:creator>
  <cp:keywords/>
  <dc:description/>
  <cp:lastModifiedBy>Chen Verlaski</cp:lastModifiedBy>
  <cp:revision>2</cp:revision>
  <dcterms:created xsi:type="dcterms:W3CDTF">2018-09-12T02:17:00Z</dcterms:created>
  <dcterms:modified xsi:type="dcterms:W3CDTF">2018-09-12T02:17:00Z</dcterms:modified>
</cp:coreProperties>
</file>