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p>
    <w:p>
      <w:pPr>
        <w:spacing w:after="120" w:before="0"/>
        <w:jc w:val="center"/>
      </w:pPr>
      <w:r>
        <w:rPr>
          <w:rFonts w:ascii="Arial" w:cs="Arial" w:eastAsia="Arial" w:hAnsi="Arial"/>
          <w:b/>
          <w:bCs/>
          <w:color w:val="000000"/>
          <w:sz w:val="36"/>
          <w:szCs w:val="36"/>
        </w:rPr>
        <w:t xml:space="preserve">Bridging the Third- and Fourth-Party Visibility Gap:</w:t>
      </w:r>
    </w:p>
    <w:p>
      <w:pPr>
        <w:spacing w:after="80" w:before="0"/>
        <w:jc w:val="center"/>
      </w:pPr>
      <w:r>
        <w:rPr>
          <w:rFonts w:ascii="Arial" w:cs="Arial" w:eastAsia="Arial" w:hAnsi="Arial"/>
          <w:b/>
          <w:bCs/>
          <w:color w:val="000000"/>
          <w:sz w:val="28"/>
          <w:szCs w:val="28"/>
        </w:rPr>
        <w:t xml:space="preserve">A Continuous Monitoring Framework for Multi-Cloud Ecosystems in Indian Enterprises</w:t>
      </w:r>
    </w:p>
    <w:p>
      <w:pPr>
        <w:spacing w:after="80" w:before="40"/>
        <w:jc w:val="center"/>
      </w:pPr>
      <w:r>
        <w:rPr>
          <w:rFonts w:ascii="Arial" w:cs="Arial" w:eastAsia="Arial" w:hAnsi="Arial"/>
          <w:i/>
          <w:iCs/>
          <w:color w:val="404040"/>
          <w:sz w:val="22"/>
          <w:szCs w:val="22"/>
        </w:rPr>
        <w:t xml:space="preserve">Empirical Evaluation of Exposure Time Reduction Using SBOM Exchange, Security Ratings, and DPDPA-Aligned Contractual Audits</w:t>
      </w:r>
    </w:p>
    <w:p/>
    <w:p>
      <w:pPr>
        <w:pStyle w:val="Heading1"/>
        <w:spacing w:after="120" w:before="300"/>
      </w:pPr>
      <w:r>
        <w:rPr>
          <w:rFonts w:ascii="Arial" w:cs="Arial" w:eastAsia="Arial" w:hAnsi="Arial"/>
          <w:b/>
          <w:bCs/>
          <w:color w:val="000000"/>
          <w:sz w:val="28"/>
          <w:szCs w:val="28"/>
        </w:rPr>
        <w:t xml:space="preserve">Abstract</w:t>
      </w:r>
    </w:p>
    <w:p>
      <w:pPr>
        <w:spacing w:after="60" w:before="60" w:line="276"/>
        <w:jc w:val="both"/>
      </w:pPr>
      <w:r>
        <w:rPr>
          <w:rFonts w:ascii="Arial" w:cs="Arial" w:eastAsia="Arial" w:hAnsi="Arial"/>
          <w:sz w:val="22"/>
          <w:szCs w:val="22"/>
        </w:rPr>
        <w:t xml:space="preserve">Third-party risk management (TPRM) programs in Indian enterprises face a widening detection gap: quarterly point-in-time vendor assessments leave cloud-hosted workloads unmonitored for up to 90 days, while the Digital Personal Data Protection Act (DPDPA) 2023 mandates breach notification within 72 hours. This paper measures the gap quantitatively and presents a continuous monitoring framework that addresses it. The framework integrates three evidence streams — SBOM-based technical scanning via Syft and Grype, external vendor security ratings, and DPDPA-triggered audit escalation — deployed over a Kubernetes-based lab simulating a multi-cloud, multi-tier vendor chain.</w:t>
      </w:r>
    </w:p>
    <w:p>
      <w:pPr>
        <w:spacing w:after="60" w:before="60" w:line="276"/>
        <w:jc w:val="both"/>
      </w:pPr>
      <w:r>
        <w:rPr>
          <w:rFonts w:ascii="Arial" w:cs="Arial" w:eastAsia="Arial" w:hAnsi="Arial"/>
          <w:sz w:val="22"/>
          <w:szCs w:val="22"/>
        </w:rPr>
        <w:t xml:space="preserve">In 10 five-minute scan cycles against two nginx deployments representing vulnerable and patched vendor components, the continuous arm achieved a mean time to detect (MTTD) of approximately 5 minutes versus the 90-day periodic baseline, yielding a 99.99% MTTD reduction. The framework detected 67 critical and 432 high CVEs in real time, fired DPDPA audit triggers in 8 of 10 cycles (80%), and cut the false positive rate from 13.2% to 7.4% — a 43.9% improvement. The entire pipeline runs on open-source tooling and is reproducible on a single laptop or free cloud tier. To our knowledge, this is the first empirical study providing MTTD measurements for TPRM in DPDPA-regulated, fourth-party-inclusive multi-cloud environments in India.</w:t>
      </w:r>
    </w:p>
    <w:p>
      <w:pPr>
        <w:spacing w:after="60" w:before="60" w:line="276"/>
        <w:jc w:val="both"/>
      </w:pPr>
      <w:r>
        <w:rPr>
          <w:rFonts w:ascii="Arial" w:cs="Arial" w:eastAsia="Arial" w:hAnsi="Arial"/>
          <w:i/>
          <w:iCs/>
          <w:color w:val="444444"/>
          <w:sz w:val="22"/>
          <w:szCs w:val="22"/>
        </w:rPr>
        <w:t xml:space="preserve">Keywords: Third-party risk management, SBOM, DPDPA, continuous monitoring, Kubernetes, multi-cloud, vulnerability detection, MTTD, false positive rate.</w:t>
      </w:r>
    </w:p>
    <w:p/>
    <w:p>
      <w:pPr>
        <w:pStyle w:val="Heading1"/>
        <w:spacing w:after="120" w:before="300"/>
      </w:pPr>
      <w:r>
        <w:rPr>
          <w:rFonts w:ascii="Arial" w:cs="Arial" w:eastAsia="Arial" w:hAnsi="Arial"/>
          <w:b/>
          <w:bCs/>
          <w:color w:val="000000"/>
          <w:sz w:val="28"/>
          <w:szCs w:val="28"/>
        </w:rPr>
        <w:t xml:space="preserve">I. Introduction</w:t>
      </w:r>
    </w:p>
    <w:p>
      <w:pPr>
        <w:spacing w:after="60" w:before="60" w:line="276"/>
        <w:jc w:val="both"/>
      </w:pPr>
      <w:r>
        <w:rPr>
          <w:rFonts w:ascii="Arial" w:cs="Arial" w:eastAsia="Arial" w:hAnsi="Arial"/>
          <w:sz w:val="22"/>
          <w:szCs w:val="22"/>
        </w:rPr>
        <w:t xml:space="preserve">On January 4, 2024, a fourth-party breach at a cloud sub-processor exposed records belonging to 36 million customers of a major Indian fintech platform. The data fiduciary had completed its last quarterly vendor assessment five weeks earlier and had no automated mechanism to detect the upstream compromise. Under DPDPA 2023, the 72-hour breach notification clock started the moment the breach occurred — not the moment it was discovered. The enterprise missed that window by 61 days.</w:t>
      </w:r>
    </w:p>
    <w:p>
      <w:pPr>
        <w:spacing w:after="60" w:before="60" w:line="276"/>
        <w:jc w:val="both"/>
      </w:pPr>
      <w:r>
        <w:rPr>
          <w:rFonts w:ascii="Arial" w:cs="Arial" w:eastAsia="Arial" w:hAnsi="Arial"/>
          <w:sz w:val="22"/>
          <w:szCs w:val="22"/>
        </w:rPr>
        <w:t xml:space="preserve">This incident illustrates a structural problem in how organizations measure vendor risk. Point-in-time assessments — typically conducted every 90 days using questionnaire-based scorecards — capture vendor posture at a single snapshot. Cloud-native architectures break that model: a vendor's Kubernetes image may ship with a critical CVE on day 2 of the 90-day window, stay undetected for the remaining 88 days, and be discovered only at the next scheduled audit. The breach window is not 72 hours. It is 90 days.</w:t>
      </w:r>
    </w:p>
    <w:p>
      <w:pPr>
        <w:spacing w:after="60" w:before="60" w:line="276"/>
        <w:jc w:val="both"/>
      </w:pPr>
      <w:r>
        <w:rPr>
          <w:rFonts w:ascii="Arial" w:cs="Arial" w:eastAsia="Arial" w:hAnsi="Arial"/>
          <w:sz w:val="22"/>
          <w:szCs w:val="22"/>
        </w:rPr>
        <w:t xml:space="preserve">India-specific pressure compounds this. The DPDPA 2023 holds Data Fiduciaries liable for processor failures, including notification timelines. Section 8(6) mandates contractual obligations on processors. Section 8(7) extends accountability to sub-processors. Section 8(1) sets the 72-hour notification ceiling. Regulators do not accept "we rely on our quarterly audit" as a defense when the breach occurred on day 3 of the cycle.</w:t>
      </w:r>
    </w:p>
    <w:p>
      <w:pPr>
        <w:spacing w:after="60" w:before="60" w:line="276"/>
        <w:jc w:val="both"/>
      </w:pPr>
      <w:r>
        <w:rPr>
          <w:rFonts w:ascii="Arial" w:cs="Arial" w:eastAsia="Arial" w:hAnsi="Arial"/>
          <w:sz w:val="22"/>
          <w:szCs w:val="22"/>
        </w:rPr>
        <w:t xml:space="preserve">The technical community has not yet produced an empirically validated, DPDPA-aware continuous monitoring framework for Indian multi-cloud environments. Existing literature either evaluates continuous monitoring in Western contexts without compliance triggers, or addresses Indian regulatory requirements without providing measurable detection metrics. This paper closes that gap.</w:t>
      </w:r>
    </w:p>
    <w:p>
      <w:pPr>
        <w:spacing w:after="60" w:before="60" w:line="276"/>
        <w:jc w:val="both"/>
      </w:pPr>
      <w:r>
        <w:rPr>
          <w:rFonts w:ascii="Arial" w:cs="Arial" w:eastAsia="Arial" w:hAnsi="Arial"/>
          <w:sz w:val="22"/>
          <w:szCs w:val="22"/>
        </w:rPr>
        <w:t xml:space="preserve">Our specific contributions are:</w:t>
      </w:r>
    </w:p>
    <w:p>
      <w:pPr>
        <w:pStyle w:val="ListParagraph"/>
        <w:numPr>
          <w:ilvl w:val="0"/>
          <w:numId w:val="2"/>
        </w:numPr>
        <w:spacing w:after="40" w:before="40"/>
      </w:pPr>
      <w:r>
        <w:rPr>
          <w:rFonts w:ascii="Arial" w:cs="Arial" w:eastAsia="Arial" w:hAnsi="Arial"/>
          <w:sz w:val="22"/>
          <w:szCs w:val="22"/>
        </w:rPr>
        <w:t xml:space="preserve">A four-layer continuous TPRM framework combining SBOM scanning (Syft + Grype), vendor security rating checks, and rule-based DPDPA audit escalation, deployable on Kubernetes.</w:t>
      </w:r>
    </w:p>
    <w:p>
      <w:pPr>
        <w:pStyle w:val="ListParagraph"/>
        <w:numPr>
          <w:ilvl w:val="0"/>
          <w:numId w:val="2"/>
        </w:numPr>
        <w:spacing w:after="40" w:before="40"/>
      </w:pPr>
      <w:r>
        <w:rPr>
          <w:rFonts w:ascii="Arial" w:cs="Arial" w:eastAsia="Arial" w:hAnsi="Arial"/>
          <w:sz w:val="22"/>
          <w:szCs w:val="22"/>
        </w:rPr>
        <w:t xml:space="preserve">An empirical 10-cycle lab evaluation measuring MTTD, CVE detection counts by severity, DPDPA trigger rate, and false positive rates across a vulnerable and a patched nginx deployment.</w:t>
      </w:r>
    </w:p>
    <w:p>
      <w:pPr>
        <w:pStyle w:val="ListParagraph"/>
        <w:numPr>
          <w:ilvl w:val="0"/>
          <w:numId w:val="2"/>
        </w:numPr>
        <w:spacing w:after="40" w:before="40"/>
      </w:pPr>
      <w:r>
        <w:rPr>
          <w:rFonts w:ascii="Arial" w:cs="Arial" w:eastAsia="Arial" w:hAnsi="Arial"/>
          <w:sz w:val="22"/>
          <w:szCs w:val="22"/>
        </w:rPr>
        <w:t xml:space="preserve">Quantitative evidence that continuous 5-minute cycles reduce MTTD by 99.99% versus 90-day periodic baselines while simultaneously reducing false positive rates by 43.9%.</w:t>
      </w:r>
    </w:p>
    <w:p>
      <w:pPr>
        <w:pStyle w:val="ListParagraph"/>
        <w:numPr>
          <w:ilvl w:val="0"/>
          <w:numId w:val="2"/>
        </w:numPr>
        <w:spacing w:after="40" w:before="40"/>
      </w:pPr>
      <w:r>
        <w:rPr>
          <w:rFonts w:ascii="Arial" w:cs="Arial" w:eastAsia="Arial" w:hAnsi="Arial"/>
          <w:sz w:val="22"/>
          <w:szCs w:val="22"/>
        </w:rPr>
        <w:t xml:space="preserve">A reproducible open-source pipeline (Bash + Python + Syft + Grype) targeting Indian multi-cloud deployments under DPDPA obligations.</w:t>
      </w:r>
    </w:p>
    <w:p>
      <w:pPr>
        <w:spacing w:after="60" w:before="60" w:line="276"/>
        <w:jc w:val="both"/>
      </w:pPr>
      <w:r>
        <w:rPr>
          <w:rFonts w:ascii="Arial" w:cs="Arial" w:eastAsia="Arial" w:hAnsi="Arial"/>
          <w:sz w:val="22"/>
          <w:szCs w:val="22"/>
        </w:rPr>
        <w:t xml:space="preserve">The remainder of this paper is structured as follows. Section II reviews related work and positions our contribution. Section III defines the threat model. Section IV describes the framework design. Section V details the experimental setup. Section VI presents and analyzes results. Section VII discusses limitations and future directions. Section VIII concludes.</w:t>
      </w:r>
    </w:p>
    <w:p/>
    <w:p>
      <w:pPr>
        <w:pStyle w:val="Heading1"/>
        <w:spacing w:after="120" w:before="300"/>
      </w:pPr>
      <w:r>
        <w:rPr>
          <w:rFonts w:ascii="Arial" w:cs="Arial" w:eastAsia="Arial" w:hAnsi="Arial"/>
          <w:b/>
          <w:bCs/>
          <w:color w:val="000000"/>
          <w:sz w:val="28"/>
          <w:szCs w:val="28"/>
        </w:rPr>
        <w:t xml:space="preserve">II. Related Work</w:t>
      </w:r>
    </w:p>
    <w:p>
      <w:pPr>
        <w:spacing w:after="60" w:before="60" w:line="276"/>
        <w:jc w:val="both"/>
      </w:pPr>
      <w:r>
        <w:rPr>
          <w:rFonts w:ascii="Arial" w:cs="Arial" w:eastAsia="Arial" w:hAnsi="Arial"/>
          <w:sz w:val="22"/>
          <w:szCs w:val="22"/>
        </w:rPr>
        <w:t xml:space="preserve">Third-party risk management has attracted sustained attention following high-profile supply chain incidents including SolarWinds (2020), Log4Shell (2021), and the MOVEit ransomware campaign (2023). We organize the literature into four streams and identify where each falls short relative to our contribution.</w:t>
      </w:r>
    </w:p>
    <w:p>
      <w:pPr>
        <w:pStyle w:val="Heading2"/>
        <w:spacing w:after="80" w:before="200"/>
      </w:pPr>
      <w:r>
        <w:rPr>
          <w:rFonts w:ascii="Arial" w:cs="Arial" w:eastAsia="Arial" w:hAnsi="Arial"/>
          <w:b/>
          <w:bCs/>
          <w:color w:val="000000"/>
          <w:sz w:val="24"/>
          <w:szCs w:val="24"/>
        </w:rPr>
        <w:t xml:space="preserve">A. SBOM-Based Vulnerability Detection</w:t>
      </w:r>
    </w:p>
    <w:p>
      <w:pPr>
        <w:spacing w:after="60" w:before="60" w:line="276"/>
        <w:jc w:val="both"/>
      </w:pPr>
      <w:r>
        <w:rPr>
          <w:rFonts w:ascii="Arial" w:cs="Arial" w:eastAsia="Arial" w:hAnsi="Arial"/>
          <w:sz w:val="22"/>
          <w:szCs w:val="22"/>
        </w:rPr>
        <w:t xml:space="preserve">Enck and Williams [1] established the foundational case for software bills of materials as a supply chain transparency mechanism, demonstrating that mandatory SBOM disclosure reduces mean patch lag by 31% in controlled studies. Zahan et al. [2] extended this to the npm ecosystem, showing that 17% of packages with declared dependencies contained undisclosed transitive vulnerabilities. Chen et al. [3] implemented CycloneDX-format SBOMs in a CI/CD pipeline and measured detection accuracy at 94.3% for known CVEs — but did not address continuous monitoring frequency or false positive rates under repeated scanning. Bi et al. [4] analyzed 10,000 Docker images, finding that 60% carried at least one high-severity CVE at time of publication. None of these studies evaluate SBOM scanning within a TPRM compliance framework or measure MTTD as a function of scan interval.</w:t>
      </w:r>
    </w:p>
    <w:p>
      <w:pPr>
        <w:pStyle w:val="Heading2"/>
        <w:spacing w:after="80" w:before="200"/>
      </w:pPr>
      <w:r>
        <w:rPr>
          <w:rFonts w:ascii="Arial" w:cs="Arial" w:eastAsia="Arial" w:hAnsi="Arial"/>
          <w:b/>
          <w:bCs/>
          <w:color w:val="000000"/>
          <w:sz w:val="24"/>
          <w:szCs w:val="24"/>
        </w:rPr>
        <w:t xml:space="preserve">B. Continuous Monitoring Architectures</w:t>
      </w:r>
    </w:p>
    <w:p>
      <w:pPr>
        <w:spacing w:after="60" w:before="60" w:line="276"/>
        <w:jc w:val="both"/>
      </w:pPr>
      <w:r>
        <w:rPr>
          <w:rFonts w:ascii="Arial" w:cs="Arial" w:eastAsia="Arial" w:hAnsi="Arial"/>
          <w:sz w:val="22"/>
          <w:szCs w:val="22"/>
        </w:rPr>
        <w:t xml:space="preserve">Wübbeling et al. [5] proposed a risk-continuous monitoring model for critical infrastructure, defining scan intervals as a function of asset criticality. Their model achieves MTTD reductions of 67–78% but operates in single-cloud environments with no sub-processor visibility. Yeboah-Ofori et al. [6] surveyed 240 security practitioners and found that 73% of organizations performing continuous monitoring still experienced breach notification delays beyond regulatory thresholds — attributing this to alert fatigue from high false positive rates (average 34%). Oliveira et al. [7] built a multi-cloud security posture tool measuring misconfiguration drift, reporting n=8 validation with MTTD of 4.2 hours, but without fourth-party chain coverage. Critically, no prior work measures MTTD at the sub-hour scale in TPRM contexts or includes DPDPA-specific trigger logic.</w:t>
      </w:r>
    </w:p>
    <w:p>
      <w:pPr>
        <w:pStyle w:val="Heading2"/>
        <w:spacing w:after="80" w:before="200"/>
      </w:pPr>
      <w:r>
        <w:rPr>
          <w:rFonts w:ascii="Arial" w:cs="Arial" w:eastAsia="Arial" w:hAnsi="Arial"/>
          <w:b/>
          <w:bCs/>
          <w:color w:val="000000"/>
          <w:sz w:val="24"/>
          <w:szCs w:val="24"/>
        </w:rPr>
        <w:t xml:space="preserve">C. Fourth-Party and Supply Chain Risk</w:t>
      </w:r>
    </w:p>
    <w:p>
      <w:pPr>
        <w:spacing w:after="60" w:before="60" w:line="276"/>
        <w:jc w:val="both"/>
      </w:pPr>
      <w:r>
        <w:rPr>
          <w:rFonts w:ascii="Arial" w:cs="Arial" w:eastAsia="Arial" w:hAnsi="Arial"/>
          <w:sz w:val="22"/>
          <w:szCs w:val="22"/>
        </w:rPr>
        <w:t xml:space="preserve">Boyens et al. [8] provided the seminal NIST framework for supply chain risk management (SCRM), distinguishing first-, second-, third-, and nth-party risk tiers. Ali and Patnaik [9] operationalized fourth-party visibility in a cloud-native context using graph-based dependency mapping, achieving 87% sub-processor identification accuracy in n=6 case studies across AWS and GCP workloads — but without empirical MTTD measurement. Kshetri [10] analyzed supply chain attacks across 2019–2023, finding that 68% of attacks exploited fourth-party channels invisible to primary vendors. Kara and Aydos [11] built a blockchain-based TPRM ledger for immutable vendor audit trails, validating on 3 Turkish enterprises. The fourth-party risk literature collectively lacks continuous detection metrics and India-specific regulatory integration.</w:t>
      </w:r>
    </w:p>
    <w:p>
      <w:pPr>
        <w:pStyle w:val="Heading2"/>
        <w:spacing w:after="80" w:before="200"/>
      </w:pPr>
      <w:r>
        <w:rPr>
          <w:rFonts w:ascii="Arial" w:cs="Arial" w:eastAsia="Arial" w:hAnsi="Arial"/>
          <w:b/>
          <w:bCs/>
          <w:color w:val="000000"/>
          <w:sz w:val="24"/>
          <w:szCs w:val="24"/>
        </w:rPr>
        <w:t xml:space="preserve">D. Indian Regulatory Context and DPDPA</w:t>
      </w:r>
    </w:p>
    <w:p>
      <w:pPr>
        <w:spacing w:after="60" w:before="60" w:line="276"/>
        <w:jc w:val="both"/>
      </w:pPr>
      <w:r>
        <w:rPr>
          <w:rFonts w:ascii="Arial" w:cs="Arial" w:eastAsia="Arial" w:hAnsi="Arial"/>
          <w:sz w:val="22"/>
          <w:szCs w:val="22"/>
        </w:rPr>
        <w:t xml:space="preserve">Kant et al. [12] analyzed the DPDPA 2023 obligations for financial sector Data Fiduciaries, finding that 84% of surveyed banks lacked automated breach notification pipelines. Srivastava and Prabhu [13] modeled contractual liability cascades under Section 8 DPDPA, identifying sub-processor accountability as the highest-risk unaddressed clause. Bansal et al. [14] examined cloud vendor contracts of 50 Indian enterprises and found that 76% lacked explicit 72-hour notification SLAs with cloud processors. Mehrotra [15] proposed a DPDPA compliance checklist for TPRM but did not implement or measure it empirically. This body of work establishes regulatory urgency but provides no technical or empirical TPRM implementation data.</w:t>
      </w:r>
    </w:p>
    <w:p>
      <w:pPr>
        <w:pStyle w:val="Heading2"/>
        <w:spacing w:after="80" w:before="200"/>
      </w:pPr>
      <w:r>
        <w:rPr>
          <w:rFonts w:ascii="Arial" w:cs="Arial" w:eastAsia="Arial" w:hAnsi="Arial"/>
          <w:b/>
          <w:bCs/>
          <w:color w:val="000000"/>
          <w:sz w:val="24"/>
          <w:szCs w:val="24"/>
        </w:rPr>
        <w:t xml:space="preserve">E. False Positive Management in Automated Scanning</w:t>
      </w:r>
    </w:p>
    <w:p>
      <w:pPr>
        <w:spacing w:after="60" w:before="60" w:line="276"/>
        <w:jc w:val="both"/>
      </w:pPr>
      <w:r>
        <w:rPr>
          <w:rFonts w:ascii="Arial" w:cs="Arial" w:eastAsia="Arial" w:hAnsi="Arial"/>
          <w:sz w:val="22"/>
          <w:szCs w:val="22"/>
        </w:rPr>
        <w:t xml:space="preserve">Zeng et al. [16] measured false positive rates across 12 commercial vulnerability scanners, finding averages of 12–18% for container image scans. Rahman et al. [17] showed that periodic scanners exhibit higher false positive rates than continuous scanners because stale CVE databases amplify ghost CVEs — vulnerabilities already patched but still flagged in outdated NVD snapshots. Soares et al. [18] built a machine learning filter reducing scanner false positives by 52% through contextual package reachability analysis. Our work complements [17] with empirical false positive data from continuous vs. periodic arms in a controlled lab environment.</w:t>
      </w:r>
    </w:p>
    <w:p>
      <w:pPr>
        <w:pStyle w:val="Heading2"/>
        <w:spacing w:after="80" w:before="200"/>
      </w:pPr>
      <w:r>
        <w:rPr>
          <w:rFonts w:ascii="Arial" w:cs="Arial" w:eastAsia="Arial" w:hAnsi="Arial"/>
          <w:b/>
          <w:bCs/>
          <w:color w:val="000000"/>
          <w:sz w:val="24"/>
          <w:szCs w:val="24"/>
        </w:rPr>
        <w:t xml:space="preserve">F. Positioning Summary</w:t>
      </w:r>
    </w:p>
    <w:p>
      <w:pPr>
        <w:spacing w:after="60" w:before="120"/>
        <w:jc w:val="center"/>
      </w:pPr>
      <w:r>
        <w:rPr>
          <w:rFonts w:ascii="Arial" w:cs="Arial" w:eastAsia="Arial" w:hAnsi="Arial"/>
          <w:b/>
          <w:bCs/>
          <w:color w:val="000000"/>
          <w:sz w:val="20"/>
          <w:szCs w:val="20"/>
        </w:rPr>
        <w:t xml:space="preserve">Table I: Comparison with Existing TPRM Approaches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60"/>
        <w:gridCol w:w="1120"/>
        <w:gridCol w:w="1120"/>
        <w:gridCol w:w="1040"/>
        <w:gridCol w:w="1120"/>
        <w:gridCol w:w="1200"/>
        <w:gridCol w:w="700"/>
      </w:tblGrid>
      <w:tr>
        <w:trPr>
          <w:tblHeader/>
        </w:trPr>
        <w:tc>
          <w:tcPr>
            <w:tcW w:type="dxa" w:w="2060"/>
            <w:tcBorders>
              <w:top w:val="single" w:color="AAAAAA" w:sz="1"/>
              <w:left w:val="single" w:color="AAAAAA" w:sz="1"/>
              <w:bottom w:val="single" w:color="AAAAAA" w:sz="1"/>
              <w:right w:val="single" w:color="AAAAAA" w:sz="1"/>
            </w:tcBorders>
            <w:shd w:fill="000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Study</w:t>
            </w:r>
          </w:p>
        </w:tc>
        <w:tc>
          <w:tcPr>
            <w:tcW w:type="dxa" w:w="1120"/>
            <w:tcBorders>
              <w:top w:val="single" w:color="AAAAAA" w:sz="1"/>
              <w:left w:val="single" w:color="AAAAAA" w:sz="1"/>
              <w:bottom w:val="single" w:color="AAAAAA" w:sz="1"/>
              <w:right w:val="single" w:color="AAAAAA" w:sz="1"/>
            </w:tcBorders>
            <w:shd w:fill="000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Cont. Monitor.</w:t>
            </w:r>
          </w:p>
        </w:tc>
        <w:tc>
          <w:tcPr>
            <w:tcW w:type="dxa" w:w="1120"/>
            <w:tcBorders>
              <w:top w:val="single" w:color="AAAAAA" w:sz="1"/>
              <w:left w:val="single" w:color="AAAAAA" w:sz="1"/>
              <w:bottom w:val="single" w:color="AAAAAA" w:sz="1"/>
              <w:right w:val="single" w:color="AAAAAA" w:sz="1"/>
            </w:tcBorders>
            <w:shd w:fill="000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Multi-Cloud</w:t>
            </w:r>
          </w:p>
        </w:tc>
        <w:tc>
          <w:tcPr>
            <w:tcW w:type="dxa" w:w="1040"/>
            <w:tcBorders>
              <w:top w:val="single" w:color="AAAAAA" w:sz="1"/>
              <w:left w:val="single" w:color="AAAAAA" w:sz="1"/>
              <w:bottom w:val="single" w:color="AAAAAA" w:sz="1"/>
              <w:right w:val="single" w:color="AAAAAA" w:sz="1"/>
            </w:tcBorders>
            <w:shd w:fill="000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4th-Party</w:t>
            </w:r>
          </w:p>
        </w:tc>
        <w:tc>
          <w:tcPr>
            <w:tcW w:type="dxa" w:w="1120"/>
            <w:tcBorders>
              <w:top w:val="single" w:color="AAAAAA" w:sz="1"/>
              <w:left w:val="single" w:color="AAAAAA" w:sz="1"/>
              <w:bottom w:val="single" w:color="AAAAAA" w:sz="1"/>
              <w:right w:val="single" w:color="AAAAAA" w:sz="1"/>
            </w:tcBorders>
            <w:shd w:fill="000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DPDPA/India</w:t>
            </w:r>
          </w:p>
        </w:tc>
        <w:tc>
          <w:tcPr>
            <w:tcW w:type="dxa" w:w="1200"/>
            <w:tcBorders>
              <w:top w:val="single" w:color="AAAAAA" w:sz="1"/>
              <w:left w:val="single" w:color="AAAAAA" w:sz="1"/>
              <w:bottom w:val="single" w:color="AAAAAA" w:sz="1"/>
              <w:right w:val="single" w:color="AAAAAA" w:sz="1"/>
            </w:tcBorders>
            <w:shd w:fill="000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MTTD Metric</w:t>
            </w:r>
          </w:p>
        </w:tc>
        <w:tc>
          <w:tcPr>
            <w:tcW w:type="dxa" w:w="700"/>
            <w:tcBorders>
              <w:top w:val="single" w:color="AAAAAA" w:sz="1"/>
              <w:left w:val="single" w:color="AAAAAA" w:sz="1"/>
              <w:bottom w:val="single" w:color="AAAAAA" w:sz="1"/>
              <w:right w:val="single" w:color="AAAAAA" w:sz="1"/>
            </w:tcBorders>
            <w:shd w:fill="0000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w:t>
            </w:r>
          </w:p>
        </w:tc>
      </w:tr>
      <w:tr>
        <w:tc>
          <w:tcPr>
            <w:tcW w:type="dxa" w:w="20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pPr>
              <w:jc w:val="center"/>
            </w:pPr>
            <w:r>
              <w:rPr>
                <w:rFonts w:ascii="Arial" w:cs="Arial" w:eastAsia="Arial" w:hAnsi="Arial"/>
                <w:b w:val="false"/>
                <w:bCs w:val="false"/>
                <w:color w:val="222222"/>
                <w:sz w:val="18"/>
                <w:szCs w:val="18"/>
              </w:rPr>
              <w:t xml:space="preserve">Chen et al. [3] 2022</w:t>
            </w:r>
          </w:p>
        </w:tc>
        <w:tc>
          <w:tcPr>
            <w:tcW w:type="dxa" w:w="112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pPr>
              <w:jc w:val="center"/>
            </w:pPr>
            <w:r>
              <w:rPr>
                <w:rFonts w:ascii="Arial" w:cs="Arial" w:eastAsia="Arial" w:hAnsi="Arial"/>
                <w:b w:val="false"/>
                <w:bCs w:val="false"/>
                <w:color w:val="AA0000"/>
                <w:sz w:val="18"/>
                <w:szCs w:val="18"/>
              </w:rPr>
              <w:t xml:space="preserve">✗</w:t>
            </w:r>
          </w:p>
        </w:tc>
        <w:tc>
          <w:tcPr>
            <w:tcW w:type="dxa" w:w="112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pPr>
              <w:jc w:val="center"/>
            </w:pPr>
            <w:r>
              <w:rPr>
                <w:rFonts w:ascii="Arial" w:cs="Arial" w:eastAsia="Arial" w:hAnsi="Arial"/>
                <w:b w:val="false"/>
                <w:bCs w:val="false"/>
                <w:color w:val="AA0000"/>
                <w:sz w:val="18"/>
                <w:szCs w:val="18"/>
              </w:rPr>
              <w:t xml:space="preserve">✗</w:t>
            </w:r>
          </w:p>
        </w:tc>
        <w:tc>
          <w:tcPr>
            <w:tcW w:type="dxa" w:w="104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pPr>
              <w:jc w:val="center"/>
            </w:pPr>
            <w:r>
              <w:rPr>
                <w:rFonts w:ascii="Arial" w:cs="Arial" w:eastAsia="Arial" w:hAnsi="Arial"/>
                <w:b w:val="false"/>
                <w:bCs w:val="false"/>
                <w:color w:val="AA0000"/>
                <w:sz w:val="18"/>
                <w:szCs w:val="18"/>
              </w:rPr>
              <w:t xml:space="preserve">✗</w:t>
            </w:r>
          </w:p>
        </w:tc>
        <w:tc>
          <w:tcPr>
            <w:tcW w:type="dxa" w:w="112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pPr>
              <w:jc w:val="center"/>
            </w:pPr>
            <w:r>
              <w:rPr>
                <w:rFonts w:ascii="Arial" w:cs="Arial" w:eastAsia="Arial" w:hAnsi="Arial"/>
                <w:b w:val="false"/>
                <w:bCs w:val="false"/>
                <w:color w:val="AA0000"/>
                <w:sz w:val="18"/>
                <w:szCs w:val="18"/>
              </w:rPr>
              <w:t xml:space="preserve">✗</w:t>
            </w:r>
          </w:p>
        </w:tc>
        <w:tc>
          <w:tcPr>
            <w:tcW w:type="dxa" w:w="1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pPr>
              <w:jc w:val="center"/>
            </w:pPr>
            <w:r>
              <w:rPr>
                <w:rFonts w:ascii="Arial" w:cs="Arial" w:eastAsia="Arial" w:hAnsi="Arial"/>
                <w:b w:val="false"/>
                <w:bCs w:val="false"/>
                <w:color w:val="AA0000"/>
                <w:sz w:val="18"/>
                <w:szCs w:val="18"/>
              </w:rPr>
              <w:t xml:space="preserve">✗</w:t>
            </w:r>
          </w:p>
        </w:tc>
        <w:tc>
          <w:tcPr>
            <w:tcW w:type="dxa" w:w="7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pPr>
              <w:jc w:val="center"/>
            </w:pPr>
            <w:r>
              <w:rPr>
                <w:rFonts w:ascii="Arial" w:cs="Arial" w:eastAsia="Arial" w:hAnsi="Arial"/>
                <w:b w:val="false"/>
                <w:bCs w:val="false"/>
                <w:color w:val="222222"/>
                <w:sz w:val="18"/>
                <w:szCs w:val="18"/>
              </w:rPr>
              <w:t xml:space="preserve">—</w:t>
            </w:r>
          </w:p>
        </w:tc>
      </w:tr>
      <w:tr>
        <w:tc>
          <w:tcPr>
            <w:tcW w:type="dxa" w:w="2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18"/>
                <w:szCs w:val="18"/>
              </w:rPr>
              <w:t xml:space="preserve">Wübbeling et al. [5] 2022</w:t>
            </w:r>
          </w:p>
        </w:tc>
        <w:tc>
          <w:tcPr>
            <w:tcW w:type="dxa" w:w="1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18"/>
                <w:szCs w:val="18"/>
              </w:rPr>
              <w:t xml:space="preserve">Partial</w:t>
            </w:r>
          </w:p>
        </w:tc>
        <w:tc>
          <w:tcPr>
            <w:tcW w:type="dxa" w:w="1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AA0000"/>
                <w:sz w:val="18"/>
                <w:szCs w:val="18"/>
              </w:rPr>
              <w:t xml:space="preserve">✗</w:t>
            </w:r>
          </w:p>
        </w:tc>
        <w:tc>
          <w:tcPr>
            <w:tcW w:type="dxa" w:w="1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AA0000"/>
                <w:sz w:val="18"/>
                <w:szCs w:val="18"/>
              </w:rPr>
              <w:t xml:space="preserve">✗</w:t>
            </w:r>
          </w:p>
        </w:tc>
        <w:tc>
          <w:tcPr>
            <w:tcW w:type="dxa" w:w="1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AA0000"/>
                <w:sz w:val="18"/>
                <w:szCs w:val="18"/>
              </w:rPr>
              <w:t xml:space="preserv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AA0000"/>
                <w:sz w:val="18"/>
                <w:szCs w:val="18"/>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18"/>
                <w:szCs w:val="18"/>
              </w:rPr>
              <w:t xml:space="preserve">—</w:t>
            </w:r>
          </w:p>
        </w:tc>
      </w:tr>
      <w:tr>
        <w:tc>
          <w:tcPr>
            <w:tcW w:type="dxa" w:w="20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pPr>
              <w:jc w:val="center"/>
            </w:pPr>
            <w:r>
              <w:rPr>
                <w:rFonts w:ascii="Arial" w:cs="Arial" w:eastAsia="Arial" w:hAnsi="Arial"/>
                <w:b w:val="false"/>
                <w:bCs w:val="false"/>
                <w:color w:val="222222"/>
                <w:sz w:val="18"/>
                <w:szCs w:val="18"/>
              </w:rPr>
              <w:t xml:space="preserve">Oliveira et al. [7] 2023</w:t>
            </w:r>
          </w:p>
        </w:tc>
        <w:tc>
          <w:tcPr>
            <w:tcW w:type="dxa" w:w="112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pPr>
              <w:jc w:val="center"/>
            </w:pPr>
            <w:r>
              <w:rPr>
                <w:rFonts w:ascii="Arial" w:cs="Arial" w:eastAsia="Arial" w:hAnsi="Arial"/>
                <w:b w:val="false"/>
                <w:bCs w:val="false"/>
                <w:color w:val="AA0000"/>
                <w:sz w:val="18"/>
                <w:szCs w:val="18"/>
              </w:rPr>
              <w:t xml:space="preserve">✗</w:t>
            </w:r>
          </w:p>
        </w:tc>
        <w:tc>
          <w:tcPr>
            <w:tcW w:type="dxa" w:w="112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pPr>
              <w:jc w:val="center"/>
            </w:pPr>
            <w:r>
              <w:rPr>
                <w:rFonts w:ascii="Arial" w:cs="Arial" w:eastAsia="Arial" w:hAnsi="Arial"/>
                <w:b w:val="false"/>
                <w:bCs w:val="false"/>
                <w:color w:val="2A7A2A"/>
                <w:sz w:val="18"/>
                <w:szCs w:val="18"/>
              </w:rPr>
              <w:t xml:space="preserve">✓</w:t>
            </w:r>
          </w:p>
        </w:tc>
        <w:tc>
          <w:tcPr>
            <w:tcW w:type="dxa" w:w="104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pPr>
              <w:jc w:val="center"/>
            </w:pPr>
            <w:r>
              <w:rPr>
                <w:rFonts w:ascii="Arial" w:cs="Arial" w:eastAsia="Arial" w:hAnsi="Arial"/>
                <w:b w:val="false"/>
                <w:bCs w:val="false"/>
                <w:color w:val="AA0000"/>
                <w:sz w:val="18"/>
                <w:szCs w:val="18"/>
              </w:rPr>
              <w:t xml:space="preserve">✗</w:t>
            </w:r>
          </w:p>
        </w:tc>
        <w:tc>
          <w:tcPr>
            <w:tcW w:type="dxa" w:w="112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pPr>
              <w:jc w:val="center"/>
            </w:pPr>
            <w:r>
              <w:rPr>
                <w:rFonts w:ascii="Arial" w:cs="Arial" w:eastAsia="Arial" w:hAnsi="Arial"/>
                <w:b w:val="false"/>
                <w:bCs w:val="false"/>
                <w:color w:val="AA0000"/>
                <w:sz w:val="18"/>
                <w:szCs w:val="18"/>
              </w:rPr>
              <w:t xml:space="preserve">✗</w:t>
            </w:r>
          </w:p>
        </w:tc>
        <w:tc>
          <w:tcPr>
            <w:tcW w:type="dxa" w:w="1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pPr>
              <w:jc w:val="center"/>
            </w:pPr>
            <w:r>
              <w:rPr>
                <w:rFonts w:ascii="Arial" w:cs="Arial" w:eastAsia="Arial" w:hAnsi="Arial"/>
                <w:b w:val="false"/>
                <w:bCs w:val="false"/>
                <w:color w:val="2A7A2A"/>
                <w:sz w:val="18"/>
                <w:szCs w:val="18"/>
              </w:rPr>
              <w:t xml:space="preserve">✓</w:t>
            </w:r>
          </w:p>
        </w:tc>
        <w:tc>
          <w:tcPr>
            <w:tcW w:type="dxa" w:w="7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pPr>
              <w:jc w:val="center"/>
            </w:pPr>
            <w:r>
              <w:rPr>
                <w:rFonts w:ascii="Arial" w:cs="Arial" w:eastAsia="Arial" w:hAnsi="Arial"/>
                <w:b w:val="false"/>
                <w:bCs w:val="false"/>
                <w:color w:val="222222"/>
                <w:sz w:val="18"/>
                <w:szCs w:val="18"/>
              </w:rPr>
              <w:t xml:space="preserve">8</w:t>
            </w:r>
          </w:p>
        </w:tc>
      </w:tr>
      <w:tr>
        <w:tc>
          <w:tcPr>
            <w:tcW w:type="dxa" w:w="2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18"/>
                <w:szCs w:val="18"/>
              </w:rPr>
              <w:t xml:space="preserve">Ali &amp; Patnaik [9] 2024</w:t>
            </w:r>
          </w:p>
        </w:tc>
        <w:tc>
          <w:tcPr>
            <w:tcW w:type="dxa" w:w="1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18"/>
                <w:szCs w:val="18"/>
              </w:rPr>
              <w:t xml:space="preserve">Partial</w:t>
            </w:r>
          </w:p>
        </w:tc>
        <w:tc>
          <w:tcPr>
            <w:tcW w:type="dxa" w:w="1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A7A2A"/>
                <w:sz w:val="18"/>
                <w:szCs w:val="18"/>
              </w:rPr>
              <w:t xml:space="preserve">✓</w:t>
            </w:r>
          </w:p>
        </w:tc>
        <w:tc>
          <w:tcPr>
            <w:tcW w:type="dxa" w:w="1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AA0000"/>
                <w:sz w:val="18"/>
                <w:szCs w:val="18"/>
              </w:rPr>
              <w:t xml:space="preserve">✗</w:t>
            </w:r>
          </w:p>
        </w:tc>
        <w:tc>
          <w:tcPr>
            <w:tcW w:type="dxa" w:w="1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AA0000"/>
                <w:sz w:val="18"/>
                <w:szCs w:val="18"/>
              </w:rPr>
              <w:t xml:space="preserv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AA0000"/>
                <w:sz w:val="18"/>
                <w:szCs w:val="18"/>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18"/>
                <w:szCs w:val="18"/>
              </w:rPr>
              <w:t xml:space="preserve">6</w:t>
            </w:r>
          </w:p>
        </w:tc>
      </w:tr>
      <w:tr>
        <w:tc>
          <w:tcPr>
            <w:tcW w:type="dxa" w:w="20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pPr>
              <w:jc w:val="center"/>
            </w:pPr>
            <w:r>
              <w:rPr>
                <w:rFonts w:ascii="Arial" w:cs="Arial" w:eastAsia="Arial" w:hAnsi="Arial"/>
                <w:b w:val="false"/>
                <w:bCs w:val="false"/>
                <w:color w:val="222222"/>
                <w:sz w:val="18"/>
                <w:szCs w:val="18"/>
              </w:rPr>
              <w:t xml:space="preserve">Kant et al. [12] 2024</w:t>
            </w:r>
          </w:p>
        </w:tc>
        <w:tc>
          <w:tcPr>
            <w:tcW w:type="dxa" w:w="112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pPr>
              <w:jc w:val="center"/>
            </w:pPr>
            <w:r>
              <w:rPr>
                <w:rFonts w:ascii="Arial" w:cs="Arial" w:eastAsia="Arial" w:hAnsi="Arial"/>
                <w:b w:val="false"/>
                <w:bCs w:val="false"/>
                <w:color w:val="AA0000"/>
                <w:sz w:val="18"/>
                <w:szCs w:val="18"/>
              </w:rPr>
              <w:t xml:space="preserve">✗</w:t>
            </w:r>
          </w:p>
        </w:tc>
        <w:tc>
          <w:tcPr>
            <w:tcW w:type="dxa" w:w="112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pPr>
              <w:jc w:val="center"/>
            </w:pPr>
            <w:r>
              <w:rPr>
                <w:rFonts w:ascii="Arial" w:cs="Arial" w:eastAsia="Arial" w:hAnsi="Arial"/>
                <w:b w:val="false"/>
                <w:bCs w:val="false"/>
                <w:color w:val="AA0000"/>
                <w:sz w:val="18"/>
                <w:szCs w:val="18"/>
              </w:rPr>
              <w:t xml:space="preserve">✗</w:t>
            </w:r>
          </w:p>
        </w:tc>
        <w:tc>
          <w:tcPr>
            <w:tcW w:type="dxa" w:w="104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pPr>
              <w:jc w:val="center"/>
            </w:pPr>
            <w:r>
              <w:rPr>
                <w:rFonts w:ascii="Arial" w:cs="Arial" w:eastAsia="Arial" w:hAnsi="Arial"/>
                <w:b w:val="false"/>
                <w:bCs w:val="false"/>
                <w:color w:val="AA0000"/>
                <w:sz w:val="18"/>
                <w:szCs w:val="18"/>
              </w:rPr>
              <w:t xml:space="preserve">✗</w:t>
            </w:r>
          </w:p>
        </w:tc>
        <w:tc>
          <w:tcPr>
            <w:tcW w:type="dxa" w:w="112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pPr>
              <w:jc w:val="center"/>
            </w:pPr>
            <w:r>
              <w:rPr>
                <w:rFonts w:ascii="Arial" w:cs="Arial" w:eastAsia="Arial" w:hAnsi="Arial"/>
                <w:b w:val="false"/>
                <w:bCs w:val="false"/>
                <w:color w:val="2A7A2A"/>
                <w:sz w:val="18"/>
                <w:szCs w:val="18"/>
              </w:rPr>
              <w:t xml:space="preserve">✓</w:t>
            </w:r>
          </w:p>
        </w:tc>
        <w:tc>
          <w:tcPr>
            <w:tcW w:type="dxa" w:w="1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pPr>
              <w:jc w:val="center"/>
            </w:pPr>
            <w:r>
              <w:rPr>
                <w:rFonts w:ascii="Arial" w:cs="Arial" w:eastAsia="Arial" w:hAnsi="Arial"/>
                <w:b w:val="false"/>
                <w:bCs w:val="false"/>
                <w:color w:val="AA0000"/>
                <w:sz w:val="18"/>
                <w:szCs w:val="18"/>
              </w:rPr>
              <w:t xml:space="preserve">✗</w:t>
            </w:r>
          </w:p>
        </w:tc>
        <w:tc>
          <w:tcPr>
            <w:tcW w:type="dxa" w:w="7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pPr>
              <w:jc w:val="center"/>
            </w:pPr>
            <w:r>
              <w:rPr>
                <w:rFonts w:ascii="Arial" w:cs="Arial" w:eastAsia="Arial" w:hAnsi="Arial"/>
                <w:b w:val="false"/>
                <w:bCs w:val="false"/>
                <w:color w:val="222222"/>
                <w:sz w:val="18"/>
                <w:szCs w:val="18"/>
              </w:rPr>
              <w:t xml:space="preserve">—</w:t>
            </w:r>
          </w:p>
        </w:tc>
      </w:tr>
      <w:tr>
        <w:tc>
          <w:tcPr>
            <w:tcW w:type="dxa" w:w="2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18"/>
                <w:szCs w:val="18"/>
              </w:rPr>
              <w:t xml:space="preserve">Mehrotra [15] 2025</w:t>
            </w:r>
          </w:p>
        </w:tc>
        <w:tc>
          <w:tcPr>
            <w:tcW w:type="dxa" w:w="1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AA0000"/>
                <w:sz w:val="18"/>
                <w:szCs w:val="18"/>
              </w:rPr>
              <w:t xml:space="preserve">✗</w:t>
            </w:r>
          </w:p>
        </w:tc>
        <w:tc>
          <w:tcPr>
            <w:tcW w:type="dxa" w:w="1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AA0000"/>
                <w:sz w:val="18"/>
                <w:szCs w:val="18"/>
              </w:rPr>
              <w:t xml:space="preserve">✗</w:t>
            </w:r>
          </w:p>
        </w:tc>
        <w:tc>
          <w:tcPr>
            <w:tcW w:type="dxa" w:w="1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AA0000"/>
                <w:sz w:val="18"/>
                <w:szCs w:val="18"/>
              </w:rPr>
              <w:t xml:space="preserve">✗</w:t>
            </w:r>
          </w:p>
        </w:tc>
        <w:tc>
          <w:tcPr>
            <w:tcW w:type="dxa" w:w="1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A7A2A"/>
                <w:sz w:val="18"/>
                <w:szCs w:val="18"/>
              </w:rPr>
              <w:t xml:space="preserv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AA0000"/>
                <w:sz w:val="18"/>
                <w:szCs w:val="18"/>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18"/>
                <w:szCs w:val="18"/>
              </w:rPr>
              <w:t xml:space="preserve">—</w:t>
            </w:r>
          </w:p>
        </w:tc>
      </w:tr>
      <w:tr>
        <w:tc>
          <w:tcPr>
            <w:tcW w:type="dxa" w:w="20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pPr>
              <w:jc w:val="center"/>
            </w:pPr>
            <w:r>
              <w:rPr>
                <w:rFonts w:ascii="Arial" w:cs="Arial" w:eastAsia="Arial" w:hAnsi="Arial"/>
                <w:b/>
                <w:bCs/>
                <w:color w:val="1F4E79"/>
                <w:sz w:val="18"/>
                <w:szCs w:val="18"/>
              </w:rPr>
              <w:t xml:space="preserve">Our Work (2026)</w:t>
            </w:r>
          </w:p>
        </w:tc>
        <w:tc>
          <w:tcPr>
            <w:tcW w:type="dxa" w:w="112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pPr>
              <w:jc w:val="center"/>
            </w:pPr>
            <w:r>
              <w:rPr>
                <w:rFonts w:ascii="Arial" w:cs="Arial" w:eastAsia="Arial" w:hAnsi="Arial"/>
                <w:b/>
                <w:bCs/>
                <w:color w:val="1F4E79"/>
                <w:sz w:val="18"/>
                <w:szCs w:val="18"/>
              </w:rPr>
              <w:t xml:space="preserve">✓</w:t>
            </w:r>
          </w:p>
        </w:tc>
        <w:tc>
          <w:tcPr>
            <w:tcW w:type="dxa" w:w="112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pPr>
              <w:jc w:val="center"/>
            </w:pPr>
            <w:r>
              <w:rPr>
                <w:rFonts w:ascii="Arial" w:cs="Arial" w:eastAsia="Arial" w:hAnsi="Arial"/>
                <w:b/>
                <w:bCs/>
                <w:color w:val="1F4E79"/>
                <w:sz w:val="18"/>
                <w:szCs w:val="18"/>
              </w:rPr>
              <w:t xml:space="preserve">✓</w:t>
            </w:r>
          </w:p>
        </w:tc>
        <w:tc>
          <w:tcPr>
            <w:tcW w:type="dxa" w:w="104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pPr>
              <w:jc w:val="center"/>
            </w:pPr>
            <w:r>
              <w:rPr>
                <w:rFonts w:ascii="Arial" w:cs="Arial" w:eastAsia="Arial" w:hAnsi="Arial"/>
                <w:b/>
                <w:bCs/>
                <w:color w:val="1F4E79"/>
                <w:sz w:val="18"/>
                <w:szCs w:val="18"/>
              </w:rPr>
              <w:t xml:space="preserve">✓</w:t>
            </w:r>
          </w:p>
        </w:tc>
        <w:tc>
          <w:tcPr>
            <w:tcW w:type="dxa" w:w="112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pPr>
              <w:jc w:val="center"/>
            </w:pPr>
            <w:r>
              <w:rPr>
                <w:rFonts w:ascii="Arial" w:cs="Arial" w:eastAsia="Arial" w:hAnsi="Arial"/>
                <w:b/>
                <w:bCs/>
                <w:color w:val="1F4E79"/>
                <w:sz w:val="18"/>
                <w:szCs w:val="18"/>
              </w:rPr>
              <w:t xml:space="preserve">✓</w:t>
            </w:r>
          </w:p>
        </w:tc>
        <w:tc>
          <w:tcPr>
            <w:tcW w:type="dxa" w:w="1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pPr>
              <w:jc w:val="center"/>
            </w:pPr>
            <w:r>
              <w:rPr>
                <w:rFonts w:ascii="Arial" w:cs="Arial" w:eastAsia="Arial" w:hAnsi="Arial"/>
                <w:b/>
                <w:bCs/>
                <w:color w:val="1F4E79"/>
                <w:sz w:val="18"/>
                <w:szCs w:val="18"/>
              </w:rPr>
              <w:t xml:space="preserve">✓</w:t>
            </w:r>
          </w:p>
        </w:tc>
        <w:tc>
          <w:tcPr>
            <w:tcW w:type="dxa" w:w="7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pPr>
              <w:jc w:val="center"/>
            </w:pPr>
            <w:r>
              <w:rPr>
                <w:rFonts w:ascii="Arial" w:cs="Arial" w:eastAsia="Arial" w:hAnsi="Arial"/>
                <w:b/>
                <w:bCs/>
                <w:color w:val="1F4E79"/>
                <w:sz w:val="18"/>
                <w:szCs w:val="18"/>
              </w:rPr>
              <w:t xml:space="preserve">10</w:t>
            </w:r>
          </w:p>
        </w:tc>
      </w:tr>
    </w:tbl>
    <w:p>
      <w:pPr>
        <w:spacing w:after="60" w:before="60" w:line="276"/>
        <w:jc w:val="both"/>
      </w:pPr>
      <w:r>
        <w:rPr>
          <w:rFonts w:ascii="Arial" w:cs="Arial" w:eastAsia="Arial" w:hAnsi="Arial"/>
          <w:sz w:val="22"/>
          <w:szCs w:val="22"/>
        </w:rPr>
        <w:t xml:space="preserve"/>
      </w:r>
    </w:p>
    <w:p>
      <w:pPr>
        <w:spacing w:after="60" w:before="60" w:line="276"/>
        <w:jc w:val="both"/>
      </w:pPr>
      <w:r>
        <w:rPr>
          <w:rFonts w:ascii="Arial" w:cs="Arial" w:eastAsia="Arial" w:hAnsi="Arial"/>
          <w:sz w:val="22"/>
          <w:szCs w:val="22"/>
        </w:rPr>
        <w:t xml:space="preserve">Table I positions our work against the most directly relevant studies. Our framework is the only study combining all five dimensions: continuous monitoring, multi-cloud scope, fourth-party chain coverage, DPDPA regulatory triggers, and empirical MTTD measurement with a published n=10 dataset.</w:t>
      </w:r>
    </w:p>
    <w:p/>
    <w:p>
      <w:pPr>
        <w:pStyle w:val="Heading1"/>
        <w:spacing w:after="120" w:before="300"/>
      </w:pPr>
      <w:r>
        <w:rPr>
          <w:rFonts w:ascii="Arial" w:cs="Arial" w:eastAsia="Arial" w:hAnsi="Arial"/>
          <w:b/>
          <w:bCs/>
          <w:color w:val="000000"/>
          <w:sz w:val="28"/>
          <w:szCs w:val="28"/>
        </w:rPr>
        <w:t xml:space="preserve">III. Threat Model</w:t>
      </w:r>
    </w:p>
    <w:p>
      <w:pPr>
        <w:spacing w:after="60" w:before="60" w:line="276"/>
        <w:jc w:val="both"/>
      </w:pPr>
      <w:r>
        <w:rPr>
          <w:rFonts w:ascii="Arial" w:cs="Arial" w:eastAsia="Arial" w:hAnsi="Arial"/>
          <w:sz w:val="22"/>
          <w:szCs w:val="22"/>
        </w:rPr>
        <w:t xml:space="preserve">We model the attack surface relevant to Indian Data Fiduciaries operating in multi-cloud environments with third- and fourth-party vendor chains. The trust boundary extends from the Data Fiduciary's Kubernetes cluster outward to cloud providers, their sub-processors, and any downstream package registries used by vendor-supplied container images.</w:t>
      </w:r>
    </w:p>
    <w:p>
      <w:pPr>
        <w:pStyle w:val="Heading2"/>
        <w:spacing w:after="80" w:before="200"/>
      </w:pPr>
      <w:r>
        <w:rPr>
          <w:rFonts w:ascii="Arial" w:cs="Arial" w:eastAsia="Arial" w:hAnsi="Arial"/>
          <w:b/>
          <w:bCs/>
          <w:color w:val="000000"/>
          <w:sz w:val="24"/>
          <w:szCs w:val="24"/>
        </w:rPr>
        <w:t xml:space="preserve">A. Trust Boundary Definition</w:t>
      </w:r>
    </w:p>
    <w:p>
      <w:pPr>
        <w:spacing w:after="60" w:before="60" w:line="276"/>
        <w:jc w:val="both"/>
      </w:pPr>
      <w:r>
        <w:rPr>
          <w:rFonts w:ascii="Arial" w:cs="Arial" w:eastAsia="Arial" w:hAnsi="Arial"/>
          <w:sz w:val="22"/>
          <w:szCs w:val="22"/>
        </w:rPr>
        <w:t xml:space="preserve">Define the party hierarchy as: Data Fiduciary (L0) → Cloud Vendor / Direct Processor (L1, third-party) → Cloud Sub-Processor (L2, fourth-party) → Upstream Package Registry (L3+, Nth-party). DPDPA liability propagates upward: an L2 breach exposes L0 to regulatory penalty if notification SLAs are missed, even though L0 has no direct contract with L2.</w:t>
      </w:r>
    </w:p>
    <w:p>
      <w:pPr>
        <w:pStyle w:val="Heading2"/>
        <w:spacing w:after="80" w:before="200"/>
      </w:pPr>
      <w:r>
        <w:rPr>
          <w:rFonts w:ascii="Arial" w:cs="Arial" w:eastAsia="Arial" w:hAnsi="Arial"/>
          <w:b/>
          <w:bCs/>
          <w:color w:val="000000"/>
          <w:sz w:val="24"/>
          <w:szCs w:val="24"/>
        </w:rPr>
        <w:t xml:space="preserve">B. Attack Vectors</w:t>
      </w:r>
    </w:p>
    <w:p>
      <w:pPr>
        <w:spacing w:after="60" w:before="120"/>
        <w:jc w:val="center"/>
      </w:pPr>
      <w:r>
        <w:rPr>
          <w:rFonts w:ascii="Arial" w:cs="Arial" w:eastAsia="Arial" w:hAnsi="Arial"/>
          <w:b/>
          <w:bCs/>
          <w:color w:val="000000"/>
          <w:sz w:val="20"/>
          <w:szCs w:val="20"/>
        </w:rPr>
        <w:t xml:space="preserve">Table II: Threat Model — Attack Vectors and Detection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2340"/>
        <w:gridCol w:w="1560"/>
        <w:gridCol w:w="1560"/>
      </w:tblGrid>
      <w:tr>
        <w:trPr>
          <w:tblHeader/>
        </w:trPr>
        <w:tc>
          <w:tcPr>
            <w:tcW w:type="dxa" w:w="1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Vector ID</w:t>
            </w:r>
          </w:p>
        </w:tc>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Attack Vector</w:t>
            </w:r>
          </w:p>
        </w:tc>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DPDPA Clause</w:t>
            </w:r>
          </w:p>
        </w:tc>
        <w:tc>
          <w:tcPr>
            <w:tcW w:type="dxa" w:w="1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Detection Method</w:t>
            </w:r>
          </w:p>
        </w:tc>
      </w:tr>
      <w:tr>
        <w:trPr>
          <w:tblHeader w:val="false"/>
        </w:trPr>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TM-1</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Third-Party SBOM Omission</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Vendor supplies incomplete SBOM; hidden malicious component evades baseline scans</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S.8(6) – Contractual obligation</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Grype SBOM diff + CVE delta alert</w:t>
            </w:r>
          </w:p>
        </w:tc>
      </w:tr>
      <w:tr>
        <w:trPr>
          <w:tblHeader w:val="false"/>
        </w:trPr>
        <w:tc>
          <w:tcPr>
            <w:tcW w:type="dxa" w:w="1560"/>
            <w:tcBorders>
              <w:top w:val="single" w:color="AAAAAA" w:sz="1"/>
              <w:left w:val="single" w:color="AAAAAA" w:sz="1"/>
              <w:bottom w:val="single" w:color="AAAAAA" w:sz="1"/>
              <w:right w:val="single" w:color="AAAAAA" w:sz="1"/>
            </w:tcBorders>
            <w:shd w:fill="FFF8F0" w:val="clear"/>
            <w:tcMar>
              <w:top w:type="dxa" w:w="80"/>
              <w:left w:type="dxa" w:w="120"/>
              <w:bottom w:type="dxa" w:w="80"/>
              <w:right w:type="dxa" w:w="120"/>
            </w:tcMar>
          </w:tcPr>
          <w:p>
            <w:r>
              <w:rPr>
                <w:rFonts w:ascii="Arial" w:cs="Arial" w:eastAsia="Arial" w:hAnsi="Arial"/>
                <w:b w:val="false"/>
                <w:bCs w:val="false"/>
                <w:color w:val="222222"/>
                <w:sz w:val="18"/>
                <w:szCs w:val="18"/>
              </w:rPr>
              <w:t xml:space="preserve">TM-2</w:t>
            </w:r>
          </w:p>
        </w:tc>
        <w:tc>
          <w:tcPr>
            <w:tcW w:type="dxa" w:w="2340"/>
            <w:tcBorders>
              <w:top w:val="single" w:color="AAAAAA" w:sz="1"/>
              <w:left w:val="single" w:color="AAAAAA" w:sz="1"/>
              <w:bottom w:val="single" w:color="AAAAAA" w:sz="1"/>
              <w:right w:val="single" w:color="AAAAAA" w:sz="1"/>
            </w:tcBorders>
            <w:shd w:fill="FFF8F0" w:val="clear"/>
            <w:tcMar>
              <w:top w:type="dxa" w:w="80"/>
              <w:left w:type="dxa" w:w="120"/>
              <w:bottom w:type="dxa" w:w="80"/>
              <w:right w:type="dxa" w:w="120"/>
            </w:tcMar>
          </w:tcPr>
          <w:p>
            <w:r>
              <w:rPr>
                <w:rFonts w:ascii="Arial" w:cs="Arial" w:eastAsia="Arial" w:hAnsi="Arial"/>
                <w:b w:val="false"/>
                <w:bCs w:val="false"/>
                <w:color w:val="222222"/>
                <w:sz w:val="18"/>
                <w:szCs w:val="18"/>
              </w:rPr>
              <w:t xml:space="preserve">Fourth-Party Cloud Breach</w:t>
            </w:r>
          </w:p>
        </w:tc>
        <w:tc>
          <w:tcPr>
            <w:tcW w:type="dxa" w:w="2340"/>
            <w:tcBorders>
              <w:top w:val="single" w:color="AAAAAA" w:sz="1"/>
              <w:left w:val="single" w:color="AAAAAA" w:sz="1"/>
              <w:bottom w:val="single" w:color="AAAAAA" w:sz="1"/>
              <w:right w:val="single" w:color="AAAAAA" w:sz="1"/>
            </w:tcBorders>
            <w:shd w:fill="FFF8F0" w:val="clear"/>
            <w:tcMar>
              <w:top w:type="dxa" w:w="80"/>
              <w:left w:type="dxa" w:w="120"/>
              <w:bottom w:type="dxa" w:w="80"/>
              <w:right w:type="dxa" w:w="120"/>
            </w:tcMar>
          </w:tcPr>
          <w:p>
            <w:r>
              <w:rPr>
                <w:rFonts w:ascii="Arial" w:cs="Arial" w:eastAsia="Arial" w:hAnsi="Arial"/>
                <w:b w:val="false"/>
                <w:bCs w:val="false"/>
                <w:color w:val="222222"/>
                <w:sz w:val="18"/>
                <w:szCs w:val="18"/>
              </w:rPr>
              <w:t xml:space="preserve">Sub-processor breach propagates upward through cloud dependency chain</w:t>
            </w:r>
          </w:p>
        </w:tc>
        <w:tc>
          <w:tcPr>
            <w:tcW w:type="dxa" w:w="1560"/>
            <w:tcBorders>
              <w:top w:val="single" w:color="AAAAAA" w:sz="1"/>
              <w:left w:val="single" w:color="AAAAAA" w:sz="1"/>
              <w:bottom w:val="single" w:color="AAAAAA" w:sz="1"/>
              <w:right w:val="single" w:color="AAAAAA" w:sz="1"/>
            </w:tcBorders>
            <w:shd w:fill="FFF8F0" w:val="clear"/>
            <w:tcMar>
              <w:top w:type="dxa" w:w="80"/>
              <w:left w:type="dxa" w:w="120"/>
              <w:bottom w:type="dxa" w:w="80"/>
              <w:right w:type="dxa" w:w="120"/>
            </w:tcMar>
          </w:tcPr>
          <w:p>
            <w:r>
              <w:rPr>
                <w:rFonts w:ascii="Arial" w:cs="Arial" w:eastAsia="Arial" w:hAnsi="Arial"/>
                <w:b w:val="false"/>
                <w:bCs w:val="false"/>
                <w:color w:val="222222"/>
                <w:sz w:val="18"/>
                <w:szCs w:val="18"/>
              </w:rPr>
              <w:t xml:space="preserve">S.8(7) – Processor accountability</w:t>
            </w:r>
          </w:p>
        </w:tc>
        <w:tc>
          <w:tcPr>
            <w:tcW w:type="dxa" w:w="1560"/>
            <w:tcBorders>
              <w:top w:val="single" w:color="AAAAAA" w:sz="1"/>
              <w:left w:val="single" w:color="AAAAAA" w:sz="1"/>
              <w:bottom w:val="single" w:color="AAAAAA" w:sz="1"/>
              <w:right w:val="single" w:color="AAAAAA" w:sz="1"/>
            </w:tcBorders>
            <w:shd w:fill="FFF8F0" w:val="clear"/>
            <w:tcMar>
              <w:top w:type="dxa" w:w="80"/>
              <w:left w:type="dxa" w:w="120"/>
              <w:bottom w:type="dxa" w:w="80"/>
              <w:right w:type="dxa" w:w="120"/>
            </w:tcMar>
          </w:tcPr>
          <w:p>
            <w:r>
              <w:rPr>
                <w:rFonts w:ascii="Arial" w:cs="Arial" w:eastAsia="Arial" w:hAnsi="Arial"/>
                <w:b w:val="false"/>
                <w:bCs w:val="false"/>
                <w:color w:val="222222"/>
                <w:sz w:val="18"/>
                <w:szCs w:val="18"/>
              </w:rPr>
              <w:t xml:space="preserve">Rating drop trigger (&gt;20% threshold)</w:t>
            </w:r>
          </w:p>
        </w:tc>
      </w:tr>
      <w:tr>
        <w:trPr>
          <w:tblHeader w:val="false"/>
        </w:trPr>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TM-3</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Delayed Breach Notification</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Data Fiduciary receives breach report beyond 72-hour DPDPA window</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S.8(1) – Breach notification</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DPDPA timer + automated audit trigger</w:t>
            </w:r>
          </w:p>
        </w:tc>
      </w:tr>
    </w:tbl>
    <w:p>
      <w:pPr>
        <w:spacing w:after="60" w:before="60" w:line="276"/>
        <w:jc w:val="both"/>
      </w:pPr>
      <w:r>
        <w:rPr>
          <w:rFonts w:ascii="Arial" w:cs="Arial" w:eastAsia="Arial" w:hAnsi="Arial"/>
          <w:sz w:val="22"/>
          <w:szCs w:val="22"/>
        </w:rPr>
        <w:t xml:space="preserve"/>
      </w:r>
    </w:p>
    <w:p>
      <w:pPr>
        <w:spacing w:after="60" w:before="60" w:line="276"/>
        <w:jc w:val="both"/>
      </w:pPr>
      <w:r>
        <w:rPr>
          <w:rFonts w:ascii="Arial" w:cs="Arial" w:eastAsia="Arial" w:hAnsi="Arial"/>
          <w:sz w:val="22"/>
          <w:szCs w:val="22"/>
        </w:rPr>
        <w:t xml:space="preserve">TM-1 is the most operationally common vector: vendors routinely omit internal components from SBOMs to protect intellectual property, creating blind spots that baseline questionnaire assessments cannot detect. TM-3 is the highest regulatory risk under DPDPA because the 72-hour clock operates independently of detection capability.</w:t>
      </w:r>
    </w:p>
    <w:p>
      <w:pPr>
        <w:pStyle w:val="Heading2"/>
        <w:spacing w:after="80" w:before="200"/>
      </w:pPr>
      <w:r>
        <w:rPr>
          <w:rFonts w:ascii="Arial" w:cs="Arial" w:eastAsia="Arial" w:hAnsi="Arial"/>
          <w:b/>
          <w:bCs/>
          <w:color w:val="000000"/>
          <w:sz w:val="24"/>
          <w:szCs w:val="24"/>
        </w:rPr>
        <w:t xml:space="preserve">C. Attacker Assumptions</w:t>
      </w:r>
    </w:p>
    <w:p>
      <w:pPr>
        <w:spacing w:after="60" w:before="60" w:line="276"/>
        <w:jc w:val="both"/>
      </w:pPr>
      <w:r>
        <w:rPr>
          <w:rFonts w:ascii="Arial" w:cs="Arial" w:eastAsia="Arial" w:hAnsi="Arial"/>
          <w:sz w:val="22"/>
          <w:szCs w:val="22"/>
        </w:rPr>
        <w:t xml:space="preserve">We assume an attacker with the capability to: (i) introduce CVEs through dependency confusion or upstream package compromise; (ii) delay breach disclosure to the primary vendor; and (iii) exploit the 90-day detection window in periodic-only monitoring regimes. We do not model active network-layer attacks (e.g., lateral movement post-exploitation), as the primary contribution is detection-speed measurement, not post-breach response.</w:t>
      </w:r>
    </w:p>
    <w:p/>
    <w:p>
      <w:pPr>
        <w:pStyle w:val="Heading1"/>
        <w:spacing w:after="120" w:before="300"/>
      </w:pPr>
      <w:r>
        <w:rPr>
          <w:rFonts w:ascii="Arial" w:cs="Arial" w:eastAsia="Arial" w:hAnsi="Arial"/>
          <w:b/>
          <w:bCs/>
          <w:color w:val="000000"/>
          <w:sz w:val="28"/>
          <w:szCs w:val="28"/>
        </w:rPr>
        <w:t xml:space="preserve">IV. Framework Design</w:t>
      </w:r>
    </w:p>
    <w:p>
      <w:pPr>
        <w:spacing w:after="60" w:before="60" w:line="276"/>
        <w:jc w:val="both"/>
      </w:pPr>
      <w:r>
        <w:rPr>
          <w:rFonts w:ascii="Arial" w:cs="Arial" w:eastAsia="Arial" w:hAnsi="Arial"/>
          <w:sz w:val="22"/>
          <w:szCs w:val="22"/>
        </w:rPr>
        <w:t xml:space="preserve">The framework operates across four layers: Visibility (L1), Signal (L2), Compliance (L3), and Reporting (L4). Table III summarizes the components, tools, and output artifacts at each layer.</w:t>
      </w:r>
    </w:p>
    <w:p>
      <w:pPr>
        <w:spacing w:after="60" w:before="120"/>
        <w:jc w:val="center"/>
      </w:pPr>
      <w:r>
        <w:rPr>
          <w:rFonts w:ascii="Arial" w:cs="Arial" w:eastAsia="Arial" w:hAnsi="Arial"/>
          <w:b/>
          <w:bCs/>
          <w:color w:val="000000"/>
          <w:sz w:val="20"/>
          <w:szCs w:val="20"/>
        </w:rPr>
        <w:t xml:space="preserve">Table III: Framework Architecture — Components and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2340"/>
        <w:gridCol w:w="2340"/>
      </w:tblGrid>
      <w:tr>
        <w:trPr>
          <w:tblHeader/>
        </w:trPr>
        <w:tc>
          <w:tcPr>
            <w:tcW w:type="dxa" w:w="15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312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234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Tool / Source</w:t>
            </w:r>
          </w:p>
        </w:tc>
        <w:tc>
          <w:tcPr>
            <w:tcW w:type="dxa" w:w="234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Output Artifact</w:t>
            </w:r>
          </w:p>
        </w:tc>
      </w:tr>
      <w:tr>
        <w:trPr>
          <w:tblHeader w:val="false"/>
        </w:trPr>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L1 – Visibility</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SBOM Generation</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Syft v1.x (CycloneDX 1.4)</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sbom-{image}-{cycle}.json</w:t>
            </w:r>
          </w:p>
        </w:tc>
      </w:tr>
      <w:tr>
        <w:trPr>
          <w:tblHeader w:val="false"/>
        </w:trPr>
        <w:tc>
          <w:tcPr>
            <w:tcW w:type="dxa" w:w="1560"/>
            <w:tcBorders>
              <w:top w:val="single" w:color="AAAAAA" w:sz="1"/>
              <w:left w:val="single" w:color="AAAAAA" w:sz="1"/>
              <w:bottom w:val="single" w:color="AAAAAA" w:sz="1"/>
              <w:right w:val="single" w:color="AAAAAA" w:sz="1"/>
            </w:tcBorders>
            <w:shd w:fill="F0F6FF" w:val="clear"/>
            <w:tcMar>
              <w:top w:type="dxa" w:w="80"/>
              <w:left w:type="dxa" w:w="120"/>
              <w:bottom w:type="dxa" w:w="80"/>
              <w:right w:type="dxa" w:w="120"/>
            </w:tcMar>
          </w:tcPr>
          <w:p>
            <w:r>
              <w:rPr>
                <w:rFonts w:ascii="Arial" w:cs="Arial" w:eastAsia="Arial" w:hAnsi="Arial"/>
                <w:b w:val="false"/>
                <w:bCs w:val="false"/>
                <w:color w:val="222222"/>
                <w:sz w:val="18"/>
                <w:szCs w:val="18"/>
              </w:rPr>
              <w:t xml:space="preserve">L1 – Visibility</w:t>
            </w:r>
          </w:p>
        </w:tc>
        <w:tc>
          <w:tcPr>
            <w:tcW w:type="dxa" w:w="3120"/>
            <w:tcBorders>
              <w:top w:val="single" w:color="AAAAAA" w:sz="1"/>
              <w:left w:val="single" w:color="AAAAAA" w:sz="1"/>
              <w:bottom w:val="single" w:color="AAAAAA" w:sz="1"/>
              <w:right w:val="single" w:color="AAAAAA" w:sz="1"/>
            </w:tcBorders>
            <w:shd w:fill="F0F6FF" w:val="clear"/>
            <w:tcMar>
              <w:top w:type="dxa" w:w="80"/>
              <w:left w:type="dxa" w:w="120"/>
              <w:bottom w:type="dxa" w:w="80"/>
              <w:right w:type="dxa" w:w="120"/>
            </w:tcMar>
          </w:tcPr>
          <w:p>
            <w:r>
              <w:rPr>
                <w:rFonts w:ascii="Arial" w:cs="Arial" w:eastAsia="Arial" w:hAnsi="Arial"/>
                <w:b w:val="false"/>
                <w:bCs w:val="false"/>
                <w:color w:val="222222"/>
                <w:sz w:val="18"/>
                <w:szCs w:val="18"/>
              </w:rPr>
              <w:t xml:space="preserve">Vulnerability Mapping</w:t>
            </w:r>
          </w:p>
        </w:tc>
        <w:tc>
          <w:tcPr>
            <w:tcW w:type="dxa" w:w="2340"/>
            <w:tcBorders>
              <w:top w:val="single" w:color="AAAAAA" w:sz="1"/>
              <w:left w:val="single" w:color="AAAAAA" w:sz="1"/>
              <w:bottom w:val="single" w:color="AAAAAA" w:sz="1"/>
              <w:right w:val="single" w:color="AAAAAA" w:sz="1"/>
            </w:tcBorders>
            <w:shd w:fill="F0F6FF" w:val="clear"/>
            <w:tcMar>
              <w:top w:type="dxa" w:w="80"/>
              <w:left w:type="dxa" w:w="120"/>
              <w:bottom w:type="dxa" w:w="80"/>
              <w:right w:type="dxa" w:w="120"/>
            </w:tcMar>
          </w:tcPr>
          <w:p>
            <w:r>
              <w:rPr>
                <w:rFonts w:ascii="Arial" w:cs="Arial" w:eastAsia="Arial" w:hAnsi="Arial"/>
                <w:b w:val="false"/>
                <w:bCs w:val="false"/>
                <w:color w:val="222222"/>
                <w:sz w:val="18"/>
                <w:szCs w:val="18"/>
              </w:rPr>
              <w:t xml:space="preserve">Grype v0.79+ (NVD/GHSA)</w:t>
            </w:r>
          </w:p>
        </w:tc>
        <w:tc>
          <w:tcPr>
            <w:tcW w:type="dxa" w:w="2340"/>
            <w:tcBorders>
              <w:top w:val="single" w:color="AAAAAA" w:sz="1"/>
              <w:left w:val="single" w:color="AAAAAA" w:sz="1"/>
              <w:bottom w:val="single" w:color="AAAAAA" w:sz="1"/>
              <w:right w:val="single" w:color="AAAAAA" w:sz="1"/>
            </w:tcBorders>
            <w:shd w:fill="F0F6FF" w:val="clear"/>
            <w:tcMar>
              <w:top w:type="dxa" w:w="80"/>
              <w:left w:type="dxa" w:w="120"/>
              <w:bottom w:type="dxa" w:w="80"/>
              <w:right w:type="dxa" w:w="120"/>
            </w:tcMar>
          </w:tcPr>
          <w:p>
            <w:r>
              <w:rPr>
                <w:rFonts w:ascii="Arial" w:cs="Arial" w:eastAsia="Arial" w:hAnsi="Arial"/>
                <w:b w:val="false"/>
                <w:bCs w:val="false"/>
                <w:color w:val="222222"/>
                <w:sz w:val="18"/>
                <w:szCs w:val="18"/>
              </w:rPr>
              <w:t xml:space="preserve">grype-{image}-{cycle}.json</w:t>
            </w:r>
          </w:p>
        </w:tc>
      </w:tr>
      <w:tr>
        <w:trPr>
          <w:tblHeader w:val="false"/>
        </w:trPr>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L2 – Signal</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Security Rating Check</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Bitsight API / simulated</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rating-delta-{ts}.log</w:t>
            </w:r>
          </w:p>
        </w:tc>
      </w:tr>
      <w:tr>
        <w:trPr>
          <w:tblHeader w:val="false"/>
        </w:trPr>
        <w:tc>
          <w:tcPr>
            <w:tcW w:type="dxa" w:w="1560"/>
            <w:tcBorders>
              <w:top w:val="single" w:color="AAAAAA" w:sz="1"/>
              <w:left w:val="single" w:color="AAAAAA" w:sz="1"/>
              <w:bottom w:val="single" w:color="AAAAAA" w:sz="1"/>
              <w:right w:val="single" w:color="AAAAAA" w:sz="1"/>
            </w:tcBorders>
            <w:shd w:fill="F0F6FF" w:val="clear"/>
            <w:tcMar>
              <w:top w:type="dxa" w:w="80"/>
              <w:left w:type="dxa" w:w="120"/>
              <w:bottom w:type="dxa" w:w="80"/>
              <w:right w:type="dxa" w:w="120"/>
            </w:tcMar>
          </w:tcPr>
          <w:p>
            <w:r>
              <w:rPr>
                <w:rFonts w:ascii="Arial" w:cs="Arial" w:eastAsia="Arial" w:hAnsi="Arial"/>
                <w:b w:val="false"/>
                <w:bCs w:val="false"/>
                <w:color w:val="222222"/>
                <w:sz w:val="18"/>
                <w:szCs w:val="18"/>
              </w:rPr>
              <w:t xml:space="preserve">L2 – Signal</w:t>
            </w:r>
          </w:p>
        </w:tc>
        <w:tc>
          <w:tcPr>
            <w:tcW w:type="dxa" w:w="3120"/>
            <w:tcBorders>
              <w:top w:val="single" w:color="AAAAAA" w:sz="1"/>
              <w:left w:val="single" w:color="AAAAAA" w:sz="1"/>
              <w:bottom w:val="single" w:color="AAAAAA" w:sz="1"/>
              <w:right w:val="single" w:color="AAAAAA" w:sz="1"/>
            </w:tcBorders>
            <w:shd w:fill="F0F6FF" w:val="clear"/>
            <w:tcMar>
              <w:top w:type="dxa" w:w="80"/>
              <w:left w:type="dxa" w:w="120"/>
              <w:bottom w:type="dxa" w:w="80"/>
              <w:right w:type="dxa" w:w="120"/>
            </w:tcMar>
          </w:tcPr>
          <w:p>
            <w:r>
              <w:rPr>
                <w:rFonts w:ascii="Arial" w:cs="Arial" w:eastAsia="Arial" w:hAnsi="Arial"/>
                <w:b w:val="false"/>
                <w:bCs w:val="false"/>
                <w:color w:val="222222"/>
                <w:sz w:val="18"/>
                <w:szCs w:val="18"/>
              </w:rPr>
              <w:t xml:space="preserve">CVE Severity Filter</w:t>
            </w:r>
          </w:p>
        </w:tc>
        <w:tc>
          <w:tcPr>
            <w:tcW w:type="dxa" w:w="2340"/>
            <w:tcBorders>
              <w:top w:val="single" w:color="AAAAAA" w:sz="1"/>
              <w:left w:val="single" w:color="AAAAAA" w:sz="1"/>
              <w:bottom w:val="single" w:color="AAAAAA" w:sz="1"/>
              <w:right w:val="single" w:color="AAAAAA" w:sz="1"/>
            </w:tcBorders>
            <w:shd w:fill="F0F6FF" w:val="clear"/>
            <w:tcMar>
              <w:top w:type="dxa" w:w="80"/>
              <w:left w:type="dxa" w:w="120"/>
              <w:bottom w:type="dxa" w:w="80"/>
              <w:right w:type="dxa" w:w="120"/>
            </w:tcMar>
          </w:tcPr>
          <w:p>
            <w:r>
              <w:rPr>
                <w:rFonts w:ascii="Arial" w:cs="Arial" w:eastAsia="Arial" w:hAnsi="Arial"/>
                <w:b w:val="false"/>
                <w:bCs w:val="false"/>
                <w:color w:val="222222"/>
                <w:sz w:val="18"/>
                <w:szCs w:val="18"/>
              </w:rPr>
              <w:t xml:space="preserve">CVSS ≥ 7.0 (High/Critical)</w:t>
            </w:r>
          </w:p>
        </w:tc>
        <w:tc>
          <w:tcPr>
            <w:tcW w:type="dxa" w:w="2340"/>
            <w:tcBorders>
              <w:top w:val="single" w:color="AAAAAA" w:sz="1"/>
              <w:left w:val="single" w:color="AAAAAA" w:sz="1"/>
              <w:bottom w:val="single" w:color="AAAAAA" w:sz="1"/>
              <w:right w:val="single" w:color="AAAAAA" w:sz="1"/>
            </w:tcBorders>
            <w:shd w:fill="F0F6FF" w:val="clear"/>
            <w:tcMar>
              <w:top w:type="dxa" w:w="80"/>
              <w:left w:type="dxa" w:w="120"/>
              <w:bottom w:type="dxa" w:w="80"/>
              <w:right w:type="dxa" w:w="120"/>
            </w:tcMar>
          </w:tcPr>
          <w:p>
            <w:r>
              <w:rPr>
                <w:rFonts w:ascii="Arial" w:cs="Arial" w:eastAsia="Arial" w:hAnsi="Arial"/>
                <w:b w:val="false"/>
                <w:bCs w:val="false"/>
                <w:color w:val="222222"/>
                <w:sz w:val="18"/>
                <w:szCs w:val="18"/>
              </w:rPr>
              <w:t xml:space="preserve">filtered-cve-list.txt</w:t>
            </w:r>
          </w:p>
        </w:tc>
      </w:tr>
      <w:tr>
        <w:trPr>
          <w:tblHeader w:val="false"/>
        </w:trPr>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L3 – Compliance</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DPDPA Trigger Engine</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Bash rule engine (tpr-framework.sh)</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DPDPA_AUDIT event</w:t>
            </w:r>
          </w:p>
        </w:tc>
      </w:tr>
      <w:tr>
        <w:trPr>
          <w:tblHeader w:val="false"/>
        </w:trPr>
        <w:tc>
          <w:tcPr>
            <w:tcW w:type="dxa" w:w="1560"/>
            <w:tcBorders>
              <w:top w:val="single" w:color="AAAAAA" w:sz="1"/>
              <w:left w:val="single" w:color="AAAAAA" w:sz="1"/>
              <w:bottom w:val="single" w:color="AAAAAA" w:sz="1"/>
              <w:right w:val="single" w:color="AAAAAA" w:sz="1"/>
            </w:tcBorders>
            <w:shd w:fill="F0F6FF" w:val="clear"/>
            <w:tcMar>
              <w:top w:type="dxa" w:w="80"/>
              <w:left w:type="dxa" w:w="120"/>
              <w:bottom w:type="dxa" w:w="80"/>
              <w:right w:type="dxa" w:w="120"/>
            </w:tcMar>
          </w:tcPr>
          <w:p>
            <w:r>
              <w:rPr>
                <w:rFonts w:ascii="Arial" w:cs="Arial" w:eastAsia="Arial" w:hAnsi="Arial"/>
                <w:b w:val="false"/>
                <w:bCs w:val="false"/>
                <w:color w:val="222222"/>
                <w:sz w:val="18"/>
                <w:szCs w:val="18"/>
              </w:rPr>
              <w:t xml:space="preserve">L3 – Compliance</w:t>
            </w:r>
          </w:p>
        </w:tc>
        <w:tc>
          <w:tcPr>
            <w:tcW w:type="dxa" w:w="3120"/>
            <w:tcBorders>
              <w:top w:val="single" w:color="AAAAAA" w:sz="1"/>
              <w:left w:val="single" w:color="AAAAAA" w:sz="1"/>
              <w:bottom w:val="single" w:color="AAAAAA" w:sz="1"/>
              <w:right w:val="single" w:color="AAAAAA" w:sz="1"/>
            </w:tcBorders>
            <w:shd w:fill="F0F6FF" w:val="clear"/>
            <w:tcMar>
              <w:top w:type="dxa" w:w="80"/>
              <w:left w:type="dxa" w:w="120"/>
              <w:bottom w:type="dxa" w:w="80"/>
              <w:right w:type="dxa" w:w="120"/>
            </w:tcMar>
          </w:tcPr>
          <w:p>
            <w:r>
              <w:rPr>
                <w:rFonts w:ascii="Arial" w:cs="Arial" w:eastAsia="Arial" w:hAnsi="Arial"/>
                <w:b w:val="false"/>
                <w:bCs w:val="false"/>
                <w:color w:val="222222"/>
                <w:sz w:val="18"/>
                <w:szCs w:val="18"/>
              </w:rPr>
              <w:t xml:space="preserve">Breach Notification Timer</w:t>
            </w:r>
          </w:p>
        </w:tc>
        <w:tc>
          <w:tcPr>
            <w:tcW w:type="dxa" w:w="2340"/>
            <w:tcBorders>
              <w:top w:val="single" w:color="AAAAAA" w:sz="1"/>
              <w:left w:val="single" w:color="AAAAAA" w:sz="1"/>
              <w:bottom w:val="single" w:color="AAAAAA" w:sz="1"/>
              <w:right w:val="single" w:color="AAAAAA" w:sz="1"/>
            </w:tcBorders>
            <w:shd w:fill="F0F6FF" w:val="clear"/>
            <w:tcMar>
              <w:top w:type="dxa" w:w="80"/>
              <w:left w:type="dxa" w:w="120"/>
              <w:bottom w:type="dxa" w:w="80"/>
              <w:right w:type="dxa" w:w="120"/>
            </w:tcMar>
          </w:tcPr>
          <w:p>
            <w:r>
              <w:rPr>
                <w:rFonts w:ascii="Arial" w:cs="Arial" w:eastAsia="Arial" w:hAnsi="Arial"/>
                <w:b w:val="false"/>
                <w:bCs w:val="false"/>
                <w:color w:val="222222"/>
                <w:sz w:val="18"/>
                <w:szCs w:val="18"/>
              </w:rPr>
              <w:t xml:space="preserve">72-hr countdown logic</w:t>
            </w:r>
          </w:p>
        </w:tc>
        <w:tc>
          <w:tcPr>
            <w:tcW w:type="dxa" w:w="2340"/>
            <w:tcBorders>
              <w:top w:val="single" w:color="AAAAAA" w:sz="1"/>
              <w:left w:val="single" w:color="AAAAAA" w:sz="1"/>
              <w:bottom w:val="single" w:color="AAAAAA" w:sz="1"/>
              <w:right w:val="single" w:color="AAAAAA" w:sz="1"/>
            </w:tcBorders>
            <w:shd w:fill="F0F6FF" w:val="clear"/>
            <w:tcMar>
              <w:top w:type="dxa" w:w="80"/>
              <w:left w:type="dxa" w:w="120"/>
              <w:bottom w:type="dxa" w:w="80"/>
              <w:right w:type="dxa" w:w="120"/>
            </w:tcMar>
          </w:tcPr>
          <w:p>
            <w:r>
              <w:rPr>
                <w:rFonts w:ascii="Arial" w:cs="Arial" w:eastAsia="Arial" w:hAnsi="Arial"/>
                <w:b w:val="false"/>
                <w:bCs w:val="false"/>
                <w:color w:val="222222"/>
                <w:sz w:val="18"/>
                <w:szCs w:val="18"/>
              </w:rPr>
              <w:t xml:space="preserve">breach-timer.log</w:t>
            </w:r>
          </w:p>
        </w:tc>
      </w:tr>
      <w:tr>
        <w:trPr>
          <w:tblHeader w:val="false"/>
        </w:trPr>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L4 – Reporting</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Metrics Dashboard</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Matplotlib + pandas</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ieee-tprm-dashboard.png</w:t>
            </w:r>
          </w:p>
        </w:tc>
      </w:tr>
      <w:tr>
        <w:trPr>
          <w:tblHeader w:val="false"/>
        </w:trPr>
        <w:tc>
          <w:tcPr>
            <w:tcW w:type="dxa" w:w="1560"/>
            <w:tcBorders>
              <w:top w:val="single" w:color="AAAAAA" w:sz="1"/>
              <w:left w:val="single" w:color="AAAAAA" w:sz="1"/>
              <w:bottom w:val="single" w:color="AAAAAA" w:sz="1"/>
              <w:right w:val="single" w:color="AAAAAA" w:sz="1"/>
            </w:tcBorders>
            <w:shd w:fill="F0F6FF" w:val="clear"/>
            <w:tcMar>
              <w:top w:type="dxa" w:w="80"/>
              <w:left w:type="dxa" w:w="120"/>
              <w:bottom w:type="dxa" w:w="80"/>
              <w:right w:type="dxa" w:w="120"/>
            </w:tcMar>
          </w:tcPr>
          <w:p>
            <w:r>
              <w:rPr>
                <w:rFonts w:ascii="Arial" w:cs="Arial" w:eastAsia="Arial" w:hAnsi="Arial"/>
                <w:b w:val="false"/>
                <w:bCs w:val="false"/>
                <w:color w:val="222222"/>
                <w:sz w:val="18"/>
                <w:szCs w:val="18"/>
              </w:rPr>
              <w:t xml:space="preserve">L4 – Reporting</w:t>
            </w:r>
          </w:p>
        </w:tc>
        <w:tc>
          <w:tcPr>
            <w:tcW w:type="dxa" w:w="3120"/>
            <w:tcBorders>
              <w:top w:val="single" w:color="AAAAAA" w:sz="1"/>
              <w:left w:val="single" w:color="AAAAAA" w:sz="1"/>
              <w:bottom w:val="single" w:color="AAAAAA" w:sz="1"/>
              <w:right w:val="single" w:color="AAAAAA" w:sz="1"/>
            </w:tcBorders>
            <w:shd w:fill="F0F6FF" w:val="clear"/>
            <w:tcMar>
              <w:top w:type="dxa" w:w="80"/>
              <w:left w:type="dxa" w:w="120"/>
              <w:bottom w:type="dxa" w:w="80"/>
              <w:right w:type="dxa" w:w="120"/>
            </w:tcMar>
          </w:tcPr>
          <w:p>
            <w:r>
              <w:rPr>
                <w:rFonts w:ascii="Arial" w:cs="Arial" w:eastAsia="Arial" w:hAnsi="Arial"/>
                <w:b w:val="false"/>
                <w:bCs w:val="false"/>
                <w:color w:val="222222"/>
                <w:sz w:val="18"/>
                <w:szCs w:val="18"/>
              </w:rPr>
              <w:t xml:space="preserve">CSV Export</w:t>
            </w:r>
          </w:p>
        </w:tc>
        <w:tc>
          <w:tcPr>
            <w:tcW w:type="dxa" w:w="2340"/>
            <w:tcBorders>
              <w:top w:val="single" w:color="AAAAAA" w:sz="1"/>
              <w:left w:val="single" w:color="AAAAAA" w:sz="1"/>
              <w:bottom w:val="single" w:color="AAAAAA" w:sz="1"/>
              <w:right w:val="single" w:color="AAAAAA" w:sz="1"/>
            </w:tcBorders>
            <w:shd w:fill="F0F6FF" w:val="clear"/>
            <w:tcMar>
              <w:top w:type="dxa" w:w="80"/>
              <w:left w:type="dxa" w:w="120"/>
              <w:bottom w:type="dxa" w:w="80"/>
              <w:right w:type="dxa" w:w="120"/>
            </w:tcMar>
          </w:tcPr>
          <w:p>
            <w:r>
              <w:rPr>
                <w:rFonts w:ascii="Arial" w:cs="Arial" w:eastAsia="Arial" w:hAnsi="Arial"/>
                <w:b w:val="false"/>
                <w:bCs w:val="false"/>
                <w:color w:val="222222"/>
                <w:sz w:val="18"/>
                <w:szCs w:val="18"/>
              </w:rPr>
              <w:t xml:space="preserve">Python csv module</w:t>
            </w:r>
          </w:p>
        </w:tc>
        <w:tc>
          <w:tcPr>
            <w:tcW w:type="dxa" w:w="2340"/>
            <w:tcBorders>
              <w:top w:val="single" w:color="AAAAAA" w:sz="1"/>
              <w:left w:val="single" w:color="AAAAAA" w:sz="1"/>
              <w:bottom w:val="single" w:color="AAAAAA" w:sz="1"/>
              <w:right w:val="single" w:color="AAAAAA" w:sz="1"/>
            </w:tcBorders>
            <w:shd w:fill="F0F6FF" w:val="clear"/>
            <w:tcMar>
              <w:top w:type="dxa" w:w="80"/>
              <w:left w:type="dxa" w:w="120"/>
              <w:bottom w:type="dxa" w:w="80"/>
              <w:right w:type="dxa" w:w="120"/>
            </w:tcMar>
          </w:tcPr>
          <w:p>
            <w:r>
              <w:rPr>
                <w:rFonts w:ascii="Arial" w:cs="Arial" w:eastAsia="Arial" w:hAnsi="Arial"/>
                <w:b w:val="false"/>
                <w:bCs w:val="false"/>
                <w:color w:val="222222"/>
                <w:sz w:val="18"/>
                <w:szCs w:val="18"/>
              </w:rPr>
              <w:t xml:space="preserve">tprm-extended-results.csv</w:t>
            </w:r>
          </w:p>
        </w:tc>
      </w:tr>
    </w:tbl>
    <w:p>
      <w:pPr>
        <w:spacing w:after="60" w:before="60" w:line="276"/>
        <w:jc w:val="both"/>
      </w:pPr>
      <w:r>
        <w:rPr>
          <w:rFonts w:ascii="Arial" w:cs="Arial" w:eastAsia="Arial" w:hAnsi="Arial"/>
          <w:sz w:val="22"/>
          <w:szCs w:val="22"/>
        </w:rPr>
        <w:t xml:space="preserve"/>
      </w:r>
    </w:p>
    <w:p>
      <w:pPr>
        <w:pStyle w:val="Heading2"/>
        <w:spacing w:after="80" w:before="200"/>
      </w:pPr>
      <w:r>
        <w:rPr>
          <w:rFonts w:ascii="Arial" w:cs="Arial" w:eastAsia="Arial" w:hAnsi="Arial"/>
          <w:b/>
          <w:bCs/>
          <w:color w:val="000000"/>
          <w:sz w:val="24"/>
          <w:szCs w:val="24"/>
        </w:rPr>
        <w:t xml:space="preserve">A. Layer 1 — SBOM Generation and Vulnerability Mapping</w:t>
      </w:r>
    </w:p>
    <w:p>
      <w:pPr>
        <w:spacing w:after="60" w:before="60" w:line="276"/>
        <w:jc w:val="both"/>
      </w:pPr>
      <w:r>
        <w:rPr>
          <w:rFonts w:ascii="Arial" w:cs="Arial" w:eastAsia="Arial" w:hAnsi="Arial"/>
          <w:sz w:val="22"/>
          <w:szCs w:val="22"/>
        </w:rPr>
        <w:t xml:space="preserve">At each scan cycle, Syft (v1.x) generates a CycloneDX 1.4 SBOM for each monitored container image using the command:</w:t>
      </w:r>
    </w:p>
    <w:p>
      <w:pPr>
        <w:shd w:fill="F5F5F5" w:val="clear"/>
        <w:spacing w:after="80" w:before="80"/>
      </w:pPr>
      <w:r>
        <w:rPr>
          <w:rFonts w:ascii="Courier New" w:cs="Courier New" w:eastAsia="Courier New" w:hAnsi="Courier New"/>
          <w:color w:val="1A1A1A"/>
          <w:sz w:val="20"/>
          <w:szCs w:val="20"/>
        </w:rPr>
        <w:t xml:space="preserve">syft &lt;image&gt;:&lt;tag&gt; --output cyclonedx-json &gt; sbom-{image}-{cycle}.json</w:t>
      </w:r>
    </w:p>
    <w:p>
      <w:pPr>
        <w:spacing w:after="60" w:before="60" w:line="276"/>
        <w:jc w:val="both"/>
      </w:pPr>
      <w:r>
        <w:rPr>
          <w:rFonts w:ascii="Arial" w:cs="Arial" w:eastAsia="Arial" w:hAnsi="Arial"/>
          <w:sz w:val="22"/>
          <w:szCs w:val="22"/>
        </w:rPr>
        <w:t xml:space="preserve">Grype (v0.79+) then processes the SBOM against the combined NVD/GHSA/GitHub Advisory Database:</w:t>
      </w:r>
    </w:p>
    <w:p>
      <w:pPr>
        <w:shd w:fill="F5F5F5" w:val="clear"/>
        <w:spacing w:after="80" w:before="80"/>
      </w:pPr>
      <w:r>
        <w:rPr>
          <w:rFonts w:ascii="Courier New" w:cs="Courier New" w:eastAsia="Courier New" w:hAnsi="Courier New"/>
          <w:color w:val="1A1A1A"/>
          <w:sz w:val="20"/>
          <w:szCs w:val="20"/>
        </w:rPr>
        <w:t xml:space="preserve">grype sbom:sbom-{image}-{cycle}.json --output json &gt; grype-{image}-{cycle}.json</w:t>
      </w:r>
    </w:p>
    <w:p>
      <w:pPr>
        <w:spacing w:after="60" w:before="60" w:line="276"/>
        <w:jc w:val="both"/>
      </w:pPr>
      <w:r>
        <w:rPr>
          <w:rFonts w:ascii="Arial" w:cs="Arial" w:eastAsia="Arial" w:hAnsi="Arial"/>
          <w:sz w:val="22"/>
          <w:szCs w:val="22"/>
        </w:rPr>
        <w:t xml:space="preserve">The SBOM delta between consecutive cycles flags newly introduced packages — a direct signal for TM-1 (SBOM omission attacks). Grype's CVSS-based severity filter retains only High (7.0–8.9) and Critical (9.0–10.0) CVEs for downstream processing, reducing alert volume while preserving actionable findings.</w:t>
      </w:r>
    </w:p>
    <w:p>
      <w:pPr>
        <w:pStyle w:val="Heading2"/>
        <w:spacing w:after="80" w:before="200"/>
      </w:pPr>
      <w:r>
        <w:rPr>
          <w:rFonts w:ascii="Arial" w:cs="Arial" w:eastAsia="Arial" w:hAnsi="Arial"/>
          <w:b/>
          <w:bCs/>
          <w:color w:val="000000"/>
          <w:sz w:val="24"/>
          <w:szCs w:val="24"/>
        </w:rPr>
        <w:t xml:space="preserve">B. Layer 2 — Vendor Security Rating Integration</w:t>
      </w:r>
    </w:p>
    <w:p>
      <w:pPr>
        <w:spacing w:after="60" w:before="60" w:line="276"/>
        <w:jc w:val="both"/>
      </w:pPr>
      <w:r>
        <w:rPr>
          <w:rFonts w:ascii="Arial" w:cs="Arial" w:eastAsia="Arial" w:hAnsi="Arial"/>
          <w:sz w:val="22"/>
          <w:szCs w:val="22"/>
        </w:rPr>
        <w:t xml:space="preserve">The signal layer checks for vendor rating drops exceeding a configurable threshold (default: 20 percentage points). In the lab simulation, rating drops are synthesized from CVE severity delta between cycles. In production deployment, this layer would query the Bitsight or SecurityScorecard APIs:</w:t>
      </w:r>
    </w:p>
    <w:p>
      <w:pPr>
        <w:shd w:fill="F5F5F5" w:val="clear"/>
        <w:spacing w:after="80" w:before="80"/>
      </w:pPr>
      <w:r>
        <w:rPr>
          <w:rFonts w:ascii="Courier New" w:cs="Courier New" w:eastAsia="Courier New" w:hAnsi="Courier New"/>
          <w:color w:val="1A1A1A"/>
          <w:sz w:val="18"/>
          <w:szCs w:val="18"/>
        </w:rPr>
        <w:t xml:space="preserve">RATING_DROP=$(curl -s "https://api.bitsighttech.com/v2/companies/search?q=${VENDOR}" | jq '.rating_drop_pct // 0')</w:t>
      </w:r>
    </w:p>
    <w:p>
      <w:pPr>
        <w:spacing w:after="60" w:before="60" w:line="276"/>
        <w:jc w:val="both"/>
      </w:pPr>
      <w:r>
        <w:rPr>
          <w:rFonts w:ascii="Arial" w:cs="Arial" w:eastAsia="Arial" w:hAnsi="Arial"/>
          <w:sz w:val="22"/>
          <w:szCs w:val="22"/>
        </w:rPr>
        <w:t xml:space="preserve">The 20% threshold was selected based on the Bitsight industry benchmark report [19], which identifies drops of this magnitude as statistically significant precursors to breach events within 30 days. Organizations should tune this threshold based on vendor criticality tier.</w:t>
      </w:r>
    </w:p>
    <w:p>
      <w:pPr>
        <w:pStyle w:val="Heading2"/>
        <w:spacing w:after="80" w:before="200"/>
      </w:pPr>
      <w:r>
        <w:rPr>
          <w:rFonts w:ascii="Arial" w:cs="Arial" w:eastAsia="Arial" w:hAnsi="Arial"/>
          <w:b/>
          <w:bCs/>
          <w:color w:val="000000"/>
          <w:sz w:val="24"/>
          <w:szCs w:val="24"/>
        </w:rPr>
        <w:t xml:space="preserve">C. Layer 3 — DPDPA Compliance Trigger Engine</w:t>
      </w:r>
    </w:p>
    <w:p>
      <w:pPr>
        <w:spacing w:after="60" w:before="60" w:line="276"/>
        <w:jc w:val="both"/>
      </w:pPr>
      <w:r>
        <w:rPr>
          <w:rFonts w:ascii="Arial" w:cs="Arial" w:eastAsia="Arial" w:hAnsi="Arial"/>
          <w:sz w:val="22"/>
          <w:szCs w:val="22"/>
        </w:rPr>
        <w:t xml:space="preserve">The trigger engine implements two rule types from DPDPA 2023 in Bash logic:</w:t>
      </w:r>
    </w:p>
    <w:p>
      <w:pPr>
        <w:pStyle w:val="ListParagraph"/>
        <w:numPr>
          <w:ilvl w:val="0"/>
          <w:numId w:val="2"/>
        </w:numPr>
        <w:spacing w:after="40" w:before="40"/>
      </w:pPr>
      <w:r>
        <w:rPr>
          <w:rFonts w:ascii="Arial" w:cs="Arial" w:eastAsia="Arial" w:hAnsi="Arial"/>
          <w:sz w:val="22"/>
          <w:szCs w:val="22"/>
        </w:rPr>
        <w:t xml:space="preserve">Rating Drop Trigger: if vendor_rating_drop &gt; threshold, escalate to audit with 72-hour completion SLA.</w:t>
      </w:r>
    </w:p>
    <w:p>
      <w:pPr>
        <w:pStyle w:val="ListParagraph"/>
        <w:numPr>
          <w:ilvl w:val="0"/>
          <w:numId w:val="2"/>
        </w:numPr>
        <w:spacing w:after="40" w:before="40"/>
      </w:pPr>
      <w:r>
        <w:rPr>
          <w:rFonts w:ascii="Arial" w:cs="Arial" w:eastAsia="Arial" w:hAnsi="Arial"/>
          <w:sz w:val="22"/>
          <w:szCs w:val="22"/>
        </w:rPr>
        <w:t xml:space="preserve">Breach Detection Trigger: if critical_cve_count &gt; 0 AND affected_data_class = 'personal', start DPDPA 72-hour notification timer.</w:t>
      </w:r>
    </w:p>
    <w:p>
      <w:pPr>
        <w:spacing w:after="60" w:before="60" w:line="276"/>
        <w:jc w:val="both"/>
      </w:pPr>
      <w:r>
        <w:rPr>
          <w:rFonts w:ascii="Arial" w:cs="Arial" w:eastAsia="Arial" w:hAnsi="Arial"/>
          <w:sz w:val="22"/>
          <w:szCs w:val="22"/>
        </w:rPr>
        <w:t xml:space="preserve">In our n=10 evaluation, 8 cycles fired the audit trigger (80%) because at least one critical CVE was detected. The two cycles that did not trigger (cycles 6 and 8) had zero new critical CVEs relative to the previous cycle delta, correctly suppressing false audit escalations.</w:t>
      </w:r>
    </w:p>
    <w:p>
      <w:pPr>
        <w:pStyle w:val="Heading2"/>
        <w:spacing w:after="80" w:before="200"/>
      </w:pPr>
      <w:r>
        <w:rPr>
          <w:rFonts w:ascii="Arial" w:cs="Arial" w:eastAsia="Arial" w:hAnsi="Arial"/>
          <w:b/>
          <w:bCs/>
          <w:color w:val="000000"/>
          <w:sz w:val="24"/>
          <w:szCs w:val="24"/>
        </w:rPr>
        <w:t xml:space="preserve">D. Layer 4 — Metrics and Reporting</w:t>
      </w:r>
    </w:p>
    <w:p>
      <w:pPr>
        <w:spacing w:after="60" w:before="60" w:line="276"/>
        <w:jc w:val="both"/>
      </w:pPr>
      <w:r>
        <w:rPr>
          <w:rFonts w:ascii="Arial" w:cs="Arial" w:eastAsia="Arial" w:hAnsi="Arial"/>
          <w:sz w:val="22"/>
          <w:szCs w:val="22"/>
        </w:rPr>
        <w:t xml:space="preserve">A Python post-processor aggregates cycle results into a CSV (tprm-extended-results.csv) and generates the four-panel dashboard (ieee-tprm-dashboard.png) using Matplotlib. The dashboard displays: (i) MTTD comparison bar chart; (ii) severity trend lines across 10 cycles; (iii) DPDPA trigger pie chart; and (iv) false positive rate bar chart with periodic baseline reference line.</w:t>
      </w:r>
    </w:p>
    <w:p/>
    <w:p>
      <w:pPr>
        <w:pStyle w:val="Heading1"/>
        <w:spacing w:after="120" w:before="300"/>
      </w:pPr>
      <w:r>
        <w:rPr>
          <w:rFonts w:ascii="Arial" w:cs="Arial" w:eastAsia="Arial" w:hAnsi="Arial"/>
          <w:b/>
          <w:bCs/>
          <w:color w:val="000000"/>
          <w:sz w:val="28"/>
          <w:szCs w:val="28"/>
        </w:rPr>
        <w:t xml:space="preserve">V. Experimental Setup</w:t>
      </w:r>
    </w:p>
    <w:p>
      <w:pPr>
        <w:pStyle w:val="Heading2"/>
        <w:spacing w:after="80" w:before="200"/>
      </w:pPr>
      <w:r>
        <w:rPr>
          <w:rFonts w:ascii="Arial" w:cs="Arial" w:eastAsia="Arial" w:hAnsi="Arial"/>
          <w:b/>
          <w:bCs/>
          <w:color w:val="000000"/>
          <w:sz w:val="24"/>
          <w:szCs w:val="24"/>
        </w:rPr>
        <w:t xml:space="preserve">A. Lab Environment</w:t>
      </w:r>
    </w:p>
    <w:p>
      <w:pPr>
        <w:spacing w:after="60" w:before="60" w:line="276"/>
        <w:jc w:val="both"/>
      </w:pPr>
      <w:r>
        <w:rPr>
          <w:rFonts w:ascii="Arial" w:cs="Arial" w:eastAsia="Arial" w:hAnsi="Arial"/>
          <w:sz w:val="22"/>
          <w:szCs w:val="22"/>
        </w:rPr>
        <w:t xml:space="preserve">All experiments ran on a single workstation (AMD Ryzen 7, 32 GB RAM, Ubuntu 22.04 LTS) using Podman 4.x container runtime. No Kubernetes cluster was required; containers were managed directly via Podman for controlled isolation. The environment simulates a two-vendor multi-cloud deployment: one vendor supplying a vulnerable nginx build (representing a third-party with unpatched dependencies) and one vendor supplying a current secure build (representing a patched fourth-party sub-processor).</w:t>
      </w:r>
    </w:p>
    <w:p>
      <w:pPr>
        <w:pStyle w:val="Heading2"/>
        <w:spacing w:after="80" w:before="200"/>
      </w:pPr>
      <w:r>
        <w:rPr>
          <w:rFonts w:ascii="Arial" w:cs="Arial" w:eastAsia="Arial" w:hAnsi="Arial"/>
          <w:b/>
          <w:bCs/>
          <w:color w:val="000000"/>
          <w:sz w:val="24"/>
          <w:szCs w:val="24"/>
        </w:rPr>
        <w:t xml:space="preserve">B. Target Deployments</w:t>
      </w:r>
    </w:p>
    <w:p>
      <w:pPr>
        <w:pStyle w:val="ListParagraph"/>
        <w:numPr>
          <w:ilvl w:val="0"/>
          <w:numId w:val="2"/>
        </w:numPr>
        <w:spacing w:after="40" w:before="40"/>
      </w:pPr>
      <w:r>
        <w:rPr>
          <w:rFonts w:ascii="Arial" w:cs="Arial" w:eastAsia="Arial" w:hAnsi="Arial"/>
          <w:sz w:val="22"/>
          <w:szCs w:val="22"/>
        </w:rPr>
        <w:t xml:space="preserve">nginx-vulnerable: nginx:1.23-alpine (Alpine 3.17.3, declared EOL March 2024). This image carries accumulated CVEs from unmaintained package versions.</w:t>
      </w:r>
    </w:p>
    <w:p>
      <w:pPr>
        <w:pStyle w:val="ListParagraph"/>
        <w:numPr>
          <w:ilvl w:val="0"/>
          <w:numId w:val="2"/>
        </w:numPr>
        <w:spacing w:after="40" w:before="40"/>
      </w:pPr>
      <w:r>
        <w:rPr>
          <w:rFonts w:ascii="Arial" w:cs="Arial" w:eastAsia="Arial" w:hAnsi="Arial"/>
          <w:sz w:val="22"/>
          <w:szCs w:val="22"/>
        </w:rPr>
        <w:t xml:space="preserve">nginx-secure: nginx:1.25-alpine (Alpine 3.19.1, supported). This image represents a patched vendor supplying a current build, but still retains a non-trivial CVE footprint from transitive dependencies.</w:t>
      </w:r>
    </w:p>
    <w:p>
      <w:pPr>
        <w:spacing w:after="60" w:before="60" w:line="276"/>
        <w:jc w:val="both"/>
      </w:pPr>
      <w:r>
        <w:rPr>
          <w:rFonts w:ascii="Arial" w:cs="Arial" w:eastAsia="Arial" w:hAnsi="Arial"/>
          <w:sz w:val="22"/>
          <w:szCs w:val="22"/>
        </w:rPr>
        <w:t xml:space="preserve">Both images were pulled from Docker Hub with no local modification, ensuring all detected CVEs are authentic NVD-registered vulnerabilities rather than injected test payloads.</w:t>
      </w:r>
    </w:p>
    <w:p>
      <w:pPr>
        <w:pStyle w:val="Heading2"/>
        <w:spacing w:after="80" w:before="200"/>
      </w:pPr>
      <w:r>
        <w:rPr>
          <w:rFonts w:ascii="Arial" w:cs="Arial" w:eastAsia="Arial" w:hAnsi="Arial"/>
          <w:b/>
          <w:bCs/>
          <w:color w:val="000000"/>
          <w:sz w:val="24"/>
          <w:szCs w:val="24"/>
        </w:rPr>
        <w:t xml:space="preserve">C. Experimental Arms</w:t>
      </w:r>
    </w:p>
    <w:p>
      <w:pPr>
        <w:spacing w:after="60" w:before="60" w:line="276"/>
        <w:jc w:val="both"/>
      </w:pPr>
      <w:r>
        <w:rPr>
          <w:rFonts w:ascii="Arial" w:cs="Arial" w:eastAsia="Arial" w:hAnsi="Arial"/>
          <w:sz w:val="22"/>
          <w:szCs w:val="22"/>
        </w:rPr>
        <w:t xml:space="preserve">Periodic arm: A single scan at t=0, representing a quarterly (90-day) assessment. MTTD for any CVE introduced after t=0 is modeled as 90 days by definition, as the next scan would occur at day 90.</w:t>
      </w:r>
    </w:p>
    <w:p>
      <w:pPr>
        <w:spacing w:after="60" w:before="60" w:line="276"/>
        <w:jc w:val="both"/>
      </w:pPr>
      <w:r>
        <w:rPr>
          <w:rFonts w:ascii="Arial" w:cs="Arial" w:eastAsia="Arial" w:hAnsi="Arial"/>
          <w:sz w:val="22"/>
          <w:szCs w:val="22"/>
        </w:rPr>
        <w:t xml:space="preserve">Continuous arm: Automated scans at 5-minute intervals over 10 cycles (total elapsed time: 45 minutes). The 5-minute interval was selected to represent a realistic continuous monitoring frequency for production TPRM pipelines — aggressive enough to detect intra-day changes while remaining within typical CI/CD polling budgets.</w:t>
      </w:r>
    </w:p>
    <w:p>
      <w:pPr>
        <w:pStyle w:val="Heading2"/>
        <w:spacing w:after="80" w:before="200"/>
      </w:pPr>
      <w:r>
        <w:rPr>
          <w:rFonts w:ascii="Arial" w:cs="Arial" w:eastAsia="Arial" w:hAnsi="Arial"/>
          <w:b/>
          <w:bCs/>
          <w:color w:val="000000"/>
          <w:sz w:val="24"/>
          <w:szCs w:val="24"/>
        </w:rPr>
        <w:t xml:space="preserve">D. Metrics Definition</w:t>
      </w:r>
    </w:p>
    <w:p>
      <w:pPr>
        <w:pStyle w:val="ListParagraph"/>
        <w:numPr>
          <w:ilvl w:val="0"/>
          <w:numId w:val="2"/>
        </w:numPr>
        <w:spacing w:after="40" w:before="40"/>
      </w:pPr>
      <w:r>
        <w:rPr>
          <w:rFonts w:ascii="Arial" w:cs="Arial" w:eastAsia="Arial" w:hAnsi="Arial"/>
          <w:sz w:val="22"/>
          <w:szCs w:val="22"/>
        </w:rPr>
        <w:t xml:space="preserve">MTTD: Time from vulnerability introduction (modeled as scan cycle t=0) to first detection. For the periodic arm, MTTD = 90 days by construction. For the continuous arm, MTTD = scan interval / 2 (expected value) ≈ 2.5 minutes = 0.00174 days. Observed value averaged 0.003 days (4.32 minutes) accounting for Grype database refresh latency.</w:t>
      </w:r>
    </w:p>
    <w:p>
      <w:pPr>
        <w:pStyle w:val="ListParagraph"/>
        <w:numPr>
          <w:ilvl w:val="0"/>
          <w:numId w:val="2"/>
        </w:numPr>
        <w:spacing w:after="40" w:before="40"/>
      </w:pPr>
      <w:r>
        <w:rPr>
          <w:rFonts w:ascii="Arial" w:cs="Arial" w:eastAsia="Arial" w:hAnsi="Arial"/>
          <w:sz w:val="22"/>
          <w:szCs w:val="22"/>
        </w:rPr>
        <w:t xml:space="preserve">False Positive Rate (FPR): Proportion of reported CVEs that could not be confirmed against the vendor-published NVD entry. Measured by cross-referencing Grype output against NVD API query results for each CVE ID. Periodic arm FPR calculated from a single scan against a freshly pulled image; continuous arm FPR calculated as mean across 10 cycles.</w:t>
      </w:r>
    </w:p>
    <w:p>
      <w:pPr>
        <w:pStyle w:val="ListParagraph"/>
        <w:numPr>
          <w:ilvl w:val="0"/>
          <w:numId w:val="2"/>
        </w:numPr>
        <w:spacing w:after="40" w:before="40"/>
      </w:pPr>
      <w:r>
        <w:rPr>
          <w:rFonts w:ascii="Arial" w:cs="Arial" w:eastAsia="Arial" w:hAnsi="Arial"/>
          <w:sz w:val="22"/>
          <w:szCs w:val="22"/>
        </w:rPr>
        <w:t xml:space="preserve">DPDPA Trigger Rate: Proportion of cycles in which the trigger engine fired an audit escalation (critical CVE detected in personal data scope).</w:t>
      </w:r>
    </w:p>
    <w:p>
      <w:pPr>
        <w:pStyle w:val="Heading2"/>
        <w:spacing w:after="80" w:before="200"/>
      </w:pPr>
      <w:r>
        <w:rPr>
          <w:rFonts w:ascii="Arial" w:cs="Arial" w:eastAsia="Arial" w:hAnsi="Arial"/>
          <w:b/>
          <w:bCs/>
          <w:color w:val="000000"/>
          <w:sz w:val="24"/>
          <w:szCs w:val="24"/>
        </w:rPr>
        <w:t xml:space="preserve">E. Validity Constraints</w:t>
      </w:r>
    </w:p>
    <w:p>
      <w:pPr>
        <w:spacing w:after="60" w:before="60" w:line="276"/>
        <w:jc w:val="both"/>
      </w:pPr>
      <w:r>
        <w:rPr>
          <w:rFonts w:ascii="Arial" w:cs="Arial" w:eastAsia="Arial" w:hAnsi="Arial"/>
          <w:sz w:val="22"/>
          <w:szCs w:val="22"/>
        </w:rPr>
        <w:t xml:space="preserve">The lab cannot replicate operational noise from real vendor API rate limits, network latency to Bitsight endpoints, or multi-tenant Kubernetes admission controller conflicts. FPR results from a controlled environment will differ from production deployments where image layers are rebuilt between cycles, potentially introducing transient CVE flaps. Section VII discusses these constraints in detail.</w:t>
      </w:r>
    </w:p>
    <w:p/>
    <w:p>
      <w:pPr>
        <w:pStyle w:val="Heading1"/>
        <w:spacing w:after="120" w:before="300"/>
      </w:pPr>
      <w:r>
        <w:rPr>
          <w:rFonts w:ascii="Arial" w:cs="Arial" w:eastAsia="Arial" w:hAnsi="Arial"/>
          <w:b/>
          <w:bCs/>
          <w:color w:val="000000"/>
          <w:sz w:val="28"/>
          <w:szCs w:val="28"/>
        </w:rPr>
        <w:t xml:space="preserve">VI. Results and Analysis</w:t>
      </w:r>
    </w:p>
    <w:p>
      <w:pPr>
        <w:pStyle w:val="Heading2"/>
        <w:spacing w:after="80" w:before="200"/>
      </w:pPr>
      <w:r>
        <w:rPr>
          <w:rFonts w:ascii="Arial" w:cs="Arial" w:eastAsia="Arial" w:hAnsi="Arial"/>
          <w:b/>
          <w:bCs/>
          <w:color w:val="000000"/>
          <w:sz w:val="24"/>
          <w:szCs w:val="24"/>
        </w:rPr>
        <w:t xml:space="preserve">A. Raw Cycle Data</w:t>
      </w:r>
    </w:p>
    <w:p>
      <w:pPr>
        <w:spacing w:after="60" w:before="120"/>
        <w:jc w:val="center"/>
      </w:pPr>
      <w:r>
        <w:rPr>
          <w:rFonts w:ascii="Arial" w:cs="Arial" w:eastAsia="Arial" w:hAnsi="Arial"/>
          <w:b/>
          <w:bCs/>
          <w:color w:val="000000"/>
          <w:sz w:val="20"/>
          <w:szCs w:val="20"/>
        </w:rPr>
        <w:t xml:space="preserve">Table IV: Full 10-Cycle Experimental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700"/>
        <w:gridCol w:w="1000"/>
        <w:gridCol w:w="1100"/>
        <w:gridCol w:w="700"/>
        <w:gridCol w:w="600"/>
        <w:gridCol w:w="900"/>
        <w:gridCol w:w="900"/>
        <w:gridCol w:w="860"/>
      </w:tblGrid>
      <w:tr>
        <w:trPr>
          <w:tblHeader/>
        </w:trPr>
        <w:tc>
          <w:tcPr>
            <w:tcW w:type="dxa" w:w="600"/>
            <w:tcBorders>
              <w:top w:val="single" w:color="AAAAAA" w:sz="1"/>
              <w:left w:val="single" w:color="AAAAAA" w:sz="1"/>
              <w:bottom w:val="single" w:color="AAAAAA" w:sz="1"/>
              <w:right w:val="single" w:color="AAAAAA" w:sz="1"/>
            </w:tcBorders>
            <w:shd w:fill="444444" w:val="clear"/>
            <w:tcMar>
              <w:top w:type="dxa" w:w="80"/>
              <w:left w:type="dxa" w:w="80"/>
              <w:bottom w:type="dxa" w:w="80"/>
              <w:right w:type="dxa" w:w="80"/>
            </w:tcMar>
          </w:tcPr>
          <w:p>
            <w:pPr>
              <w:jc w:val="center"/>
            </w:pPr>
            <w:r>
              <w:rPr>
                <w:rFonts w:ascii="Arial" w:cs="Arial" w:eastAsia="Arial" w:hAnsi="Arial"/>
                <w:b/>
                <w:bCs/>
                <w:color w:val="FFFFFF"/>
                <w:sz w:val="16"/>
                <w:szCs w:val="16"/>
              </w:rPr>
              <w:t xml:space="preserve">Cycle</w:t>
            </w:r>
          </w:p>
        </w:tc>
        <w:tc>
          <w:tcPr>
            <w:tcW w:type="dxa" w:w="1700"/>
            <w:tcBorders>
              <w:top w:val="single" w:color="AAAAAA" w:sz="1"/>
              <w:left w:val="single" w:color="AAAAAA" w:sz="1"/>
              <w:bottom w:val="single" w:color="AAAAAA" w:sz="1"/>
              <w:right w:val="single" w:color="AAAAAA" w:sz="1"/>
            </w:tcBorders>
            <w:shd w:fill="444444" w:val="clear"/>
            <w:tcMar>
              <w:top w:type="dxa" w:w="80"/>
              <w:left w:type="dxa" w:w="80"/>
              <w:bottom w:type="dxa" w:w="80"/>
              <w:right w:type="dxa" w:w="80"/>
            </w:tcMar>
          </w:tcPr>
          <w:p>
            <w:pPr>
              <w:jc w:val="center"/>
            </w:pPr>
            <w:r>
              <w:rPr>
                <w:rFonts w:ascii="Arial" w:cs="Arial" w:eastAsia="Arial" w:hAnsi="Arial"/>
                <w:b/>
                <w:bCs/>
                <w:color w:val="FFFFFF"/>
                <w:sz w:val="16"/>
                <w:szCs w:val="16"/>
              </w:rPr>
              <w:t xml:space="preserve">Timestamp</w:t>
            </w:r>
          </w:p>
        </w:tc>
        <w:tc>
          <w:tcPr>
            <w:tcW w:type="dxa" w:w="1000"/>
            <w:tcBorders>
              <w:top w:val="single" w:color="AAAAAA" w:sz="1"/>
              <w:left w:val="single" w:color="AAAAAA" w:sz="1"/>
              <w:bottom w:val="single" w:color="AAAAAA" w:sz="1"/>
              <w:right w:val="single" w:color="AAAAAA" w:sz="1"/>
            </w:tcBorders>
            <w:shd w:fill="444444" w:val="clear"/>
            <w:tcMar>
              <w:top w:type="dxa" w:w="80"/>
              <w:left w:type="dxa" w:w="80"/>
              <w:bottom w:type="dxa" w:w="80"/>
              <w:right w:type="dxa" w:w="80"/>
            </w:tcMar>
          </w:tcPr>
          <w:p>
            <w:pPr>
              <w:jc w:val="center"/>
            </w:pPr>
            <w:r>
              <w:rPr>
                <w:rFonts w:ascii="Arial" w:cs="Arial" w:eastAsia="Arial" w:hAnsi="Arial"/>
                <w:b/>
                <w:bCs/>
                <w:color w:val="FFFFFF"/>
                <w:sz w:val="16"/>
                <w:szCs w:val="16"/>
              </w:rPr>
              <w:t xml:space="preserve">nginx-vuln CVEs</w:t>
            </w:r>
          </w:p>
        </w:tc>
        <w:tc>
          <w:tcPr>
            <w:tcW w:type="dxa" w:w="1100"/>
            <w:tcBorders>
              <w:top w:val="single" w:color="AAAAAA" w:sz="1"/>
              <w:left w:val="single" w:color="AAAAAA" w:sz="1"/>
              <w:bottom w:val="single" w:color="AAAAAA" w:sz="1"/>
              <w:right w:val="single" w:color="AAAAAA" w:sz="1"/>
            </w:tcBorders>
            <w:shd w:fill="444444" w:val="clear"/>
            <w:tcMar>
              <w:top w:type="dxa" w:w="80"/>
              <w:left w:type="dxa" w:w="80"/>
              <w:bottom w:type="dxa" w:w="80"/>
              <w:right w:type="dxa" w:w="80"/>
            </w:tcMar>
          </w:tcPr>
          <w:p>
            <w:pPr>
              <w:jc w:val="center"/>
            </w:pPr>
            <w:r>
              <w:rPr>
                <w:rFonts w:ascii="Arial" w:cs="Arial" w:eastAsia="Arial" w:hAnsi="Arial"/>
                <w:b/>
                <w:bCs/>
                <w:color w:val="FFFFFF"/>
                <w:sz w:val="16"/>
                <w:szCs w:val="16"/>
              </w:rPr>
              <w:t xml:space="preserve">nginx-secure CVEs</w:t>
            </w:r>
          </w:p>
        </w:tc>
        <w:tc>
          <w:tcPr>
            <w:tcW w:type="dxa" w:w="700"/>
            <w:tcBorders>
              <w:top w:val="single" w:color="AAAAAA" w:sz="1"/>
              <w:left w:val="single" w:color="AAAAAA" w:sz="1"/>
              <w:bottom w:val="single" w:color="AAAAAA" w:sz="1"/>
              <w:right w:val="single" w:color="AAAAAA" w:sz="1"/>
            </w:tcBorders>
            <w:shd w:fill="444444" w:val="clear"/>
            <w:tcMar>
              <w:top w:type="dxa" w:w="80"/>
              <w:left w:type="dxa" w:w="80"/>
              <w:bottom w:type="dxa" w:w="80"/>
              <w:right w:type="dxa" w:w="80"/>
            </w:tcMar>
          </w:tcPr>
          <w:p>
            <w:pPr>
              <w:jc w:val="center"/>
            </w:pPr>
            <w:r>
              <w:rPr>
                <w:rFonts w:ascii="Arial" w:cs="Arial" w:eastAsia="Arial" w:hAnsi="Arial"/>
                <w:b/>
                <w:bCs/>
                <w:color w:val="FFFFFF"/>
                <w:sz w:val="16"/>
                <w:szCs w:val="16"/>
              </w:rPr>
              <w:t xml:space="preserve">Critical</w:t>
            </w:r>
          </w:p>
        </w:tc>
        <w:tc>
          <w:tcPr>
            <w:tcW w:type="dxa" w:w="600"/>
            <w:tcBorders>
              <w:top w:val="single" w:color="AAAAAA" w:sz="1"/>
              <w:left w:val="single" w:color="AAAAAA" w:sz="1"/>
              <w:bottom w:val="single" w:color="AAAAAA" w:sz="1"/>
              <w:right w:val="single" w:color="AAAAAA" w:sz="1"/>
            </w:tcBorders>
            <w:shd w:fill="444444" w:val="clear"/>
            <w:tcMar>
              <w:top w:type="dxa" w:w="80"/>
              <w:left w:type="dxa" w:w="80"/>
              <w:bottom w:type="dxa" w:w="80"/>
              <w:right w:type="dxa" w:w="80"/>
            </w:tcMar>
          </w:tcPr>
          <w:p>
            <w:pPr>
              <w:jc w:val="center"/>
            </w:pPr>
            <w:r>
              <w:rPr>
                <w:rFonts w:ascii="Arial" w:cs="Arial" w:eastAsia="Arial" w:hAnsi="Arial"/>
                <w:b/>
                <w:bCs/>
                <w:color w:val="FFFFFF"/>
                <w:sz w:val="16"/>
                <w:szCs w:val="16"/>
              </w:rPr>
              <w:t xml:space="preserve">High</w:t>
            </w:r>
          </w:p>
        </w:tc>
        <w:tc>
          <w:tcPr>
            <w:tcW w:type="dxa" w:w="900"/>
            <w:tcBorders>
              <w:top w:val="single" w:color="AAAAAA" w:sz="1"/>
              <w:left w:val="single" w:color="AAAAAA" w:sz="1"/>
              <w:bottom w:val="single" w:color="AAAAAA" w:sz="1"/>
              <w:right w:val="single" w:color="AAAAAA" w:sz="1"/>
            </w:tcBorders>
            <w:shd w:fill="444444" w:val="clear"/>
            <w:tcMar>
              <w:top w:type="dxa" w:w="80"/>
              <w:left w:type="dxa" w:w="80"/>
              <w:bottom w:type="dxa" w:w="80"/>
              <w:right w:type="dxa" w:w="80"/>
            </w:tcMar>
          </w:tcPr>
          <w:p>
            <w:pPr>
              <w:jc w:val="center"/>
            </w:pPr>
            <w:r>
              <w:rPr>
                <w:rFonts w:ascii="Arial" w:cs="Arial" w:eastAsia="Arial" w:hAnsi="Arial"/>
                <w:b/>
                <w:bCs/>
                <w:color w:val="FFFFFF"/>
                <w:sz w:val="16"/>
                <w:szCs w:val="16"/>
              </w:rPr>
              <w:t xml:space="preserve">DPDPA Trigger</w:t>
            </w:r>
          </w:p>
        </w:tc>
        <w:tc>
          <w:tcPr>
            <w:tcW w:type="dxa" w:w="900"/>
            <w:tcBorders>
              <w:top w:val="single" w:color="AAAAAA" w:sz="1"/>
              <w:left w:val="single" w:color="AAAAAA" w:sz="1"/>
              <w:bottom w:val="single" w:color="AAAAAA" w:sz="1"/>
              <w:right w:val="single" w:color="AAAAAA" w:sz="1"/>
            </w:tcBorders>
            <w:shd w:fill="444444" w:val="clear"/>
            <w:tcMar>
              <w:top w:type="dxa" w:w="80"/>
              <w:left w:type="dxa" w:w="80"/>
              <w:bottom w:type="dxa" w:w="80"/>
              <w:right w:type="dxa" w:w="80"/>
            </w:tcMar>
          </w:tcPr>
          <w:p>
            <w:pPr>
              <w:jc w:val="center"/>
            </w:pPr>
            <w:r>
              <w:rPr>
                <w:rFonts w:ascii="Arial" w:cs="Arial" w:eastAsia="Arial" w:hAnsi="Arial"/>
                <w:b/>
                <w:bCs/>
                <w:color w:val="FFFFFF"/>
                <w:sz w:val="16"/>
                <w:szCs w:val="16"/>
              </w:rPr>
              <w:t xml:space="preserve">MTTD (days)</w:t>
            </w:r>
          </w:p>
        </w:tc>
        <w:tc>
          <w:tcPr>
            <w:tcW w:type="dxa" w:w="860"/>
            <w:tcBorders>
              <w:top w:val="single" w:color="AAAAAA" w:sz="1"/>
              <w:left w:val="single" w:color="AAAAAA" w:sz="1"/>
              <w:bottom w:val="single" w:color="AAAAAA" w:sz="1"/>
              <w:right w:val="single" w:color="AAAAAA" w:sz="1"/>
            </w:tcBorders>
            <w:shd w:fill="444444" w:val="clear"/>
            <w:tcMar>
              <w:top w:type="dxa" w:w="80"/>
              <w:left w:type="dxa" w:w="80"/>
              <w:bottom w:type="dxa" w:w="80"/>
              <w:right w:type="dxa" w:w="80"/>
            </w:tcMar>
          </w:tcPr>
          <w:p>
            <w:pPr>
              <w:jc w:val="center"/>
            </w:pPr>
            <w:r>
              <w:rPr>
                <w:rFonts w:ascii="Arial" w:cs="Arial" w:eastAsia="Arial" w:hAnsi="Arial"/>
                <w:b/>
                <w:bCs/>
                <w:color w:val="FFFFFF"/>
                <w:sz w:val="16"/>
                <w:szCs w:val="16"/>
              </w:rPr>
              <w:t xml:space="preserve">Improvement %</w:t>
            </w:r>
          </w:p>
        </w:tc>
      </w:tr>
      <w:tr>
        <w:tc>
          <w:tcPr>
            <w:tcW w:type="dxa" w:w="600"/>
            <w:tcBorders>
              <w:top w:val="single" w:color="AAAAAA" w:sz="1"/>
              <w:left w:val="single" w:color="AAAAAA" w:sz="1"/>
              <w:bottom w:val="single" w:color="AAAAAA" w:sz="1"/>
              <w:right w:val="single" w:color="AAAAAA" w:sz="1"/>
            </w:tcBorders>
            <w:shd w:fill="EBF3FF" w:val="clear"/>
            <w:tcMar>
              <w:top w:type="dxa" w:w="60"/>
              <w:left w:type="dxa" w:w="80"/>
              <w:bottom w:type="dxa" w:w="60"/>
              <w:right w:type="dxa" w:w="80"/>
            </w:tcMar>
          </w:tcPr>
          <w:p>
            <w:pPr>
              <w:jc w:val="center"/>
            </w:pPr>
            <w:r>
              <w:rPr>
                <w:rFonts w:ascii="Arial" w:cs="Arial" w:eastAsia="Arial" w:hAnsi="Arial"/>
                <w:color w:val="222222"/>
                <w:sz w:val="16"/>
                <w:szCs w:val="16"/>
              </w:rPr>
              <w:t xml:space="preserve">1</w:t>
            </w:r>
          </w:p>
        </w:tc>
        <w:tc>
          <w:tcPr>
            <w:tcW w:type="dxa" w:w="1700"/>
            <w:tcBorders>
              <w:top w:val="single" w:color="AAAAAA" w:sz="1"/>
              <w:left w:val="single" w:color="AAAAAA" w:sz="1"/>
              <w:bottom w:val="single" w:color="AAAAAA" w:sz="1"/>
              <w:right w:val="single" w:color="AAAAAA" w:sz="1"/>
            </w:tcBorders>
            <w:shd w:fill="EBF3FF" w:val="clear"/>
            <w:tcMar>
              <w:top w:type="dxa" w:w="60"/>
              <w:left w:type="dxa" w:w="80"/>
              <w:bottom w:type="dxa" w:w="60"/>
              <w:right w:type="dxa" w:w="80"/>
            </w:tcMar>
          </w:tcPr>
          <w:p>
            <w:pPr>
              <w:jc w:val="center"/>
            </w:pPr>
            <w:r>
              <w:rPr>
                <w:rFonts w:ascii="Arial" w:cs="Arial" w:eastAsia="Arial" w:hAnsi="Arial"/>
                <w:color w:val="222222"/>
                <w:sz w:val="16"/>
                <w:szCs w:val="16"/>
              </w:rPr>
              <w:t xml:space="preserve">2026-04-10 05:39</w:t>
            </w:r>
          </w:p>
        </w:tc>
        <w:tc>
          <w:tcPr>
            <w:tcW w:type="dxa" w:w="1000"/>
            <w:tcBorders>
              <w:top w:val="single" w:color="AAAAAA" w:sz="1"/>
              <w:left w:val="single" w:color="AAAAAA" w:sz="1"/>
              <w:bottom w:val="single" w:color="AAAAAA" w:sz="1"/>
              <w:right w:val="single" w:color="AAAAAA" w:sz="1"/>
            </w:tcBorders>
            <w:shd w:fill="EBF3FF" w:val="clear"/>
            <w:tcMar>
              <w:top w:type="dxa" w:w="60"/>
              <w:left w:type="dxa" w:w="80"/>
              <w:bottom w:type="dxa" w:w="60"/>
              <w:right w:type="dxa" w:w="80"/>
            </w:tcMar>
          </w:tcPr>
          <w:p>
            <w:pPr>
              <w:jc w:val="center"/>
            </w:pPr>
            <w:r>
              <w:rPr>
                <w:rFonts w:ascii="Arial" w:cs="Arial" w:eastAsia="Arial" w:hAnsi="Arial"/>
                <w:color w:val="222222"/>
                <w:sz w:val="16"/>
                <w:szCs w:val="16"/>
              </w:rPr>
              <w:t xml:space="preserve">213</w:t>
            </w:r>
          </w:p>
        </w:tc>
        <w:tc>
          <w:tcPr>
            <w:tcW w:type="dxa" w:w="1100"/>
            <w:tcBorders>
              <w:top w:val="single" w:color="AAAAAA" w:sz="1"/>
              <w:left w:val="single" w:color="AAAAAA" w:sz="1"/>
              <w:bottom w:val="single" w:color="AAAAAA" w:sz="1"/>
              <w:right w:val="single" w:color="AAAAAA" w:sz="1"/>
            </w:tcBorders>
            <w:shd w:fill="EBF3FF" w:val="clear"/>
            <w:tcMar>
              <w:top w:type="dxa" w:w="60"/>
              <w:left w:type="dxa" w:w="80"/>
              <w:bottom w:type="dxa" w:w="60"/>
              <w:right w:type="dxa" w:w="80"/>
            </w:tcMar>
          </w:tcPr>
          <w:p>
            <w:pPr>
              <w:jc w:val="center"/>
            </w:pPr>
            <w:r>
              <w:rPr>
                <w:rFonts w:ascii="Arial" w:cs="Arial" w:eastAsia="Arial" w:hAnsi="Arial"/>
                <w:color w:val="222222"/>
                <w:sz w:val="16"/>
                <w:szCs w:val="16"/>
              </w:rPr>
              <w:t xml:space="preserve">135</w:t>
            </w:r>
          </w:p>
        </w:tc>
        <w:tc>
          <w:tcPr>
            <w:tcW w:type="dxa" w:w="700"/>
            <w:tcBorders>
              <w:top w:val="single" w:color="AAAAAA" w:sz="1"/>
              <w:left w:val="single" w:color="AAAAAA" w:sz="1"/>
              <w:bottom w:val="single" w:color="AAAAAA" w:sz="1"/>
              <w:right w:val="single" w:color="AAAAAA" w:sz="1"/>
            </w:tcBorders>
            <w:shd w:fill="EBF3FF" w:val="clear"/>
            <w:tcMar>
              <w:top w:type="dxa" w:w="60"/>
              <w:left w:type="dxa" w:w="80"/>
              <w:bottom w:type="dxa" w:w="60"/>
              <w:right w:type="dxa" w:w="80"/>
            </w:tcMar>
          </w:tcPr>
          <w:p>
            <w:pPr>
              <w:jc w:val="center"/>
            </w:pPr>
            <w:r>
              <w:rPr>
                <w:rFonts w:ascii="Arial" w:cs="Arial" w:eastAsia="Arial" w:hAnsi="Arial"/>
                <w:color w:val="222222"/>
                <w:sz w:val="16"/>
                <w:szCs w:val="16"/>
              </w:rPr>
              <w:t xml:space="preserve">12</w:t>
            </w:r>
          </w:p>
        </w:tc>
        <w:tc>
          <w:tcPr>
            <w:tcW w:type="dxa" w:w="600"/>
            <w:tcBorders>
              <w:top w:val="single" w:color="AAAAAA" w:sz="1"/>
              <w:left w:val="single" w:color="AAAAAA" w:sz="1"/>
              <w:bottom w:val="single" w:color="AAAAAA" w:sz="1"/>
              <w:right w:val="single" w:color="AAAAAA" w:sz="1"/>
            </w:tcBorders>
            <w:shd w:fill="EBF3FF" w:val="clear"/>
            <w:tcMar>
              <w:top w:type="dxa" w:w="60"/>
              <w:left w:type="dxa" w:w="80"/>
              <w:bottom w:type="dxa" w:w="60"/>
              <w:right w:type="dxa" w:w="80"/>
            </w:tcMar>
          </w:tcPr>
          <w:p>
            <w:pPr>
              <w:jc w:val="center"/>
            </w:pPr>
            <w:r>
              <w:rPr>
                <w:rFonts w:ascii="Arial" w:cs="Arial" w:eastAsia="Arial" w:hAnsi="Arial"/>
                <w:color w:val="222222"/>
                <w:sz w:val="16"/>
                <w:szCs w:val="16"/>
              </w:rPr>
              <w:t xml:space="preserve">72</w:t>
            </w:r>
          </w:p>
        </w:tc>
        <w:tc>
          <w:tcPr>
            <w:tcW w:type="dxa" w:w="900"/>
            <w:tcBorders>
              <w:top w:val="single" w:color="AAAAAA" w:sz="1"/>
              <w:left w:val="single" w:color="AAAAAA" w:sz="1"/>
              <w:bottom w:val="single" w:color="AAAAAA" w:sz="1"/>
              <w:right w:val="single" w:color="AAAAAA" w:sz="1"/>
            </w:tcBorders>
            <w:shd w:fill="EBF3FF" w:val="clear"/>
            <w:tcMar>
              <w:top w:type="dxa" w:w="60"/>
              <w:left w:type="dxa" w:w="80"/>
              <w:bottom w:type="dxa" w:w="60"/>
              <w:right w:type="dxa" w:w="80"/>
            </w:tcMar>
          </w:tcPr>
          <w:p>
            <w:pPr>
              <w:jc w:val="center"/>
            </w:pPr>
            <w:r>
              <w:rPr>
                <w:rFonts w:ascii="Arial" w:cs="Arial" w:eastAsia="Arial" w:hAnsi="Arial"/>
                <w:color w:val="1A7A1A"/>
                <w:sz w:val="16"/>
                <w:szCs w:val="16"/>
              </w:rPr>
              <w:t xml:space="preserve">YES</w:t>
            </w:r>
          </w:p>
        </w:tc>
        <w:tc>
          <w:tcPr>
            <w:tcW w:type="dxa" w:w="900"/>
            <w:tcBorders>
              <w:top w:val="single" w:color="AAAAAA" w:sz="1"/>
              <w:left w:val="single" w:color="AAAAAA" w:sz="1"/>
              <w:bottom w:val="single" w:color="AAAAAA" w:sz="1"/>
              <w:right w:val="single" w:color="AAAAAA" w:sz="1"/>
            </w:tcBorders>
            <w:shd w:fill="EBF3FF" w:val="clear"/>
            <w:tcMar>
              <w:top w:type="dxa" w:w="60"/>
              <w:left w:type="dxa" w:w="80"/>
              <w:bottom w:type="dxa" w:w="60"/>
              <w:right w:type="dxa" w:w="80"/>
            </w:tcMar>
          </w:tcPr>
          <w:p>
            <w:pPr>
              <w:jc w:val="center"/>
            </w:pPr>
            <w:r>
              <w:rPr>
                <w:rFonts w:ascii="Arial" w:cs="Arial" w:eastAsia="Arial" w:hAnsi="Arial"/>
                <w:color w:val="222222"/>
                <w:sz w:val="16"/>
                <w:szCs w:val="16"/>
              </w:rPr>
              <w:t xml:space="preserve">0.003</w:t>
            </w:r>
          </w:p>
        </w:tc>
        <w:tc>
          <w:tcPr>
            <w:tcW w:type="dxa" w:w="860"/>
            <w:tcBorders>
              <w:top w:val="single" w:color="AAAAAA" w:sz="1"/>
              <w:left w:val="single" w:color="AAAAAA" w:sz="1"/>
              <w:bottom w:val="single" w:color="AAAAAA" w:sz="1"/>
              <w:right w:val="single" w:color="AAAAAA" w:sz="1"/>
            </w:tcBorders>
            <w:shd w:fill="EBF3FF" w:val="clear"/>
            <w:tcMar>
              <w:top w:type="dxa" w:w="60"/>
              <w:left w:type="dxa" w:w="80"/>
              <w:bottom w:type="dxa" w:w="60"/>
              <w:right w:type="dxa" w:w="80"/>
            </w:tcMar>
          </w:tcPr>
          <w:p>
            <w:pPr>
              <w:jc w:val="center"/>
            </w:pPr>
            <w:r>
              <w:rPr>
                <w:rFonts w:ascii="Arial" w:cs="Arial" w:eastAsia="Arial" w:hAnsi="Arial"/>
                <w:color w:val="222222"/>
                <w:sz w:val="16"/>
                <w:szCs w:val="16"/>
              </w:rPr>
              <w:t xml:space="preserve">100.0%</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color w:val="222222"/>
                <w:sz w:val="16"/>
                <w:szCs w:val="16"/>
              </w:rPr>
              <w:t xml:space="preserve">2</w:t>
            </w:r>
          </w:p>
        </w:tc>
        <w:tc>
          <w:tcPr>
            <w:tcW w:type="dxa" w:w="17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color w:val="222222"/>
                <w:sz w:val="16"/>
                <w:szCs w:val="16"/>
              </w:rPr>
              <w:t xml:space="preserve">2026-04-10 05:44</w:t>
            </w:r>
          </w:p>
        </w:tc>
        <w:tc>
          <w:tcPr>
            <w:tcW w:type="dxa" w:w="10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color w:val="222222"/>
                <w:sz w:val="16"/>
                <w:szCs w:val="16"/>
              </w:rPr>
              <w:t xml:space="preserve">189</w:t>
            </w:r>
          </w:p>
        </w:tc>
        <w:tc>
          <w:tcPr>
            <w:tcW w:type="dxa" w:w="11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color w:val="222222"/>
                <w:sz w:val="16"/>
                <w:szCs w:val="16"/>
              </w:rPr>
              <w:t xml:space="preserve">112</w:t>
            </w:r>
          </w:p>
        </w:tc>
        <w:tc>
          <w:tcPr>
            <w:tcW w:type="dxa" w:w="7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color w:val="222222"/>
                <w:sz w:val="16"/>
                <w:szCs w:val="16"/>
              </w:rPr>
              <w:t xml:space="preserve">9</w:t>
            </w:r>
          </w:p>
        </w:tc>
        <w:tc>
          <w:tcPr>
            <w:tcW w:type="dxa" w:w="6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color w:val="222222"/>
                <w:sz w:val="16"/>
                <w:szCs w:val="16"/>
              </w:rPr>
              <w:t xml:space="preserve">60</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color w:val="1A7A1A"/>
                <w:sz w:val="16"/>
                <w:szCs w:val="16"/>
              </w:rPr>
              <w:t xml:space="preserve">YES</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color w:val="222222"/>
                <w:sz w:val="16"/>
                <w:szCs w:val="16"/>
              </w:rPr>
              <w:t xml:space="preserve">0.003</w:t>
            </w:r>
          </w:p>
        </w:tc>
        <w:tc>
          <w:tcPr>
            <w:tcW w:type="dxa" w:w="86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color w:val="222222"/>
                <w:sz w:val="16"/>
                <w:szCs w:val="16"/>
              </w:rPr>
              <w:t xml:space="preserve">100.0%</w:t>
            </w:r>
          </w:p>
        </w:tc>
      </w:tr>
      <w:tr>
        <w:tc>
          <w:tcPr>
            <w:tcW w:type="dxa" w:w="600"/>
            <w:tcBorders>
              <w:top w:val="single" w:color="AAAAAA" w:sz="1"/>
              <w:left w:val="single" w:color="AAAAAA" w:sz="1"/>
              <w:bottom w:val="single" w:color="AAAAAA" w:sz="1"/>
              <w:right w:val="single" w:color="AAAAAA" w:sz="1"/>
            </w:tcBorders>
            <w:shd w:fill="EBF3FF" w:val="clear"/>
            <w:tcMar>
              <w:top w:type="dxa" w:w="60"/>
              <w:left w:type="dxa" w:w="80"/>
              <w:bottom w:type="dxa" w:w="60"/>
              <w:right w:type="dxa" w:w="80"/>
            </w:tcMar>
          </w:tcPr>
          <w:p>
            <w:pPr>
              <w:jc w:val="center"/>
            </w:pPr>
            <w:r>
              <w:rPr>
                <w:rFonts w:ascii="Arial" w:cs="Arial" w:eastAsia="Arial" w:hAnsi="Arial"/>
                <w:color w:val="222222"/>
                <w:sz w:val="16"/>
                <w:szCs w:val="16"/>
              </w:rPr>
              <w:t xml:space="preserve">3</w:t>
            </w:r>
          </w:p>
        </w:tc>
        <w:tc>
          <w:tcPr>
            <w:tcW w:type="dxa" w:w="1700"/>
            <w:tcBorders>
              <w:top w:val="single" w:color="AAAAAA" w:sz="1"/>
              <w:left w:val="single" w:color="AAAAAA" w:sz="1"/>
              <w:bottom w:val="single" w:color="AAAAAA" w:sz="1"/>
              <w:right w:val="single" w:color="AAAAAA" w:sz="1"/>
            </w:tcBorders>
            <w:shd w:fill="EBF3FF" w:val="clear"/>
            <w:tcMar>
              <w:top w:type="dxa" w:w="60"/>
              <w:left w:type="dxa" w:w="80"/>
              <w:bottom w:type="dxa" w:w="60"/>
              <w:right w:type="dxa" w:w="80"/>
            </w:tcMar>
          </w:tcPr>
          <w:p>
            <w:pPr>
              <w:jc w:val="center"/>
            </w:pPr>
            <w:r>
              <w:rPr>
                <w:rFonts w:ascii="Arial" w:cs="Arial" w:eastAsia="Arial" w:hAnsi="Arial"/>
                <w:color w:val="222222"/>
                <w:sz w:val="16"/>
                <w:szCs w:val="16"/>
              </w:rPr>
              <w:t xml:space="preserve">2026-04-10 05:49</w:t>
            </w:r>
          </w:p>
        </w:tc>
        <w:tc>
          <w:tcPr>
            <w:tcW w:type="dxa" w:w="1000"/>
            <w:tcBorders>
              <w:top w:val="single" w:color="AAAAAA" w:sz="1"/>
              <w:left w:val="single" w:color="AAAAAA" w:sz="1"/>
              <w:bottom w:val="single" w:color="AAAAAA" w:sz="1"/>
              <w:right w:val="single" w:color="AAAAAA" w:sz="1"/>
            </w:tcBorders>
            <w:shd w:fill="EBF3FF" w:val="clear"/>
            <w:tcMar>
              <w:top w:type="dxa" w:w="60"/>
              <w:left w:type="dxa" w:w="80"/>
              <w:bottom w:type="dxa" w:w="60"/>
              <w:right w:type="dxa" w:w="80"/>
            </w:tcMar>
          </w:tcPr>
          <w:p>
            <w:pPr>
              <w:jc w:val="center"/>
            </w:pPr>
            <w:r>
              <w:rPr>
                <w:rFonts w:ascii="Arial" w:cs="Arial" w:eastAsia="Arial" w:hAnsi="Arial"/>
                <w:color w:val="222222"/>
                <w:sz w:val="16"/>
                <w:szCs w:val="16"/>
              </w:rPr>
              <w:t xml:space="preserve">176</w:t>
            </w:r>
          </w:p>
        </w:tc>
        <w:tc>
          <w:tcPr>
            <w:tcW w:type="dxa" w:w="1100"/>
            <w:tcBorders>
              <w:top w:val="single" w:color="AAAAAA" w:sz="1"/>
              <w:left w:val="single" w:color="AAAAAA" w:sz="1"/>
              <w:bottom w:val="single" w:color="AAAAAA" w:sz="1"/>
              <w:right w:val="single" w:color="AAAAAA" w:sz="1"/>
            </w:tcBorders>
            <w:shd w:fill="EBF3FF" w:val="clear"/>
            <w:tcMar>
              <w:top w:type="dxa" w:w="60"/>
              <w:left w:type="dxa" w:w="80"/>
              <w:bottom w:type="dxa" w:w="60"/>
              <w:right w:type="dxa" w:w="80"/>
            </w:tcMar>
          </w:tcPr>
          <w:p>
            <w:pPr>
              <w:jc w:val="center"/>
            </w:pPr>
            <w:r>
              <w:rPr>
                <w:rFonts w:ascii="Arial" w:cs="Arial" w:eastAsia="Arial" w:hAnsi="Arial"/>
                <w:color w:val="222222"/>
                <w:sz w:val="16"/>
                <w:szCs w:val="16"/>
              </w:rPr>
              <w:t xml:space="preserve">122</w:t>
            </w:r>
          </w:p>
        </w:tc>
        <w:tc>
          <w:tcPr>
            <w:tcW w:type="dxa" w:w="700"/>
            <w:tcBorders>
              <w:top w:val="single" w:color="AAAAAA" w:sz="1"/>
              <w:left w:val="single" w:color="AAAAAA" w:sz="1"/>
              <w:bottom w:val="single" w:color="AAAAAA" w:sz="1"/>
              <w:right w:val="single" w:color="AAAAAA" w:sz="1"/>
            </w:tcBorders>
            <w:shd w:fill="EBF3FF" w:val="clear"/>
            <w:tcMar>
              <w:top w:type="dxa" w:w="60"/>
              <w:left w:type="dxa" w:w="80"/>
              <w:bottom w:type="dxa" w:w="60"/>
              <w:right w:type="dxa" w:w="80"/>
            </w:tcMar>
          </w:tcPr>
          <w:p>
            <w:pPr>
              <w:jc w:val="center"/>
            </w:pPr>
            <w:r>
              <w:rPr>
                <w:rFonts w:ascii="Arial" w:cs="Arial" w:eastAsia="Arial" w:hAnsi="Arial"/>
                <w:color w:val="222222"/>
                <w:sz w:val="16"/>
                <w:szCs w:val="16"/>
              </w:rPr>
              <w:t xml:space="preserve">7</w:t>
            </w:r>
          </w:p>
        </w:tc>
        <w:tc>
          <w:tcPr>
            <w:tcW w:type="dxa" w:w="600"/>
            <w:tcBorders>
              <w:top w:val="single" w:color="AAAAAA" w:sz="1"/>
              <w:left w:val="single" w:color="AAAAAA" w:sz="1"/>
              <w:bottom w:val="single" w:color="AAAAAA" w:sz="1"/>
              <w:right w:val="single" w:color="AAAAAA" w:sz="1"/>
            </w:tcBorders>
            <w:shd w:fill="EBF3FF" w:val="clear"/>
            <w:tcMar>
              <w:top w:type="dxa" w:w="60"/>
              <w:left w:type="dxa" w:w="80"/>
              <w:bottom w:type="dxa" w:w="60"/>
              <w:right w:type="dxa" w:w="80"/>
            </w:tcMar>
          </w:tcPr>
          <w:p>
            <w:pPr>
              <w:jc w:val="center"/>
            </w:pPr>
            <w:r>
              <w:rPr>
                <w:rFonts w:ascii="Arial" w:cs="Arial" w:eastAsia="Arial" w:hAnsi="Arial"/>
                <w:color w:val="222222"/>
                <w:sz w:val="16"/>
                <w:szCs w:val="16"/>
              </w:rPr>
              <w:t xml:space="preserve">55</w:t>
            </w:r>
          </w:p>
        </w:tc>
        <w:tc>
          <w:tcPr>
            <w:tcW w:type="dxa" w:w="900"/>
            <w:tcBorders>
              <w:top w:val="single" w:color="AAAAAA" w:sz="1"/>
              <w:left w:val="single" w:color="AAAAAA" w:sz="1"/>
              <w:bottom w:val="single" w:color="AAAAAA" w:sz="1"/>
              <w:right w:val="single" w:color="AAAAAA" w:sz="1"/>
            </w:tcBorders>
            <w:shd w:fill="EBF3FF" w:val="clear"/>
            <w:tcMar>
              <w:top w:type="dxa" w:w="60"/>
              <w:left w:type="dxa" w:w="80"/>
              <w:bottom w:type="dxa" w:w="60"/>
              <w:right w:type="dxa" w:w="80"/>
            </w:tcMar>
          </w:tcPr>
          <w:p>
            <w:pPr>
              <w:jc w:val="center"/>
            </w:pPr>
            <w:r>
              <w:rPr>
                <w:rFonts w:ascii="Arial" w:cs="Arial" w:eastAsia="Arial" w:hAnsi="Arial"/>
                <w:color w:val="1A7A1A"/>
                <w:sz w:val="16"/>
                <w:szCs w:val="16"/>
              </w:rPr>
              <w:t xml:space="preserve">YES</w:t>
            </w:r>
          </w:p>
        </w:tc>
        <w:tc>
          <w:tcPr>
            <w:tcW w:type="dxa" w:w="900"/>
            <w:tcBorders>
              <w:top w:val="single" w:color="AAAAAA" w:sz="1"/>
              <w:left w:val="single" w:color="AAAAAA" w:sz="1"/>
              <w:bottom w:val="single" w:color="AAAAAA" w:sz="1"/>
              <w:right w:val="single" w:color="AAAAAA" w:sz="1"/>
            </w:tcBorders>
            <w:shd w:fill="EBF3FF" w:val="clear"/>
            <w:tcMar>
              <w:top w:type="dxa" w:w="60"/>
              <w:left w:type="dxa" w:w="80"/>
              <w:bottom w:type="dxa" w:w="60"/>
              <w:right w:type="dxa" w:w="80"/>
            </w:tcMar>
          </w:tcPr>
          <w:p>
            <w:pPr>
              <w:jc w:val="center"/>
            </w:pPr>
            <w:r>
              <w:rPr>
                <w:rFonts w:ascii="Arial" w:cs="Arial" w:eastAsia="Arial" w:hAnsi="Arial"/>
                <w:color w:val="222222"/>
                <w:sz w:val="16"/>
                <w:szCs w:val="16"/>
              </w:rPr>
              <w:t xml:space="preserve">0.003</w:t>
            </w:r>
          </w:p>
        </w:tc>
        <w:tc>
          <w:tcPr>
            <w:tcW w:type="dxa" w:w="860"/>
            <w:tcBorders>
              <w:top w:val="single" w:color="AAAAAA" w:sz="1"/>
              <w:left w:val="single" w:color="AAAAAA" w:sz="1"/>
              <w:bottom w:val="single" w:color="AAAAAA" w:sz="1"/>
              <w:right w:val="single" w:color="AAAAAA" w:sz="1"/>
            </w:tcBorders>
            <w:shd w:fill="EBF3FF" w:val="clear"/>
            <w:tcMar>
              <w:top w:type="dxa" w:w="60"/>
              <w:left w:type="dxa" w:w="80"/>
              <w:bottom w:type="dxa" w:w="60"/>
              <w:right w:type="dxa" w:w="80"/>
            </w:tcMar>
          </w:tcPr>
          <w:p>
            <w:pPr>
              <w:jc w:val="center"/>
            </w:pPr>
            <w:r>
              <w:rPr>
                <w:rFonts w:ascii="Arial" w:cs="Arial" w:eastAsia="Arial" w:hAnsi="Arial"/>
                <w:color w:val="222222"/>
                <w:sz w:val="16"/>
                <w:szCs w:val="16"/>
              </w:rPr>
              <w:t xml:space="preserve">100.0%</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color w:val="222222"/>
                <w:sz w:val="16"/>
                <w:szCs w:val="16"/>
              </w:rPr>
              <w:t xml:space="preserve">4</w:t>
            </w:r>
          </w:p>
        </w:tc>
        <w:tc>
          <w:tcPr>
            <w:tcW w:type="dxa" w:w="17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color w:val="222222"/>
                <w:sz w:val="16"/>
                <w:szCs w:val="16"/>
              </w:rPr>
              <w:t xml:space="preserve">2026-04-10 05:54</w:t>
            </w:r>
          </w:p>
        </w:tc>
        <w:tc>
          <w:tcPr>
            <w:tcW w:type="dxa" w:w="10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color w:val="222222"/>
                <w:sz w:val="16"/>
                <w:szCs w:val="16"/>
              </w:rPr>
              <w:t xml:space="preserve">158</w:t>
            </w:r>
          </w:p>
        </w:tc>
        <w:tc>
          <w:tcPr>
            <w:tcW w:type="dxa" w:w="11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color w:val="222222"/>
                <w:sz w:val="16"/>
                <w:szCs w:val="16"/>
              </w:rPr>
              <w:t xml:space="preserve">111</w:t>
            </w:r>
          </w:p>
        </w:tc>
        <w:tc>
          <w:tcPr>
            <w:tcW w:type="dxa" w:w="7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color w:val="222222"/>
                <w:sz w:val="16"/>
                <w:szCs w:val="16"/>
              </w:rPr>
              <w:t xml:space="preserve">8</w:t>
            </w:r>
          </w:p>
        </w:tc>
        <w:tc>
          <w:tcPr>
            <w:tcW w:type="dxa" w:w="6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color w:val="222222"/>
                <w:sz w:val="16"/>
                <w:szCs w:val="16"/>
              </w:rPr>
              <w:t xml:space="preserve">42</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color w:val="1A7A1A"/>
                <w:sz w:val="16"/>
                <w:szCs w:val="16"/>
              </w:rPr>
              <w:t xml:space="preserve">YES</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color w:val="222222"/>
                <w:sz w:val="16"/>
                <w:szCs w:val="16"/>
              </w:rPr>
              <w:t xml:space="preserve">0.003</w:t>
            </w:r>
          </w:p>
        </w:tc>
        <w:tc>
          <w:tcPr>
            <w:tcW w:type="dxa" w:w="86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color w:val="222222"/>
                <w:sz w:val="16"/>
                <w:szCs w:val="16"/>
              </w:rPr>
              <w:t xml:space="preserve">100.0%</w:t>
            </w:r>
          </w:p>
        </w:tc>
      </w:tr>
      <w:tr>
        <w:tc>
          <w:tcPr>
            <w:tcW w:type="dxa" w:w="600"/>
            <w:tcBorders>
              <w:top w:val="single" w:color="AAAAAA" w:sz="1"/>
              <w:left w:val="single" w:color="AAAAAA" w:sz="1"/>
              <w:bottom w:val="single" w:color="AAAAAA" w:sz="1"/>
              <w:right w:val="single" w:color="AAAAAA" w:sz="1"/>
            </w:tcBorders>
            <w:shd w:fill="EBF3FF" w:val="clear"/>
            <w:tcMar>
              <w:top w:type="dxa" w:w="60"/>
              <w:left w:type="dxa" w:w="80"/>
              <w:bottom w:type="dxa" w:w="60"/>
              <w:right w:type="dxa" w:w="80"/>
            </w:tcMar>
          </w:tcPr>
          <w:p>
            <w:pPr>
              <w:jc w:val="center"/>
            </w:pPr>
            <w:r>
              <w:rPr>
                <w:rFonts w:ascii="Arial" w:cs="Arial" w:eastAsia="Arial" w:hAnsi="Arial"/>
                <w:color w:val="222222"/>
                <w:sz w:val="16"/>
                <w:szCs w:val="16"/>
              </w:rPr>
              <w:t xml:space="preserve">5</w:t>
            </w:r>
          </w:p>
        </w:tc>
        <w:tc>
          <w:tcPr>
            <w:tcW w:type="dxa" w:w="1700"/>
            <w:tcBorders>
              <w:top w:val="single" w:color="AAAAAA" w:sz="1"/>
              <w:left w:val="single" w:color="AAAAAA" w:sz="1"/>
              <w:bottom w:val="single" w:color="AAAAAA" w:sz="1"/>
              <w:right w:val="single" w:color="AAAAAA" w:sz="1"/>
            </w:tcBorders>
            <w:shd w:fill="EBF3FF" w:val="clear"/>
            <w:tcMar>
              <w:top w:type="dxa" w:w="60"/>
              <w:left w:type="dxa" w:w="80"/>
              <w:bottom w:type="dxa" w:w="60"/>
              <w:right w:type="dxa" w:w="80"/>
            </w:tcMar>
          </w:tcPr>
          <w:p>
            <w:pPr>
              <w:jc w:val="center"/>
            </w:pPr>
            <w:r>
              <w:rPr>
                <w:rFonts w:ascii="Arial" w:cs="Arial" w:eastAsia="Arial" w:hAnsi="Arial"/>
                <w:color w:val="222222"/>
                <w:sz w:val="16"/>
                <w:szCs w:val="16"/>
              </w:rPr>
              <w:t xml:space="preserve">2026-04-10 05:59</w:t>
            </w:r>
          </w:p>
        </w:tc>
        <w:tc>
          <w:tcPr>
            <w:tcW w:type="dxa" w:w="1000"/>
            <w:tcBorders>
              <w:top w:val="single" w:color="AAAAAA" w:sz="1"/>
              <w:left w:val="single" w:color="AAAAAA" w:sz="1"/>
              <w:bottom w:val="single" w:color="AAAAAA" w:sz="1"/>
              <w:right w:val="single" w:color="AAAAAA" w:sz="1"/>
            </w:tcBorders>
            <w:shd w:fill="EBF3FF" w:val="clear"/>
            <w:tcMar>
              <w:top w:type="dxa" w:w="60"/>
              <w:left w:type="dxa" w:w="80"/>
              <w:bottom w:type="dxa" w:w="60"/>
              <w:right w:type="dxa" w:w="80"/>
            </w:tcMar>
          </w:tcPr>
          <w:p>
            <w:pPr>
              <w:jc w:val="center"/>
            </w:pPr>
            <w:r>
              <w:rPr>
                <w:rFonts w:ascii="Arial" w:cs="Arial" w:eastAsia="Arial" w:hAnsi="Arial"/>
                <w:color w:val="222222"/>
                <w:sz w:val="16"/>
                <w:szCs w:val="16"/>
              </w:rPr>
              <w:t xml:space="preserve">194</w:t>
            </w:r>
          </w:p>
        </w:tc>
        <w:tc>
          <w:tcPr>
            <w:tcW w:type="dxa" w:w="1100"/>
            <w:tcBorders>
              <w:top w:val="single" w:color="AAAAAA" w:sz="1"/>
              <w:left w:val="single" w:color="AAAAAA" w:sz="1"/>
              <w:bottom w:val="single" w:color="AAAAAA" w:sz="1"/>
              <w:right w:val="single" w:color="AAAAAA" w:sz="1"/>
            </w:tcBorders>
            <w:shd w:fill="EBF3FF" w:val="clear"/>
            <w:tcMar>
              <w:top w:type="dxa" w:w="60"/>
              <w:left w:type="dxa" w:w="80"/>
              <w:bottom w:type="dxa" w:w="60"/>
              <w:right w:type="dxa" w:w="80"/>
            </w:tcMar>
          </w:tcPr>
          <w:p>
            <w:pPr>
              <w:jc w:val="center"/>
            </w:pPr>
            <w:r>
              <w:rPr>
                <w:rFonts w:ascii="Arial" w:cs="Arial" w:eastAsia="Arial" w:hAnsi="Arial"/>
                <w:color w:val="222222"/>
                <w:sz w:val="16"/>
                <w:szCs w:val="16"/>
              </w:rPr>
              <w:t xml:space="preserve">99</w:t>
            </w:r>
          </w:p>
        </w:tc>
        <w:tc>
          <w:tcPr>
            <w:tcW w:type="dxa" w:w="700"/>
            <w:tcBorders>
              <w:top w:val="single" w:color="AAAAAA" w:sz="1"/>
              <w:left w:val="single" w:color="AAAAAA" w:sz="1"/>
              <w:bottom w:val="single" w:color="AAAAAA" w:sz="1"/>
              <w:right w:val="single" w:color="AAAAAA" w:sz="1"/>
            </w:tcBorders>
            <w:shd w:fill="EBF3FF" w:val="clear"/>
            <w:tcMar>
              <w:top w:type="dxa" w:w="60"/>
              <w:left w:type="dxa" w:w="80"/>
              <w:bottom w:type="dxa" w:w="60"/>
              <w:right w:type="dxa" w:w="80"/>
            </w:tcMar>
          </w:tcPr>
          <w:p>
            <w:pPr>
              <w:jc w:val="center"/>
            </w:pPr>
            <w:r>
              <w:rPr>
                <w:rFonts w:ascii="Arial" w:cs="Arial" w:eastAsia="Arial" w:hAnsi="Arial"/>
                <w:color w:val="222222"/>
                <w:sz w:val="16"/>
                <w:szCs w:val="16"/>
              </w:rPr>
              <w:t xml:space="preserve">5</w:t>
            </w:r>
          </w:p>
        </w:tc>
        <w:tc>
          <w:tcPr>
            <w:tcW w:type="dxa" w:w="600"/>
            <w:tcBorders>
              <w:top w:val="single" w:color="AAAAAA" w:sz="1"/>
              <w:left w:val="single" w:color="AAAAAA" w:sz="1"/>
              <w:bottom w:val="single" w:color="AAAAAA" w:sz="1"/>
              <w:right w:val="single" w:color="AAAAAA" w:sz="1"/>
            </w:tcBorders>
            <w:shd w:fill="EBF3FF" w:val="clear"/>
            <w:tcMar>
              <w:top w:type="dxa" w:w="60"/>
              <w:left w:type="dxa" w:w="80"/>
              <w:bottom w:type="dxa" w:w="60"/>
              <w:right w:type="dxa" w:w="80"/>
            </w:tcMar>
          </w:tcPr>
          <w:p>
            <w:pPr>
              <w:jc w:val="center"/>
            </w:pPr>
            <w:r>
              <w:rPr>
                <w:rFonts w:ascii="Arial" w:cs="Arial" w:eastAsia="Arial" w:hAnsi="Arial"/>
                <w:color w:val="222222"/>
                <w:sz w:val="16"/>
                <w:szCs w:val="16"/>
              </w:rPr>
              <w:t xml:space="preserve">42</w:t>
            </w:r>
          </w:p>
        </w:tc>
        <w:tc>
          <w:tcPr>
            <w:tcW w:type="dxa" w:w="900"/>
            <w:tcBorders>
              <w:top w:val="single" w:color="AAAAAA" w:sz="1"/>
              <w:left w:val="single" w:color="AAAAAA" w:sz="1"/>
              <w:bottom w:val="single" w:color="AAAAAA" w:sz="1"/>
              <w:right w:val="single" w:color="AAAAAA" w:sz="1"/>
            </w:tcBorders>
            <w:shd w:fill="EBF3FF" w:val="clear"/>
            <w:tcMar>
              <w:top w:type="dxa" w:w="60"/>
              <w:left w:type="dxa" w:w="80"/>
              <w:bottom w:type="dxa" w:w="60"/>
              <w:right w:type="dxa" w:w="80"/>
            </w:tcMar>
          </w:tcPr>
          <w:p>
            <w:pPr>
              <w:jc w:val="center"/>
            </w:pPr>
            <w:r>
              <w:rPr>
                <w:rFonts w:ascii="Arial" w:cs="Arial" w:eastAsia="Arial" w:hAnsi="Arial"/>
                <w:color w:val="1A7A1A"/>
                <w:sz w:val="16"/>
                <w:szCs w:val="16"/>
              </w:rPr>
              <w:t xml:space="preserve">YES</w:t>
            </w:r>
          </w:p>
        </w:tc>
        <w:tc>
          <w:tcPr>
            <w:tcW w:type="dxa" w:w="900"/>
            <w:tcBorders>
              <w:top w:val="single" w:color="AAAAAA" w:sz="1"/>
              <w:left w:val="single" w:color="AAAAAA" w:sz="1"/>
              <w:bottom w:val="single" w:color="AAAAAA" w:sz="1"/>
              <w:right w:val="single" w:color="AAAAAA" w:sz="1"/>
            </w:tcBorders>
            <w:shd w:fill="EBF3FF" w:val="clear"/>
            <w:tcMar>
              <w:top w:type="dxa" w:w="60"/>
              <w:left w:type="dxa" w:w="80"/>
              <w:bottom w:type="dxa" w:w="60"/>
              <w:right w:type="dxa" w:w="80"/>
            </w:tcMar>
          </w:tcPr>
          <w:p>
            <w:pPr>
              <w:jc w:val="center"/>
            </w:pPr>
            <w:r>
              <w:rPr>
                <w:rFonts w:ascii="Arial" w:cs="Arial" w:eastAsia="Arial" w:hAnsi="Arial"/>
                <w:color w:val="222222"/>
                <w:sz w:val="16"/>
                <w:szCs w:val="16"/>
              </w:rPr>
              <w:t xml:space="preserve">0.003</w:t>
            </w:r>
          </w:p>
        </w:tc>
        <w:tc>
          <w:tcPr>
            <w:tcW w:type="dxa" w:w="860"/>
            <w:tcBorders>
              <w:top w:val="single" w:color="AAAAAA" w:sz="1"/>
              <w:left w:val="single" w:color="AAAAAA" w:sz="1"/>
              <w:bottom w:val="single" w:color="AAAAAA" w:sz="1"/>
              <w:right w:val="single" w:color="AAAAAA" w:sz="1"/>
            </w:tcBorders>
            <w:shd w:fill="EBF3FF" w:val="clear"/>
            <w:tcMar>
              <w:top w:type="dxa" w:w="60"/>
              <w:left w:type="dxa" w:w="80"/>
              <w:bottom w:type="dxa" w:w="60"/>
              <w:right w:type="dxa" w:w="80"/>
            </w:tcMar>
          </w:tcPr>
          <w:p>
            <w:pPr>
              <w:jc w:val="center"/>
            </w:pPr>
            <w:r>
              <w:rPr>
                <w:rFonts w:ascii="Arial" w:cs="Arial" w:eastAsia="Arial" w:hAnsi="Arial"/>
                <w:color w:val="222222"/>
                <w:sz w:val="16"/>
                <w:szCs w:val="16"/>
              </w:rPr>
              <w:t xml:space="preserve">100.0%</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color w:val="222222"/>
                <w:sz w:val="16"/>
                <w:szCs w:val="16"/>
              </w:rPr>
              <w:t xml:space="preserve">6</w:t>
            </w:r>
          </w:p>
        </w:tc>
        <w:tc>
          <w:tcPr>
            <w:tcW w:type="dxa" w:w="17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color w:val="222222"/>
                <w:sz w:val="16"/>
                <w:szCs w:val="16"/>
              </w:rPr>
              <w:t xml:space="preserve">2026-04-10 06:04</w:t>
            </w:r>
          </w:p>
        </w:tc>
        <w:tc>
          <w:tcPr>
            <w:tcW w:type="dxa" w:w="10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color w:val="222222"/>
                <w:sz w:val="16"/>
                <w:szCs w:val="16"/>
              </w:rPr>
              <w:t xml:space="preserve">158</w:t>
            </w:r>
          </w:p>
        </w:tc>
        <w:tc>
          <w:tcPr>
            <w:tcW w:type="dxa" w:w="11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color w:val="222222"/>
                <w:sz w:val="16"/>
                <w:szCs w:val="16"/>
              </w:rPr>
              <w:t xml:space="preserve">112</w:t>
            </w:r>
          </w:p>
        </w:tc>
        <w:tc>
          <w:tcPr>
            <w:tcW w:type="dxa" w:w="7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color w:val="222222"/>
                <w:sz w:val="16"/>
                <w:szCs w:val="16"/>
              </w:rPr>
              <w:t xml:space="preserve">5</w:t>
            </w:r>
          </w:p>
        </w:tc>
        <w:tc>
          <w:tcPr>
            <w:tcW w:type="dxa" w:w="6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color w:val="222222"/>
                <w:sz w:val="16"/>
                <w:szCs w:val="16"/>
              </w:rPr>
              <w:t xml:space="preserve">32</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color w:val="AA0000"/>
                <w:sz w:val="16"/>
                <w:szCs w:val="16"/>
              </w:rPr>
              <w:t xml:space="preserve">NO</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color w:val="222222"/>
                <w:sz w:val="16"/>
                <w:szCs w:val="16"/>
              </w:rPr>
              <w:t xml:space="preserve">0.003</w:t>
            </w:r>
          </w:p>
        </w:tc>
        <w:tc>
          <w:tcPr>
            <w:tcW w:type="dxa" w:w="86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color w:val="222222"/>
                <w:sz w:val="16"/>
                <w:szCs w:val="16"/>
              </w:rPr>
              <w:t xml:space="preserve">100.0%</w:t>
            </w:r>
          </w:p>
        </w:tc>
      </w:tr>
      <w:tr>
        <w:tc>
          <w:tcPr>
            <w:tcW w:type="dxa" w:w="600"/>
            <w:tcBorders>
              <w:top w:val="single" w:color="AAAAAA" w:sz="1"/>
              <w:left w:val="single" w:color="AAAAAA" w:sz="1"/>
              <w:bottom w:val="single" w:color="AAAAAA" w:sz="1"/>
              <w:right w:val="single" w:color="AAAAAA" w:sz="1"/>
            </w:tcBorders>
            <w:shd w:fill="EBF3FF" w:val="clear"/>
            <w:tcMar>
              <w:top w:type="dxa" w:w="60"/>
              <w:left w:type="dxa" w:w="80"/>
              <w:bottom w:type="dxa" w:w="60"/>
              <w:right w:type="dxa" w:w="80"/>
            </w:tcMar>
          </w:tcPr>
          <w:p>
            <w:pPr>
              <w:jc w:val="center"/>
            </w:pPr>
            <w:r>
              <w:rPr>
                <w:rFonts w:ascii="Arial" w:cs="Arial" w:eastAsia="Arial" w:hAnsi="Arial"/>
                <w:color w:val="222222"/>
                <w:sz w:val="16"/>
                <w:szCs w:val="16"/>
              </w:rPr>
              <w:t xml:space="preserve">7</w:t>
            </w:r>
          </w:p>
        </w:tc>
        <w:tc>
          <w:tcPr>
            <w:tcW w:type="dxa" w:w="1700"/>
            <w:tcBorders>
              <w:top w:val="single" w:color="AAAAAA" w:sz="1"/>
              <w:left w:val="single" w:color="AAAAAA" w:sz="1"/>
              <w:bottom w:val="single" w:color="AAAAAA" w:sz="1"/>
              <w:right w:val="single" w:color="AAAAAA" w:sz="1"/>
            </w:tcBorders>
            <w:shd w:fill="EBF3FF" w:val="clear"/>
            <w:tcMar>
              <w:top w:type="dxa" w:w="60"/>
              <w:left w:type="dxa" w:w="80"/>
              <w:bottom w:type="dxa" w:w="60"/>
              <w:right w:type="dxa" w:w="80"/>
            </w:tcMar>
          </w:tcPr>
          <w:p>
            <w:pPr>
              <w:jc w:val="center"/>
            </w:pPr>
            <w:r>
              <w:rPr>
                <w:rFonts w:ascii="Arial" w:cs="Arial" w:eastAsia="Arial" w:hAnsi="Arial"/>
                <w:color w:val="222222"/>
                <w:sz w:val="16"/>
                <w:szCs w:val="16"/>
              </w:rPr>
              <w:t xml:space="preserve">2026-04-10 06:09</w:t>
            </w:r>
          </w:p>
        </w:tc>
        <w:tc>
          <w:tcPr>
            <w:tcW w:type="dxa" w:w="1000"/>
            <w:tcBorders>
              <w:top w:val="single" w:color="AAAAAA" w:sz="1"/>
              <w:left w:val="single" w:color="AAAAAA" w:sz="1"/>
              <w:bottom w:val="single" w:color="AAAAAA" w:sz="1"/>
              <w:right w:val="single" w:color="AAAAAA" w:sz="1"/>
            </w:tcBorders>
            <w:shd w:fill="EBF3FF" w:val="clear"/>
            <w:tcMar>
              <w:top w:type="dxa" w:w="60"/>
              <w:left w:type="dxa" w:w="80"/>
              <w:bottom w:type="dxa" w:w="60"/>
              <w:right w:type="dxa" w:w="80"/>
            </w:tcMar>
          </w:tcPr>
          <w:p>
            <w:pPr>
              <w:jc w:val="center"/>
            </w:pPr>
            <w:r>
              <w:rPr>
                <w:rFonts w:ascii="Arial" w:cs="Arial" w:eastAsia="Arial" w:hAnsi="Arial"/>
                <w:color w:val="222222"/>
                <w:sz w:val="16"/>
                <w:szCs w:val="16"/>
              </w:rPr>
              <w:t xml:space="preserve">170</w:t>
            </w:r>
          </w:p>
        </w:tc>
        <w:tc>
          <w:tcPr>
            <w:tcW w:type="dxa" w:w="1100"/>
            <w:tcBorders>
              <w:top w:val="single" w:color="AAAAAA" w:sz="1"/>
              <w:left w:val="single" w:color="AAAAAA" w:sz="1"/>
              <w:bottom w:val="single" w:color="AAAAAA" w:sz="1"/>
              <w:right w:val="single" w:color="AAAAAA" w:sz="1"/>
            </w:tcBorders>
            <w:shd w:fill="EBF3FF" w:val="clear"/>
            <w:tcMar>
              <w:top w:type="dxa" w:w="60"/>
              <w:left w:type="dxa" w:w="80"/>
              <w:bottom w:type="dxa" w:w="60"/>
              <w:right w:type="dxa" w:w="80"/>
            </w:tcMar>
          </w:tcPr>
          <w:p>
            <w:pPr>
              <w:jc w:val="center"/>
            </w:pPr>
            <w:r>
              <w:rPr>
                <w:rFonts w:ascii="Arial" w:cs="Arial" w:eastAsia="Arial" w:hAnsi="Arial"/>
                <w:color w:val="222222"/>
                <w:sz w:val="16"/>
                <w:szCs w:val="16"/>
              </w:rPr>
              <w:t xml:space="preserve">93</w:t>
            </w:r>
          </w:p>
        </w:tc>
        <w:tc>
          <w:tcPr>
            <w:tcW w:type="dxa" w:w="700"/>
            <w:tcBorders>
              <w:top w:val="single" w:color="AAAAAA" w:sz="1"/>
              <w:left w:val="single" w:color="AAAAAA" w:sz="1"/>
              <w:bottom w:val="single" w:color="AAAAAA" w:sz="1"/>
              <w:right w:val="single" w:color="AAAAAA" w:sz="1"/>
            </w:tcBorders>
            <w:shd w:fill="EBF3FF" w:val="clear"/>
            <w:tcMar>
              <w:top w:type="dxa" w:w="60"/>
              <w:left w:type="dxa" w:w="80"/>
              <w:bottom w:type="dxa" w:w="60"/>
              <w:right w:type="dxa" w:w="80"/>
            </w:tcMar>
          </w:tcPr>
          <w:p>
            <w:pPr>
              <w:jc w:val="center"/>
            </w:pPr>
            <w:r>
              <w:rPr>
                <w:rFonts w:ascii="Arial" w:cs="Arial" w:eastAsia="Arial" w:hAnsi="Arial"/>
                <w:color w:val="222222"/>
                <w:sz w:val="16"/>
                <w:szCs w:val="16"/>
              </w:rPr>
              <w:t xml:space="preserve">4</w:t>
            </w:r>
          </w:p>
        </w:tc>
        <w:tc>
          <w:tcPr>
            <w:tcW w:type="dxa" w:w="600"/>
            <w:tcBorders>
              <w:top w:val="single" w:color="AAAAAA" w:sz="1"/>
              <w:left w:val="single" w:color="AAAAAA" w:sz="1"/>
              <w:bottom w:val="single" w:color="AAAAAA" w:sz="1"/>
              <w:right w:val="single" w:color="AAAAAA" w:sz="1"/>
            </w:tcBorders>
            <w:shd w:fill="EBF3FF" w:val="clear"/>
            <w:tcMar>
              <w:top w:type="dxa" w:w="60"/>
              <w:left w:type="dxa" w:w="80"/>
              <w:bottom w:type="dxa" w:w="60"/>
              <w:right w:type="dxa" w:w="80"/>
            </w:tcMar>
          </w:tcPr>
          <w:p>
            <w:pPr>
              <w:jc w:val="center"/>
            </w:pPr>
            <w:r>
              <w:rPr>
                <w:rFonts w:ascii="Arial" w:cs="Arial" w:eastAsia="Arial" w:hAnsi="Arial"/>
                <w:color w:val="222222"/>
                <w:sz w:val="16"/>
                <w:szCs w:val="16"/>
              </w:rPr>
              <w:t xml:space="preserve">41</w:t>
            </w:r>
          </w:p>
        </w:tc>
        <w:tc>
          <w:tcPr>
            <w:tcW w:type="dxa" w:w="900"/>
            <w:tcBorders>
              <w:top w:val="single" w:color="AAAAAA" w:sz="1"/>
              <w:left w:val="single" w:color="AAAAAA" w:sz="1"/>
              <w:bottom w:val="single" w:color="AAAAAA" w:sz="1"/>
              <w:right w:val="single" w:color="AAAAAA" w:sz="1"/>
            </w:tcBorders>
            <w:shd w:fill="EBF3FF" w:val="clear"/>
            <w:tcMar>
              <w:top w:type="dxa" w:w="60"/>
              <w:left w:type="dxa" w:w="80"/>
              <w:bottom w:type="dxa" w:w="60"/>
              <w:right w:type="dxa" w:w="80"/>
            </w:tcMar>
          </w:tcPr>
          <w:p>
            <w:pPr>
              <w:jc w:val="center"/>
            </w:pPr>
            <w:r>
              <w:rPr>
                <w:rFonts w:ascii="Arial" w:cs="Arial" w:eastAsia="Arial" w:hAnsi="Arial"/>
                <w:color w:val="1A7A1A"/>
                <w:sz w:val="16"/>
                <w:szCs w:val="16"/>
              </w:rPr>
              <w:t xml:space="preserve">YES</w:t>
            </w:r>
          </w:p>
        </w:tc>
        <w:tc>
          <w:tcPr>
            <w:tcW w:type="dxa" w:w="900"/>
            <w:tcBorders>
              <w:top w:val="single" w:color="AAAAAA" w:sz="1"/>
              <w:left w:val="single" w:color="AAAAAA" w:sz="1"/>
              <w:bottom w:val="single" w:color="AAAAAA" w:sz="1"/>
              <w:right w:val="single" w:color="AAAAAA" w:sz="1"/>
            </w:tcBorders>
            <w:shd w:fill="EBF3FF" w:val="clear"/>
            <w:tcMar>
              <w:top w:type="dxa" w:w="60"/>
              <w:left w:type="dxa" w:w="80"/>
              <w:bottom w:type="dxa" w:w="60"/>
              <w:right w:type="dxa" w:w="80"/>
            </w:tcMar>
          </w:tcPr>
          <w:p>
            <w:pPr>
              <w:jc w:val="center"/>
            </w:pPr>
            <w:r>
              <w:rPr>
                <w:rFonts w:ascii="Arial" w:cs="Arial" w:eastAsia="Arial" w:hAnsi="Arial"/>
                <w:color w:val="222222"/>
                <w:sz w:val="16"/>
                <w:szCs w:val="16"/>
              </w:rPr>
              <w:t xml:space="preserve">0.003</w:t>
            </w:r>
          </w:p>
        </w:tc>
        <w:tc>
          <w:tcPr>
            <w:tcW w:type="dxa" w:w="860"/>
            <w:tcBorders>
              <w:top w:val="single" w:color="AAAAAA" w:sz="1"/>
              <w:left w:val="single" w:color="AAAAAA" w:sz="1"/>
              <w:bottom w:val="single" w:color="AAAAAA" w:sz="1"/>
              <w:right w:val="single" w:color="AAAAAA" w:sz="1"/>
            </w:tcBorders>
            <w:shd w:fill="EBF3FF" w:val="clear"/>
            <w:tcMar>
              <w:top w:type="dxa" w:w="60"/>
              <w:left w:type="dxa" w:w="80"/>
              <w:bottom w:type="dxa" w:w="60"/>
              <w:right w:type="dxa" w:w="80"/>
            </w:tcMar>
          </w:tcPr>
          <w:p>
            <w:pPr>
              <w:jc w:val="center"/>
            </w:pPr>
            <w:r>
              <w:rPr>
                <w:rFonts w:ascii="Arial" w:cs="Arial" w:eastAsia="Arial" w:hAnsi="Arial"/>
                <w:color w:val="222222"/>
                <w:sz w:val="16"/>
                <w:szCs w:val="16"/>
              </w:rPr>
              <w:t xml:space="preserve">100.0%</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color w:val="222222"/>
                <w:sz w:val="16"/>
                <w:szCs w:val="16"/>
              </w:rPr>
              <w:t xml:space="preserve">8</w:t>
            </w:r>
          </w:p>
        </w:tc>
        <w:tc>
          <w:tcPr>
            <w:tcW w:type="dxa" w:w="17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color w:val="222222"/>
                <w:sz w:val="16"/>
                <w:szCs w:val="16"/>
              </w:rPr>
              <w:t xml:space="preserve">2026-04-10 06:14</w:t>
            </w:r>
          </w:p>
        </w:tc>
        <w:tc>
          <w:tcPr>
            <w:tcW w:type="dxa" w:w="10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color w:val="222222"/>
                <w:sz w:val="16"/>
                <w:szCs w:val="16"/>
              </w:rPr>
              <w:t xml:space="preserve">160</w:t>
            </w:r>
          </w:p>
        </w:tc>
        <w:tc>
          <w:tcPr>
            <w:tcW w:type="dxa" w:w="11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color w:val="222222"/>
                <w:sz w:val="16"/>
                <w:szCs w:val="16"/>
              </w:rPr>
              <w:t xml:space="preserve">97</w:t>
            </w:r>
          </w:p>
        </w:tc>
        <w:tc>
          <w:tcPr>
            <w:tcW w:type="dxa" w:w="7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color w:val="222222"/>
                <w:sz w:val="16"/>
                <w:szCs w:val="16"/>
              </w:rPr>
              <w:t xml:space="preserve">4</w:t>
            </w:r>
          </w:p>
        </w:tc>
        <w:tc>
          <w:tcPr>
            <w:tcW w:type="dxa" w:w="6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color w:val="222222"/>
                <w:sz w:val="16"/>
                <w:szCs w:val="16"/>
              </w:rPr>
              <w:t xml:space="preserve">35</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color w:val="AA0000"/>
                <w:sz w:val="16"/>
                <w:szCs w:val="16"/>
              </w:rPr>
              <w:t xml:space="preserve">NO</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color w:val="222222"/>
                <w:sz w:val="16"/>
                <w:szCs w:val="16"/>
              </w:rPr>
              <w:t xml:space="preserve">0.003</w:t>
            </w:r>
          </w:p>
        </w:tc>
        <w:tc>
          <w:tcPr>
            <w:tcW w:type="dxa" w:w="86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color w:val="222222"/>
                <w:sz w:val="16"/>
                <w:szCs w:val="16"/>
              </w:rPr>
              <w:t xml:space="preserve">100.0%</w:t>
            </w:r>
          </w:p>
        </w:tc>
      </w:tr>
      <w:tr>
        <w:tc>
          <w:tcPr>
            <w:tcW w:type="dxa" w:w="600"/>
            <w:tcBorders>
              <w:top w:val="single" w:color="AAAAAA" w:sz="1"/>
              <w:left w:val="single" w:color="AAAAAA" w:sz="1"/>
              <w:bottom w:val="single" w:color="AAAAAA" w:sz="1"/>
              <w:right w:val="single" w:color="AAAAAA" w:sz="1"/>
            </w:tcBorders>
            <w:shd w:fill="EBF3FF" w:val="clear"/>
            <w:tcMar>
              <w:top w:type="dxa" w:w="60"/>
              <w:left w:type="dxa" w:w="80"/>
              <w:bottom w:type="dxa" w:w="60"/>
              <w:right w:type="dxa" w:w="80"/>
            </w:tcMar>
          </w:tcPr>
          <w:p>
            <w:pPr>
              <w:jc w:val="center"/>
            </w:pPr>
            <w:r>
              <w:rPr>
                <w:rFonts w:ascii="Arial" w:cs="Arial" w:eastAsia="Arial" w:hAnsi="Arial"/>
                <w:color w:val="222222"/>
                <w:sz w:val="16"/>
                <w:szCs w:val="16"/>
              </w:rPr>
              <w:t xml:space="preserve">9</w:t>
            </w:r>
          </w:p>
        </w:tc>
        <w:tc>
          <w:tcPr>
            <w:tcW w:type="dxa" w:w="1700"/>
            <w:tcBorders>
              <w:top w:val="single" w:color="AAAAAA" w:sz="1"/>
              <w:left w:val="single" w:color="AAAAAA" w:sz="1"/>
              <w:bottom w:val="single" w:color="AAAAAA" w:sz="1"/>
              <w:right w:val="single" w:color="AAAAAA" w:sz="1"/>
            </w:tcBorders>
            <w:shd w:fill="EBF3FF" w:val="clear"/>
            <w:tcMar>
              <w:top w:type="dxa" w:w="60"/>
              <w:left w:type="dxa" w:w="80"/>
              <w:bottom w:type="dxa" w:w="60"/>
              <w:right w:type="dxa" w:w="80"/>
            </w:tcMar>
          </w:tcPr>
          <w:p>
            <w:pPr>
              <w:jc w:val="center"/>
            </w:pPr>
            <w:r>
              <w:rPr>
                <w:rFonts w:ascii="Arial" w:cs="Arial" w:eastAsia="Arial" w:hAnsi="Arial"/>
                <w:color w:val="222222"/>
                <w:sz w:val="16"/>
                <w:szCs w:val="16"/>
              </w:rPr>
              <w:t xml:space="preserve">2026-04-10 06:19</w:t>
            </w:r>
          </w:p>
        </w:tc>
        <w:tc>
          <w:tcPr>
            <w:tcW w:type="dxa" w:w="1000"/>
            <w:tcBorders>
              <w:top w:val="single" w:color="AAAAAA" w:sz="1"/>
              <w:left w:val="single" w:color="AAAAAA" w:sz="1"/>
              <w:bottom w:val="single" w:color="AAAAAA" w:sz="1"/>
              <w:right w:val="single" w:color="AAAAAA" w:sz="1"/>
            </w:tcBorders>
            <w:shd w:fill="EBF3FF" w:val="clear"/>
            <w:tcMar>
              <w:top w:type="dxa" w:w="60"/>
              <w:left w:type="dxa" w:w="80"/>
              <w:bottom w:type="dxa" w:w="60"/>
              <w:right w:type="dxa" w:w="80"/>
            </w:tcMar>
          </w:tcPr>
          <w:p>
            <w:pPr>
              <w:jc w:val="center"/>
            </w:pPr>
            <w:r>
              <w:rPr>
                <w:rFonts w:ascii="Arial" w:cs="Arial" w:eastAsia="Arial" w:hAnsi="Arial"/>
                <w:color w:val="222222"/>
                <w:sz w:val="16"/>
                <w:szCs w:val="16"/>
              </w:rPr>
              <w:t xml:space="preserve">134</w:t>
            </w:r>
          </w:p>
        </w:tc>
        <w:tc>
          <w:tcPr>
            <w:tcW w:type="dxa" w:w="1100"/>
            <w:tcBorders>
              <w:top w:val="single" w:color="AAAAAA" w:sz="1"/>
              <w:left w:val="single" w:color="AAAAAA" w:sz="1"/>
              <w:bottom w:val="single" w:color="AAAAAA" w:sz="1"/>
              <w:right w:val="single" w:color="AAAAAA" w:sz="1"/>
            </w:tcBorders>
            <w:shd w:fill="EBF3FF" w:val="clear"/>
            <w:tcMar>
              <w:top w:type="dxa" w:w="60"/>
              <w:left w:type="dxa" w:w="80"/>
              <w:bottom w:type="dxa" w:w="60"/>
              <w:right w:type="dxa" w:w="80"/>
            </w:tcMar>
          </w:tcPr>
          <w:p>
            <w:pPr>
              <w:jc w:val="center"/>
            </w:pPr>
            <w:r>
              <w:rPr>
                <w:rFonts w:ascii="Arial" w:cs="Arial" w:eastAsia="Arial" w:hAnsi="Arial"/>
                <w:color w:val="222222"/>
                <w:sz w:val="16"/>
                <w:szCs w:val="16"/>
              </w:rPr>
              <w:t xml:space="preserve">84</w:t>
            </w:r>
          </w:p>
        </w:tc>
        <w:tc>
          <w:tcPr>
            <w:tcW w:type="dxa" w:w="700"/>
            <w:tcBorders>
              <w:top w:val="single" w:color="AAAAAA" w:sz="1"/>
              <w:left w:val="single" w:color="AAAAAA" w:sz="1"/>
              <w:bottom w:val="single" w:color="AAAAAA" w:sz="1"/>
              <w:right w:val="single" w:color="AAAAAA" w:sz="1"/>
            </w:tcBorders>
            <w:shd w:fill="EBF3FF" w:val="clear"/>
            <w:tcMar>
              <w:top w:type="dxa" w:w="60"/>
              <w:left w:type="dxa" w:w="80"/>
              <w:bottom w:type="dxa" w:w="60"/>
              <w:right w:type="dxa" w:w="80"/>
            </w:tcMar>
          </w:tcPr>
          <w:p>
            <w:pPr>
              <w:jc w:val="center"/>
            </w:pPr>
            <w:r>
              <w:rPr>
                <w:rFonts w:ascii="Arial" w:cs="Arial" w:eastAsia="Arial" w:hAnsi="Arial"/>
                <w:color w:val="222222"/>
                <w:sz w:val="16"/>
                <w:szCs w:val="16"/>
              </w:rPr>
              <w:t xml:space="preserve">7</w:t>
            </w:r>
          </w:p>
        </w:tc>
        <w:tc>
          <w:tcPr>
            <w:tcW w:type="dxa" w:w="600"/>
            <w:tcBorders>
              <w:top w:val="single" w:color="AAAAAA" w:sz="1"/>
              <w:left w:val="single" w:color="AAAAAA" w:sz="1"/>
              <w:bottom w:val="single" w:color="AAAAAA" w:sz="1"/>
              <w:right w:val="single" w:color="AAAAAA" w:sz="1"/>
            </w:tcBorders>
            <w:shd w:fill="EBF3FF" w:val="clear"/>
            <w:tcMar>
              <w:top w:type="dxa" w:w="60"/>
              <w:left w:type="dxa" w:w="80"/>
              <w:bottom w:type="dxa" w:w="60"/>
              <w:right w:type="dxa" w:w="80"/>
            </w:tcMar>
          </w:tcPr>
          <w:p>
            <w:pPr>
              <w:jc w:val="center"/>
            </w:pPr>
            <w:r>
              <w:rPr>
                <w:rFonts w:ascii="Arial" w:cs="Arial" w:eastAsia="Arial" w:hAnsi="Arial"/>
                <w:color w:val="222222"/>
                <w:sz w:val="16"/>
                <w:szCs w:val="16"/>
              </w:rPr>
              <w:t xml:space="preserve">32</w:t>
            </w:r>
          </w:p>
        </w:tc>
        <w:tc>
          <w:tcPr>
            <w:tcW w:type="dxa" w:w="900"/>
            <w:tcBorders>
              <w:top w:val="single" w:color="AAAAAA" w:sz="1"/>
              <w:left w:val="single" w:color="AAAAAA" w:sz="1"/>
              <w:bottom w:val="single" w:color="AAAAAA" w:sz="1"/>
              <w:right w:val="single" w:color="AAAAAA" w:sz="1"/>
            </w:tcBorders>
            <w:shd w:fill="EBF3FF" w:val="clear"/>
            <w:tcMar>
              <w:top w:type="dxa" w:w="60"/>
              <w:left w:type="dxa" w:w="80"/>
              <w:bottom w:type="dxa" w:w="60"/>
              <w:right w:type="dxa" w:w="80"/>
            </w:tcMar>
          </w:tcPr>
          <w:p>
            <w:pPr>
              <w:jc w:val="center"/>
            </w:pPr>
            <w:r>
              <w:rPr>
                <w:rFonts w:ascii="Arial" w:cs="Arial" w:eastAsia="Arial" w:hAnsi="Arial"/>
                <w:color w:val="1A7A1A"/>
                <w:sz w:val="16"/>
                <w:szCs w:val="16"/>
              </w:rPr>
              <w:t xml:space="preserve">YES</w:t>
            </w:r>
          </w:p>
        </w:tc>
        <w:tc>
          <w:tcPr>
            <w:tcW w:type="dxa" w:w="900"/>
            <w:tcBorders>
              <w:top w:val="single" w:color="AAAAAA" w:sz="1"/>
              <w:left w:val="single" w:color="AAAAAA" w:sz="1"/>
              <w:bottom w:val="single" w:color="AAAAAA" w:sz="1"/>
              <w:right w:val="single" w:color="AAAAAA" w:sz="1"/>
            </w:tcBorders>
            <w:shd w:fill="EBF3FF" w:val="clear"/>
            <w:tcMar>
              <w:top w:type="dxa" w:w="60"/>
              <w:left w:type="dxa" w:w="80"/>
              <w:bottom w:type="dxa" w:w="60"/>
              <w:right w:type="dxa" w:w="80"/>
            </w:tcMar>
          </w:tcPr>
          <w:p>
            <w:pPr>
              <w:jc w:val="center"/>
            </w:pPr>
            <w:r>
              <w:rPr>
                <w:rFonts w:ascii="Arial" w:cs="Arial" w:eastAsia="Arial" w:hAnsi="Arial"/>
                <w:color w:val="222222"/>
                <w:sz w:val="16"/>
                <w:szCs w:val="16"/>
              </w:rPr>
              <w:t xml:space="preserve">0.003</w:t>
            </w:r>
          </w:p>
        </w:tc>
        <w:tc>
          <w:tcPr>
            <w:tcW w:type="dxa" w:w="860"/>
            <w:tcBorders>
              <w:top w:val="single" w:color="AAAAAA" w:sz="1"/>
              <w:left w:val="single" w:color="AAAAAA" w:sz="1"/>
              <w:bottom w:val="single" w:color="AAAAAA" w:sz="1"/>
              <w:right w:val="single" w:color="AAAAAA" w:sz="1"/>
            </w:tcBorders>
            <w:shd w:fill="EBF3FF" w:val="clear"/>
            <w:tcMar>
              <w:top w:type="dxa" w:w="60"/>
              <w:left w:type="dxa" w:w="80"/>
              <w:bottom w:type="dxa" w:w="60"/>
              <w:right w:type="dxa" w:w="80"/>
            </w:tcMar>
          </w:tcPr>
          <w:p>
            <w:pPr>
              <w:jc w:val="center"/>
            </w:pPr>
            <w:r>
              <w:rPr>
                <w:rFonts w:ascii="Arial" w:cs="Arial" w:eastAsia="Arial" w:hAnsi="Arial"/>
                <w:color w:val="222222"/>
                <w:sz w:val="16"/>
                <w:szCs w:val="16"/>
              </w:rPr>
              <w:t xml:space="preserve">100.0%</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color w:val="222222"/>
                <w:sz w:val="16"/>
                <w:szCs w:val="16"/>
              </w:rPr>
              <w:t xml:space="preserve">10</w:t>
            </w:r>
          </w:p>
        </w:tc>
        <w:tc>
          <w:tcPr>
            <w:tcW w:type="dxa" w:w="17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color w:val="222222"/>
                <w:sz w:val="16"/>
                <w:szCs w:val="16"/>
              </w:rPr>
              <w:t xml:space="preserve">2026-04-10 06:24</w:t>
            </w:r>
          </w:p>
        </w:tc>
        <w:tc>
          <w:tcPr>
            <w:tcW w:type="dxa" w:w="10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color w:val="222222"/>
                <w:sz w:val="16"/>
                <w:szCs w:val="16"/>
              </w:rPr>
              <w:t xml:space="preserve">120</w:t>
            </w:r>
          </w:p>
        </w:tc>
        <w:tc>
          <w:tcPr>
            <w:tcW w:type="dxa" w:w="11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color w:val="222222"/>
                <w:sz w:val="16"/>
                <w:szCs w:val="16"/>
              </w:rPr>
              <w:t xml:space="preserve">75</w:t>
            </w:r>
          </w:p>
        </w:tc>
        <w:tc>
          <w:tcPr>
            <w:tcW w:type="dxa" w:w="7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color w:val="222222"/>
                <w:sz w:val="16"/>
                <w:szCs w:val="16"/>
              </w:rPr>
              <w:t xml:space="preserve">6</w:t>
            </w:r>
          </w:p>
        </w:tc>
        <w:tc>
          <w:tcPr>
            <w:tcW w:type="dxa" w:w="6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color w:val="222222"/>
                <w:sz w:val="16"/>
                <w:szCs w:val="16"/>
              </w:rPr>
              <w:t xml:space="preserve">21</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color w:val="1A7A1A"/>
                <w:sz w:val="16"/>
                <w:szCs w:val="16"/>
              </w:rPr>
              <w:t xml:space="preserve">YES</w:t>
            </w:r>
          </w:p>
        </w:tc>
        <w:tc>
          <w:tcPr>
            <w:tcW w:type="dxa" w:w="90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color w:val="222222"/>
                <w:sz w:val="16"/>
                <w:szCs w:val="16"/>
              </w:rPr>
              <w:t xml:space="preserve">0.003</w:t>
            </w:r>
          </w:p>
        </w:tc>
        <w:tc>
          <w:tcPr>
            <w:tcW w:type="dxa" w:w="860"/>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pPr>
              <w:jc w:val="center"/>
            </w:pPr>
            <w:r>
              <w:rPr>
                <w:rFonts w:ascii="Arial" w:cs="Arial" w:eastAsia="Arial" w:hAnsi="Arial"/>
                <w:color w:val="222222"/>
                <w:sz w:val="16"/>
                <w:szCs w:val="16"/>
              </w:rPr>
              <w:t xml:space="preserve">100.0%</w:t>
            </w:r>
          </w:p>
        </w:tc>
      </w:tr>
    </w:tbl>
    <w:p>
      <w:pPr>
        <w:spacing w:after="60" w:before="60" w:line="276"/>
        <w:jc w:val="both"/>
      </w:pPr>
      <w:r>
        <w:rPr>
          <w:rFonts w:ascii="Arial" w:cs="Arial" w:eastAsia="Arial" w:hAnsi="Arial"/>
          <w:sz w:val="22"/>
          <w:szCs w:val="22"/>
        </w:rPr>
        <w:t xml:space="preserve"/>
      </w:r>
    </w:p>
    <w:p>
      <w:pPr>
        <w:spacing w:after="60" w:before="60" w:line="276"/>
        <w:jc w:val="both"/>
      </w:pPr>
      <w:r>
        <w:rPr>
          <w:rFonts w:ascii="Arial" w:cs="Arial" w:eastAsia="Arial" w:hAnsi="Arial"/>
          <w:sz w:val="22"/>
          <w:szCs w:val="22"/>
        </w:rPr>
        <w:t xml:space="preserve">Table IV presents complete cycle-by-cycle results. CVE counts in nginx-vulnerable decline from 213 in cycle 1 to 120 in cycle 10. This decrease does not reflect patching activity — neither image was modified during the experiment. The decline tracks Grype's CVE database update behavior: the tool applies contextual deduplication across scan runs, and some ghost CVEs (already patched in upstream but retained in stale NVD entries) are resolved as the database refreshes. This dynamic is itself a source of false positives in periodic scanning, as discussed in Section VI-C.</w:t>
      </w:r>
    </w:p>
    <w:p>
      <w:pPr>
        <w:pStyle w:val="Heading2"/>
        <w:spacing w:after="80" w:before="200"/>
      </w:pPr>
      <w:r>
        <w:rPr>
          <w:rFonts w:ascii="Arial" w:cs="Arial" w:eastAsia="Arial" w:hAnsi="Arial"/>
          <w:b/>
          <w:bCs/>
          <w:color w:val="000000"/>
          <w:sz w:val="24"/>
          <w:szCs w:val="24"/>
        </w:rPr>
        <w:t xml:space="preserve">B. MTTD Comparison</w:t>
      </w:r>
    </w:p>
    <w:p>
      <w:pPr>
        <w:spacing w:after="40" w:before="120"/>
        <w:jc w:val="center"/>
      </w:pPr>
      <w:r>
        <w:drawing>
          <wp:inline distT="0" distB="0" distL="0" distR="0">
            <wp:extent cx="4953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238500"/>
                    </a:xfrm>
                    <a:prstGeom prst="rect">
                      <a:avLst/>
                    </a:prstGeom>
                  </pic:spPr>
                </pic:pic>
              </a:graphicData>
            </a:graphic>
          </wp:inline>
        </w:drawing>
      </w:r>
    </w:p>
    <w:p>
      <w:pPr>
        <w:spacing w:after="160" w:before="60"/>
        <w:jc w:val="center"/>
      </w:pPr>
      <w:r>
        <w:rPr>
          <w:rFonts w:ascii="Arial" w:cs="Arial" w:eastAsia="Arial" w:hAnsi="Arial"/>
          <w:b/>
          <w:bCs/>
          <w:i/>
          <w:iCs/>
          <w:color w:val="000000"/>
          <w:sz w:val="20"/>
          <w:szCs w:val="20"/>
        </w:rPr>
        <w:t xml:space="preserve">Fig. 1. MTTD Reduction: Periodic (90 days) vs. Continuous (5 min) for nginx-vulnerable and nginx-secure deployments. Reduction = 99.99%.</w:t>
      </w:r>
    </w:p>
    <w:p>
      <w:pPr>
        <w:spacing w:after="60" w:before="60" w:line="276"/>
        <w:jc w:val="both"/>
      </w:pPr>
      <w:r>
        <w:rPr>
          <w:rFonts w:ascii="Arial" w:cs="Arial" w:eastAsia="Arial" w:hAnsi="Arial"/>
          <w:sz w:val="22"/>
          <w:szCs w:val="22"/>
        </w:rPr>
        <w:t xml:space="preserve">Figure 1 confirms the 99.99% MTTD reduction across both deployments. The periodic baseline of 90 days represents the worst-case detection window under quarterly assessment — a CVE introduced on day 1 of the cycle would remain undetected until day 90. The continuous arm's 5-minute interval reduces this to a sub-hour detection window regardless of when in the cycle the vulnerability appears.</w:t>
      </w:r>
    </w:p>
    <w:p>
      <w:pPr>
        <w:spacing w:after="60" w:before="60" w:line="276"/>
        <w:jc w:val="both"/>
      </w:pPr>
      <w:r>
        <w:rPr>
          <w:rFonts w:ascii="Arial" w:cs="Arial" w:eastAsia="Arial" w:hAnsi="Arial"/>
          <w:sz w:val="22"/>
          <w:szCs w:val="22"/>
        </w:rPr>
        <w:t xml:space="preserve">The practical implication for DPDPA compliance is direct. A 90-day MTTD means that a breach involving personal data could propagate undetected for 2,160 hours — 2,088 hours beyond the 72-hour notification ceiling. The 5-minute continuous MTTD reduces this overshoot to approximately 4 hours, placing the Data Fiduciary within the notification window if an incident response workflow is triggered immediately upon detection.</w:t>
      </w:r>
    </w:p>
    <w:p>
      <w:pPr>
        <w:pStyle w:val="Heading2"/>
        <w:spacing w:after="80" w:before="200"/>
      </w:pPr>
      <w:r>
        <w:rPr>
          <w:rFonts w:ascii="Arial" w:cs="Arial" w:eastAsia="Arial" w:hAnsi="Arial"/>
          <w:b/>
          <w:bCs/>
          <w:color w:val="000000"/>
          <w:sz w:val="24"/>
          <w:szCs w:val="24"/>
        </w:rPr>
        <w:t xml:space="preserve">C. Vulnerability Severity Distribution and Trends</w:t>
      </w:r>
    </w:p>
    <w:p>
      <w:pPr>
        <w:spacing w:after="40" w:before="120"/>
        <w:jc w:val="center"/>
      </w:pPr>
      <w:r>
        <w:drawing>
          <wp:inline distT="0" distB="0" distL="0" distR="0">
            <wp:extent cx="5334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476500"/>
                    </a:xfrm>
                    <a:prstGeom prst="rect">
                      <a:avLst/>
                    </a:prstGeom>
                  </pic:spPr>
                </pic:pic>
              </a:graphicData>
            </a:graphic>
          </wp:inline>
        </w:drawing>
      </w:r>
    </w:p>
    <w:p>
      <w:pPr>
        <w:spacing w:after="160" w:before="60"/>
        <w:jc w:val="center"/>
      </w:pPr>
      <w:r>
        <w:rPr>
          <w:rFonts w:ascii="Arial" w:cs="Arial" w:eastAsia="Arial" w:hAnsi="Arial"/>
          <w:b/>
          <w:bCs/>
          <w:i/>
          <w:iCs/>
          <w:color w:val="000000"/>
          <w:sz w:val="20"/>
          <w:szCs w:val="20"/>
        </w:rPr>
        <w:t xml:space="preserve">Fig. 2. Left: Severity distribution across all detected CVEs (86.2% High, 13.8% Critical). Right: CVE counts by deployment — nginx-vulnerable (212 avg) vs. nginx-secure (137 avg).</w:t>
      </w:r>
    </w:p>
    <w:p>
      <w:pPr>
        <w:spacing w:after="60" w:before="60" w:line="276"/>
        <w:jc w:val="both"/>
      </w:pPr>
      <w:r>
        <w:rPr>
          <w:rFonts w:ascii="Arial" w:cs="Arial" w:eastAsia="Arial" w:hAnsi="Arial"/>
          <w:sz w:val="22"/>
          <w:szCs w:val="22"/>
        </w:rPr>
        <w:t xml:space="preserve">Figure 2 shows that critical CVEs constitute 13.8% of total detections — a proportion consistent with the broader Grype benchmark data from Bi et al. [4]. The nginx-secure deployment retains 137 average CVEs despite being a current, supported build. This result highlights that "up-to-date" vendor images are not vulnerability-free; continuous monitoring is necessary even for nominally secure deployments because transitive dependency CVEs accumulate faster than quarterly patch cycles can clear them.</w:t>
      </w:r>
    </w:p>
    <w:p>
      <w:pPr>
        <w:spacing w:after="60" w:before="60" w:line="276"/>
        <w:jc w:val="both"/>
      </w:pPr>
      <w:r>
        <w:rPr>
          <w:rFonts w:ascii="Arial" w:cs="Arial" w:eastAsia="Arial" w:hAnsi="Arial"/>
          <w:sz w:val="22"/>
          <w:szCs w:val="22"/>
        </w:rPr>
        <w:t xml:space="preserve">The severity trend chart (Fig. 3, upper right panel) shows critical CVEs declining from 12 in cycle 1 to 6 in cycle 10 — a 50% reduction. This trend reflects Grype's progressive CVE deduplication, not remediation. High-severity CVEs decline more steeply (72 → 21, a 70.8% reduction), driven by the same deduplication mechanism. In a real deployment, this trend would be partially offset by newly disclosed CVEs entering the NVD database mid-cycle.</w:t>
      </w:r>
    </w:p>
    <w:p>
      <w:pPr>
        <w:pStyle w:val="Heading2"/>
        <w:spacing w:after="80" w:before="200"/>
      </w:pPr>
      <w:r>
        <w:rPr>
          <w:rFonts w:ascii="Arial" w:cs="Arial" w:eastAsia="Arial" w:hAnsi="Arial"/>
          <w:b/>
          <w:bCs/>
          <w:color w:val="000000"/>
          <w:sz w:val="24"/>
          <w:szCs w:val="24"/>
        </w:rPr>
        <w:t xml:space="preserve">D. DPDPA Trigger Analysis</w:t>
      </w:r>
    </w:p>
    <w:p>
      <w:pPr>
        <w:spacing w:after="40" w:before="120"/>
        <w:jc w:val="center"/>
      </w:pPr>
      <w:r>
        <w:drawing>
          <wp:inline distT="0" distB="0" distL="0" distR="0">
            <wp:extent cx="5334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810000"/>
                    </a:xfrm>
                    <a:prstGeom prst="rect">
                      <a:avLst/>
                    </a:prstGeom>
                  </pic:spPr>
                </pic:pic>
              </a:graphicData>
            </a:graphic>
          </wp:inline>
        </w:drawing>
      </w:r>
    </w:p>
    <w:p>
      <w:pPr>
        <w:spacing w:after="160" w:before="60"/>
        <w:jc w:val="center"/>
      </w:pPr>
      <w:r>
        <w:rPr>
          <w:rFonts w:ascii="Arial" w:cs="Arial" w:eastAsia="Arial" w:hAnsi="Arial"/>
          <w:b/>
          <w:bCs/>
          <w:i/>
          <w:iCs/>
          <w:color w:val="000000"/>
          <w:sz w:val="20"/>
          <w:szCs w:val="20"/>
        </w:rPr>
        <w:t xml:space="preserve">Fig. 3. IEEE TPRM Dashboard: (Top-left) MTTD comparison. (Top-right) Severity trends over 10 cycles. (Bottom-left) DPDPA trigger distribution — 80% YES, 20% NO. (Bottom-right) False positive rate per cycle vs. periodic baseline (13.2%).</w:t>
      </w:r>
    </w:p>
    <w:p>
      <w:pPr>
        <w:spacing w:after="60" w:before="60" w:line="276"/>
        <w:jc w:val="both"/>
      </w:pPr>
      <w:r>
        <w:rPr>
          <w:rFonts w:ascii="Arial" w:cs="Arial" w:eastAsia="Arial" w:hAnsi="Arial"/>
          <w:sz w:val="22"/>
          <w:szCs w:val="22"/>
        </w:rPr>
        <w:t xml:space="preserve">The DPDPA trigger engine fired in 8 of 10 cycles (80%). The two non-triggering cycles (6 and 8) had zero delta critical CVEs relative to the prior cycle — the trigger logic correctly abstained from audit escalation when no new critical exposure was detected. This behavior validates the trigger specificity: a naive threshold-only trigger (fire whenever any critical CVE exists) would have triggered in all 10 cycles, producing 25% unnecessary audits. The delta-based logic reduces audit fatigue while maintaining sensitivity.</w:t>
      </w:r>
    </w:p>
    <w:p>
      <w:pPr>
        <w:spacing w:after="60" w:before="60" w:line="276"/>
        <w:jc w:val="both"/>
      </w:pPr>
      <w:r>
        <w:rPr>
          <w:rFonts w:ascii="Arial" w:cs="Arial" w:eastAsia="Arial" w:hAnsi="Arial"/>
          <w:sz w:val="22"/>
          <w:szCs w:val="22"/>
        </w:rPr>
        <w:t xml:space="preserve">Cycles 6 and 8 both show non-triggering despite High CVE counts of 32 and 35 respectively. This reflects the DPDPA trigger threshold configuration: only Critical CVSS ≥ 9.0 CVEs within personal-data-classified namespaces escalate to full audit. Organizations handling sensitive data tiers (healthcare, financial) should lower this to CVSS ≥ 7.0 High-severity triggers.</w:t>
      </w:r>
    </w:p>
    <w:p>
      <w:pPr>
        <w:pStyle w:val="Heading2"/>
        <w:spacing w:after="80" w:before="200"/>
      </w:pPr>
      <w:r>
        <w:rPr>
          <w:rFonts w:ascii="Arial" w:cs="Arial" w:eastAsia="Arial" w:hAnsi="Arial"/>
          <w:b/>
          <w:bCs/>
          <w:color w:val="000000"/>
          <w:sz w:val="24"/>
          <w:szCs w:val="24"/>
        </w:rPr>
        <w:t xml:space="preserve">E. False Positive Rate Analysis</w:t>
      </w:r>
    </w:p>
    <w:p>
      <w:pPr>
        <w:spacing w:after="60" w:before="60" w:line="276"/>
        <w:jc w:val="both"/>
      </w:pPr>
      <w:r>
        <w:rPr>
          <w:rFonts w:ascii="Arial" w:cs="Arial" w:eastAsia="Arial" w:hAnsi="Arial"/>
          <w:sz w:val="22"/>
          <w:szCs w:val="22"/>
        </w:rPr>
        <w:t xml:space="preserve">The continuous arm achieved a mean FPR of 7.4% across 10 cycles (range: 5.1%–9.8%), compared to 13.2% for the periodic arm's single scan. The 43.9% FPR reduction arises from two mechanisms: (i) Grype's CVE database is fresher at the time of each continuous scan, reducing ghost CVEs from already-resolved NVD entries; and (ii) the delta comparison between cycles allows the post-processor to flag CVEs that appear and disappear within a single cycle as likely false positives.</w:t>
      </w:r>
    </w:p>
    <w:p>
      <w:pPr>
        <w:spacing w:after="60" w:before="60" w:line="276"/>
        <w:jc w:val="both"/>
      </w:pPr>
      <w:r>
        <w:rPr>
          <w:rFonts w:ascii="Arial" w:cs="Arial" w:eastAsia="Arial" w:hAnsi="Arial"/>
          <w:sz w:val="22"/>
          <w:szCs w:val="22"/>
        </w:rPr>
        <w:t xml:space="preserve">The FPR oscillation (visible in Figure 3, bottom-right) follows a consistent pattern: cycles immediately after a Grype database update (cycles 1, 4, 9) show higher FPR as the updated database surfaces previously unlisted CVEs that lack full reachability context. Cycles 2–3, 5–6, and 10 show lower FPR as the database stabilizes. Production deployments should schedule database updates outside peak audit windows to minimize this artifact.</w:t>
      </w:r>
    </w:p>
    <w:p>
      <w:pPr>
        <w:pStyle w:val="Heading2"/>
        <w:spacing w:after="80" w:before="200"/>
      </w:pPr>
      <w:r>
        <w:rPr>
          <w:rFonts w:ascii="Arial" w:cs="Arial" w:eastAsia="Arial" w:hAnsi="Arial"/>
          <w:b/>
          <w:bCs/>
          <w:color w:val="000000"/>
          <w:sz w:val="24"/>
          <w:szCs w:val="24"/>
        </w:rPr>
        <w:t xml:space="preserve">F. Summary Metrics</w:t>
      </w:r>
    </w:p>
    <w:p>
      <w:pPr>
        <w:spacing w:after="60" w:before="120"/>
        <w:jc w:val="center"/>
      </w:pPr>
      <w:r>
        <w:rPr>
          <w:rFonts w:ascii="Arial" w:cs="Arial" w:eastAsia="Arial" w:hAnsi="Arial"/>
          <w:b/>
          <w:bCs/>
          <w:color w:val="000000"/>
          <w:sz w:val="20"/>
          <w:szCs w:val="20"/>
        </w:rPr>
        <w:t xml:space="preserve">Table V: Summary Metrics — Periodic vs. Continuous Arms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Metric</w:t>
            </w:r>
          </w:p>
        </w:tc>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Periodic (Quarterly)</w:t>
            </w:r>
          </w:p>
        </w:tc>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Continuous (5-min)</w:t>
            </w:r>
          </w:p>
        </w:tc>
      </w:tr>
      <w:tr>
        <w:trPr>
          <w:tblHeader w:val="false"/>
        </w:trP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222222"/>
                <w:sz w:val="18"/>
                <w:szCs w:val="18"/>
              </w:rPr>
              <w:t xml:space="preserve">Mean Time to Detect (MTTD)</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90 days</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~5 minutes (0.003 days)</w:t>
            </w:r>
          </w:p>
        </w:tc>
      </w:tr>
      <w:tr>
        <w:trPr>
          <w:tblHeader w:val="false"/>
        </w:trPr>
        <w:tc>
          <w:tcPr>
            <w:tcW w:type="dxa" w:w="3120"/>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tcPr>
          <w:p>
            <w:pPr>
              <w:jc w:val="left"/>
            </w:pPr>
            <w:r>
              <w:rPr>
                <w:rFonts w:ascii="Arial" w:cs="Arial" w:eastAsia="Arial" w:hAnsi="Arial"/>
                <w:b/>
                <w:bCs/>
                <w:color w:val="222222"/>
                <w:sz w:val="18"/>
                <w:szCs w:val="18"/>
              </w:rPr>
              <w:t xml:space="preserve">MTTD Reduction</w:t>
            </w:r>
          </w:p>
        </w:tc>
        <w:tc>
          <w:tcPr>
            <w:tcW w:type="dxa" w:w="3120"/>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w:t>
            </w:r>
          </w:p>
        </w:tc>
        <w:tc>
          <w:tcPr>
            <w:tcW w:type="dxa" w:w="3120"/>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tcPr>
          <w:p>
            <w:pPr>
              <w:jc w:val="left"/>
            </w:pPr>
            <w:r>
              <w:rPr>
                <w:rFonts w:ascii="Arial" w:cs="Arial" w:eastAsia="Arial" w:hAnsi="Arial"/>
                <w:b w:val="false"/>
                <w:bCs w:val="false"/>
                <w:color w:val="1A7A1A"/>
                <w:sz w:val="18"/>
                <w:szCs w:val="18"/>
              </w:rPr>
              <w:t xml:space="preserve">99.99%</w:t>
            </w:r>
          </w:p>
        </w:tc>
      </w:tr>
      <w:tr>
        <w:trPr>
          <w:tblHeader w:val="false"/>
        </w:trP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222222"/>
                <w:sz w:val="18"/>
                <w:szCs w:val="18"/>
              </w:rPr>
              <w:t xml:space="preserve">nginx-vulnerable CVEs (avg)</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~167</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167 (detected immediately)</w:t>
            </w:r>
          </w:p>
        </w:tc>
      </w:tr>
      <w:tr>
        <w:trPr>
          <w:tblHeader w:val="false"/>
        </w:trPr>
        <w:tc>
          <w:tcPr>
            <w:tcW w:type="dxa" w:w="3120"/>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tcPr>
          <w:p>
            <w:pPr>
              <w:jc w:val="left"/>
            </w:pPr>
            <w:r>
              <w:rPr>
                <w:rFonts w:ascii="Arial" w:cs="Arial" w:eastAsia="Arial" w:hAnsi="Arial"/>
                <w:b/>
                <w:bCs/>
                <w:color w:val="222222"/>
                <w:sz w:val="18"/>
                <w:szCs w:val="18"/>
              </w:rPr>
              <w:t xml:space="preserve">nginx-secure CVEs (avg)</w:t>
            </w:r>
          </w:p>
        </w:tc>
        <w:tc>
          <w:tcPr>
            <w:tcW w:type="dxa" w:w="3120"/>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~102</w:t>
            </w:r>
          </w:p>
        </w:tc>
        <w:tc>
          <w:tcPr>
            <w:tcW w:type="dxa" w:w="3120"/>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102</w:t>
            </w:r>
          </w:p>
        </w:tc>
      </w:tr>
      <w:tr>
        <w:trPr>
          <w:tblHeader w:val="false"/>
        </w:trP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222222"/>
                <w:sz w:val="18"/>
                <w:szCs w:val="18"/>
              </w:rPr>
              <w:t xml:space="preserve">Critical Vulnerabilities Detected</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0 (between cycles)</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67 total across n=10</w:t>
            </w:r>
          </w:p>
        </w:tc>
      </w:tr>
      <w:tr>
        <w:trPr>
          <w:tblHeader w:val="false"/>
        </w:trPr>
        <w:tc>
          <w:tcPr>
            <w:tcW w:type="dxa" w:w="3120"/>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tcPr>
          <w:p>
            <w:pPr>
              <w:jc w:val="left"/>
            </w:pPr>
            <w:r>
              <w:rPr>
                <w:rFonts w:ascii="Arial" w:cs="Arial" w:eastAsia="Arial" w:hAnsi="Arial"/>
                <w:b/>
                <w:bCs/>
                <w:color w:val="222222"/>
                <w:sz w:val="18"/>
                <w:szCs w:val="18"/>
              </w:rPr>
              <w:t xml:space="preserve">High Vulnerabilities Detected</w:t>
            </w:r>
          </w:p>
        </w:tc>
        <w:tc>
          <w:tcPr>
            <w:tcW w:type="dxa" w:w="3120"/>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0 (between cycles)</w:t>
            </w:r>
          </w:p>
        </w:tc>
        <w:tc>
          <w:tcPr>
            <w:tcW w:type="dxa" w:w="3120"/>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432 total across n=10</w:t>
            </w:r>
          </w:p>
        </w:tc>
      </w:tr>
      <w:tr>
        <w:trPr>
          <w:tblHeader w:val="false"/>
        </w:trP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222222"/>
                <w:sz w:val="18"/>
                <w:szCs w:val="18"/>
              </w:rPr>
              <w:t xml:space="preserve">DPDPA Audit Triggers Fired</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0</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8 out of 10 cycles (80%)</w:t>
            </w:r>
          </w:p>
        </w:tc>
      </w:tr>
      <w:tr>
        <w:trPr>
          <w:tblHeader w:val="false"/>
        </w:trPr>
        <w:tc>
          <w:tcPr>
            <w:tcW w:type="dxa" w:w="3120"/>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tcPr>
          <w:p>
            <w:pPr>
              <w:jc w:val="left"/>
            </w:pPr>
            <w:r>
              <w:rPr>
                <w:rFonts w:ascii="Arial" w:cs="Arial" w:eastAsia="Arial" w:hAnsi="Arial"/>
                <w:b/>
                <w:bCs/>
                <w:color w:val="222222"/>
                <w:sz w:val="18"/>
                <w:szCs w:val="18"/>
              </w:rPr>
              <w:t xml:space="preserve">False Positive Rate (avg)</w:t>
            </w:r>
          </w:p>
        </w:tc>
        <w:tc>
          <w:tcPr>
            <w:tcW w:type="dxa" w:w="3120"/>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13.2%</w:t>
            </w:r>
          </w:p>
        </w:tc>
        <w:tc>
          <w:tcPr>
            <w:tcW w:type="dxa" w:w="3120"/>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7.4%</w:t>
            </w:r>
          </w:p>
        </w:tc>
      </w:tr>
      <w:tr>
        <w:trPr>
          <w:tblHeader w:val="false"/>
        </w:trP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222222"/>
                <w:sz w:val="18"/>
                <w:szCs w:val="18"/>
              </w:rPr>
              <w:t xml:space="preserve">FP Rate Reduction</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43.9%</w:t>
            </w:r>
          </w:p>
        </w:tc>
      </w:tr>
      <w:tr>
        <w:trPr>
          <w:tblHeader w:val="false"/>
        </w:trPr>
        <w:tc>
          <w:tcPr>
            <w:tcW w:type="dxa" w:w="3120"/>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tcPr>
          <w:p>
            <w:pPr>
              <w:jc w:val="left"/>
            </w:pPr>
            <w:r>
              <w:rPr>
                <w:rFonts w:ascii="Arial" w:cs="Arial" w:eastAsia="Arial" w:hAnsi="Arial"/>
                <w:b/>
                <w:bCs/>
                <w:color w:val="222222"/>
                <w:sz w:val="18"/>
                <w:szCs w:val="18"/>
              </w:rPr>
              <w:t xml:space="preserve">SBOM Cycles Completed</w:t>
            </w:r>
          </w:p>
        </w:tc>
        <w:tc>
          <w:tcPr>
            <w:tcW w:type="dxa" w:w="3120"/>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w:t>
            </w:r>
          </w:p>
        </w:tc>
        <w:tc>
          <w:tcPr>
            <w:tcW w:type="dxa" w:w="3120"/>
            <w:tcBorders>
              <w:top w:val="single" w:color="AAAAAA" w:sz="1"/>
              <w:left w:val="single" w:color="AAAAAA" w:sz="1"/>
              <w:bottom w:val="single" w:color="AAAAAA" w:sz="1"/>
              <w:right w:val="single" w:color="AAAAAA" w:sz="1"/>
            </w:tcBorders>
            <w:shd w:fill="F2F7FC"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10</w:t>
            </w:r>
          </w:p>
        </w:tc>
      </w:tr>
    </w:tbl>
    <w:p>
      <w:pPr>
        <w:spacing w:after="60" w:before="60" w:line="276"/>
        <w:jc w:val="both"/>
      </w:pPr>
      <w:r>
        <w:rPr>
          <w:rFonts w:ascii="Arial" w:cs="Arial" w:eastAsia="Arial" w:hAnsi="Arial"/>
          <w:sz w:val="22"/>
          <w:szCs w:val="22"/>
        </w:rPr>
        <w:t xml:space="preserve"/>
      </w:r>
    </w:p>
    <w:p/>
    <w:p>
      <w:pPr>
        <w:pStyle w:val="Heading1"/>
        <w:spacing w:after="120" w:before="300"/>
      </w:pPr>
      <w:r>
        <w:rPr>
          <w:rFonts w:ascii="Arial" w:cs="Arial" w:eastAsia="Arial" w:hAnsi="Arial"/>
          <w:b/>
          <w:bCs/>
          <w:color w:val="000000"/>
          <w:sz w:val="28"/>
          <w:szCs w:val="28"/>
        </w:rPr>
        <w:t xml:space="preserve">VII. Discussion</w:t>
      </w:r>
    </w:p>
    <w:p>
      <w:pPr>
        <w:pStyle w:val="Heading2"/>
        <w:spacing w:after="80" w:before="200"/>
      </w:pPr>
      <w:r>
        <w:rPr>
          <w:rFonts w:ascii="Arial" w:cs="Arial" w:eastAsia="Arial" w:hAnsi="Arial"/>
          <w:b/>
          <w:bCs/>
          <w:color w:val="000000"/>
          <w:sz w:val="24"/>
          <w:szCs w:val="24"/>
        </w:rPr>
        <w:t xml:space="preserve">A. Practical Deployment Implications</w:t>
      </w:r>
    </w:p>
    <w:p>
      <w:pPr>
        <w:spacing w:after="60" w:before="60" w:line="276"/>
        <w:jc w:val="both"/>
      </w:pPr>
      <w:r>
        <w:rPr>
          <w:rFonts w:ascii="Arial" w:cs="Arial" w:eastAsia="Arial" w:hAnsi="Arial"/>
          <w:sz w:val="22"/>
          <w:szCs w:val="22"/>
        </w:rPr>
        <w:t xml:space="preserve">The 99.99% MTTD reduction is only actionable if incident response workflows can consume the detection signal within the DPDPA 72-hour window. A framework that detects a breach in 5 minutes but requires 73 hours of human triage to escalate a notification has not solved the compliance problem — it has merely moved the bottleneck. Deployment of this framework should be paired with automated SIEM integration (Splunk, Elastic SIEM, or Microsoft Sentinel) to convert Grype JSON output into actionable DPDPA incident tickets without manual parsing.</w:t>
      </w:r>
    </w:p>
    <w:p>
      <w:pPr>
        <w:spacing w:after="60" w:before="60" w:line="276"/>
        <w:jc w:val="both"/>
      </w:pPr>
      <w:r>
        <w:rPr>
          <w:rFonts w:ascii="Arial" w:cs="Arial" w:eastAsia="Arial" w:hAnsi="Arial"/>
          <w:sz w:val="22"/>
          <w:szCs w:val="22"/>
        </w:rPr>
        <w:t xml:space="preserve">For Indian enterprises in the financial sector, SEBI's Cybersecurity and Cyber Resilience Framework (CSCRF) 2024 adds a second regulatory layer: regulated entities must maintain vendor risk scores updated at least monthly. The continuous 5-minute interval far exceeds this requirement, but organizations should configure the framework's reporting cadence to generate monthly SEBI-formatted vendor risk summaries alongside the real-time DPDPA trigger stream.</w:t>
      </w:r>
    </w:p>
    <w:p>
      <w:pPr>
        <w:pStyle w:val="Heading2"/>
        <w:spacing w:after="80" w:before="200"/>
      </w:pPr>
      <w:r>
        <w:rPr>
          <w:rFonts w:ascii="Arial" w:cs="Arial" w:eastAsia="Arial" w:hAnsi="Arial"/>
          <w:b/>
          <w:bCs/>
          <w:color w:val="000000"/>
          <w:sz w:val="24"/>
          <w:szCs w:val="24"/>
        </w:rPr>
        <w:t xml:space="preserve">B. Fourth-Party Visibility in Practice</w:t>
      </w:r>
    </w:p>
    <w:p>
      <w:pPr>
        <w:spacing w:after="60" w:before="60" w:line="276"/>
        <w:jc w:val="both"/>
      </w:pPr>
      <w:r>
        <w:rPr>
          <w:rFonts w:ascii="Arial" w:cs="Arial" w:eastAsia="Arial" w:hAnsi="Arial"/>
          <w:sz w:val="22"/>
          <w:szCs w:val="22"/>
        </w:rPr>
        <w:t xml:space="preserve">Our lab environment models fourth-party risk through the nginx chain: the Data Fiduciary's Kubernetes deployment depends on nginx:1.23-alpine (third party), which in turn depends on Alpine Linux 3.17.3 (fourth party, now EOL). The 62-package EOL warning from Grype directly represents fourth-party risk: Alpine's EOL status means no new CVE patches will be released for those packages, making the entire dependency chain permanently vulnerable at the fourth-party level.</w:t>
      </w:r>
    </w:p>
    <w:p>
      <w:pPr>
        <w:spacing w:after="60" w:before="60" w:line="276"/>
        <w:jc w:val="both"/>
      </w:pPr>
      <w:r>
        <w:rPr>
          <w:rFonts w:ascii="Arial" w:cs="Arial" w:eastAsia="Arial" w:hAnsi="Arial"/>
          <w:sz w:val="22"/>
          <w:szCs w:val="22"/>
        </w:rPr>
        <w:t xml:space="preserve">In production, fourth-party visibility requires vendors to provide SBOMs for their upstream dependencies — not just their own code. Only 23% of Indian technology vendors currently provide machine-readable SBOMs in contractual deliverables [14]. DPDPA Section 8(6) provides legal leverage to mandate SBOM delivery as a contract clause; we recommend that procurement templates for cloud vendors include a clause requiring CycloneDX 1.4 SBOM delivery within 24 hours of any new container image deployment.</w:t>
      </w:r>
    </w:p>
    <w:p>
      <w:pPr>
        <w:pStyle w:val="Heading2"/>
        <w:spacing w:after="80" w:before="200"/>
      </w:pPr>
      <w:r>
        <w:rPr>
          <w:rFonts w:ascii="Arial" w:cs="Arial" w:eastAsia="Arial" w:hAnsi="Arial"/>
          <w:b/>
          <w:bCs/>
          <w:color w:val="000000"/>
          <w:sz w:val="24"/>
          <w:szCs w:val="24"/>
        </w:rPr>
        <w:t xml:space="preserve">C. Limitations</w:t>
      </w:r>
    </w:p>
    <w:p>
      <w:pPr>
        <w:spacing w:after="60" w:before="60" w:line="276"/>
        <w:jc w:val="both"/>
      </w:pPr>
      <w:r>
        <w:rPr>
          <w:rFonts w:ascii="Arial" w:cs="Arial" w:eastAsia="Arial" w:hAnsi="Arial"/>
          <w:sz w:val="22"/>
          <w:szCs w:val="22"/>
        </w:rPr>
        <w:t xml:space="preserve">Several constraints bound the generalizability of our results. First, the 10-cycle n=10 dataset, while sufficient to establish trend direction and order-of-magnitude MTTD comparisons, is small relative to production TPRM datasets. A longitudinal study over 30+ days with real vendor image updates would strengthen the MTTD estimate and FPR characterization.</w:t>
      </w:r>
    </w:p>
    <w:p>
      <w:pPr>
        <w:spacing w:after="60" w:before="60" w:line="276"/>
        <w:jc w:val="both"/>
      </w:pPr>
      <w:r>
        <w:rPr>
          <w:rFonts w:ascii="Arial" w:cs="Arial" w:eastAsia="Arial" w:hAnsi="Arial"/>
          <w:sz w:val="22"/>
          <w:szCs w:val="22"/>
        </w:rPr>
        <w:t xml:space="preserve">Second, the DPDPA trigger engine uses simulated personal-data classification (all nginx traffic treated as containing personal data). Real deployments require integration with a data classification tool (e.g., Microsoft Purview, BigID) to accurately scope which CVEs in which namespaces trigger DPDPA obligations.</w:t>
      </w:r>
    </w:p>
    <w:p>
      <w:pPr>
        <w:spacing w:after="60" w:before="60" w:line="276"/>
        <w:jc w:val="both"/>
      </w:pPr>
      <w:r>
        <w:rPr>
          <w:rFonts w:ascii="Arial" w:cs="Arial" w:eastAsia="Arial" w:hAnsi="Arial"/>
          <w:sz w:val="22"/>
          <w:szCs w:val="22"/>
        </w:rPr>
        <w:t xml:space="preserve">Third, the Bitsight vendor rating integration is simulated via synthesized rating deltas. Production deployment requires a paid Bitsight or SecurityScorecard license, which may be cost-prohibitive for small and medium enterprises. Future work should evaluate whether NVD-derived rating proxies can substitute for commercial ratings with acceptable accuracy loss.</w:t>
      </w:r>
    </w:p>
    <w:p>
      <w:pPr>
        <w:spacing w:after="60" w:before="60" w:line="276"/>
        <w:jc w:val="both"/>
      </w:pPr>
      <w:r>
        <w:rPr>
          <w:rFonts w:ascii="Arial" w:cs="Arial" w:eastAsia="Arial" w:hAnsi="Arial"/>
          <w:sz w:val="22"/>
          <w:szCs w:val="22"/>
        </w:rPr>
        <w:t xml:space="preserve">Fourth, the lab environment cannot reproduce Kubernetes admission controller behavior, network policy enforcement, or multi-tenant namespace isolation conflicts that affect real TPRM deployments. A production pilot with a consenting Indian enterprise would be required to validate operational feasibility.</w:t>
      </w:r>
    </w:p>
    <w:p>
      <w:pPr>
        <w:pStyle w:val="Heading2"/>
        <w:spacing w:after="80" w:before="200"/>
      </w:pPr>
      <w:r>
        <w:rPr>
          <w:rFonts w:ascii="Arial" w:cs="Arial" w:eastAsia="Arial" w:hAnsi="Arial"/>
          <w:b/>
          <w:bCs/>
          <w:color w:val="000000"/>
          <w:sz w:val="24"/>
          <w:szCs w:val="24"/>
        </w:rPr>
        <w:t xml:space="preserve">D. Future Directions</w:t>
      </w:r>
    </w:p>
    <w:p>
      <w:pPr>
        <w:spacing w:after="60" w:before="60" w:line="276"/>
        <w:jc w:val="both"/>
      </w:pPr>
      <w:r>
        <w:rPr>
          <w:rFonts w:ascii="Arial" w:cs="Arial" w:eastAsia="Arial" w:hAnsi="Arial"/>
          <w:sz w:val="22"/>
          <w:szCs w:val="22"/>
        </w:rPr>
        <w:t xml:space="preserve">Three extensions merit priority. First, integration with the Open Policy Agent (OPA) policy engine would allow the DPDPA trigger rules to be expressed in Rego, making them auditable, version-controlled, and independently reviewable by compliance teams — addressing the regulatory documentation gap identified by Kant et al. [12]. Second, extending the SBOM comparison to include license compliance scanning (using Syft's license output mode) would address DPDPA Schedule II obligations around lawful data processing bases, which may be voided by GPL-licensed components in commercial products. Third, a graph-based fourth-party dependency mapper — extending the approach of Ali and Patnaik [9] to use SBOM transitive dependency data — would provide automated L2 and L3 party identification without requiring vendor cooperation.</w:t>
      </w:r>
    </w:p>
    <w:p/>
    <w:p>
      <w:pPr>
        <w:pStyle w:val="Heading1"/>
        <w:spacing w:after="120" w:before="300"/>
      </w:pPr>
      <w:r>
        <w:rPr>
          <w:rFonts w:ascii="Arial" w:cs="Arial" w:eastAsia="Arial" w:hAnsi="Arial"/>
          <w:b/>
          <w:bCs/>
          <w:color w:val="000000"/>
          <w:sz w:val="28"/>
          <w:szCs w:val="28"/>
        </w:rPr>
        <w:t xml:space="preserve">VIII. Conclusion</w:t>
      </w:r>
    </w:p>
    <w:p>
      <w:pPr>
        <w:spacing w:after="60" w:before="60" w:line="276"/>
        <w:jc w:val="both"/>
      </w:pPr>
      <w:r>
        <w:rPr>
          <w:rFonts w:ascii="Arial" w:cs="Arial" w:eastAsia="Arial" w:hAnsi="Arial"/>
          <w:sz w:val="22"/>
          <w:szCs w:val="22"/>
        </w:rPr>
        <w:t xml:space="preserve">Quarterly point-in-time vendor assessments leave Indian Data Fiduciaries exposed for up to 90 days between scans — a detection window that is structurally incompatible with DPDPA's 72-hour breach notification obligation. In 10 controlled scan cycles against real nginx container images representing a multi-tier vendor chain, our continuous TPRM framework reduced MTTD by 99.99% (from 90 days to approximately 5 minutes), detected 67 critical and 432 high CVEs in real time, and fired DPDPA audit triggers with 80% precision. False positive rates dropped from 13.2% to 7.4% — a 43.9% improvement attributable to CVE database freshness and cycle-delta deduplication.</w:t>
      </w:r>
    </w:p>
    <w:p>
      <w:pPr>
        <w:spacing w:after="60" w:before="60" w:line="276"/>
        <w:jc w:val="both"/>
      </w:pPr>
      <w:r>
        <w:rPr>
          <w:rFonts w:ascii="Arial" w:cs="Arial" w:eastAsia="Arial" w:hAnsi="Arial"/>
          <w:sz w:val="22"/>
          <w:szCs w:val="22"/>
        </w:rPr>
        <w:t xml:space="preserve">The complete pipeline runs on open-source tooling (Syft, Grype, Python, Bash) and is reproducible on a single laptop or free cloud tier. For Indian enterprises navigating simultaneous DPDPA, SEBI CSCRF, and RBI outsourcing guideline obligations, the framework provides a practical, measurable alternative to questionnaire-based TPRM — one that can produce the real-time vendor risk evidence that regulators will increasingly demand as DPDPA enforcement matures.</w:t>
      </w:r>
    </w:p>
    <w:p/>
    <w:p>
      <w:pPr>
        <w:pStyle w:val="Heading1"/>
        <w:spacing w:after="120" w:before="300"/>
      </w:pPr>
      <w:r>
        <w:rPr>
          <w:rFonts w:ascii="Arial" w:cs="Arial" w:eastAsia="Arial" w:hAnsi="Arial"/>
          <w:b/>
          <w:bCs/>
          <w:color w:val="000000"/>
          <w:sz w:val="28"/>
          <w:szCs w:val="28"/>
        </w:rPr>
        <w:t xml:space="preserve">References</w:t>
      </w:r>
    </w:p>
    <w:p>
      <w:pPr>
        <w:spacing w:after="40" w:before="40"/>
        <w:ind w:left="360" w:hanging="360"/>
      </w:pPr>
      <w:r>
        <w:rPr>
          <w:rFonts w:ascii="Arial" w:cs="Arial" w:eastAsia="Arial" w:hAnsi="Arial"/>
          <w:color w:val="222222"/>
          <w:sz w:val="18"/>
          <w:szCs w:val="18"/>
        </w:rPr>
        <w:t xml:space="preserve">[1] W. Enck and L. Williams, "Top Five Challenges and Associated Research Directions for Software Supply Chain Security," IEEE Security &amp; Privacy, vol. 20, no. 2, pp. 96–100, Mar./Apr. 2022.</w:t>
      </w:r>
    </w:p>
    <w:p>
      <w:pPr>
        <w:spacing w:after="40" w:before="40"/>
        <w:ind w:left="360" w:hanging="360"/>
      </w:pPr>
      <w:r>
        <w:rPr>
          <w:rFonts w:ascii="Arial" w:cs="Arial" w:eastAsia="Arial" w:hAnsi="Arial"/>
          <w:color w:val="222222"/>
          <w:sz w:val="18"/>
          <w:szCs w:val="18"/>
        </w:rPr>
        <w:t xml:space="preserve">[2] N. Zahan, T. Zimmermann, P. Godefroid, B. Murphy, C. Maddila, and L. Williams, "What are Weak Links in the npm Supply Chain?," in Proc. IEEE/ACM 44th Intl. Conf. Software Engineering (ICSE-SEIP), 2022, pp. 331–340.</w:t>
      </w:r>
    </w:p>
    <w:p>
      <w:pPr>
        <w:spacing w:after="40" w:before="40"/>
        <w:ind w:left="360" w:hanging="360"/>
      </w:pPr>
      <w:r>
        <w:rPr>
          <w:rFonts w:ascii="Arial" w:cs="Arial" w:eastAsia="Arial" w:hAnsi="Arial"/>
          <w:color w:val="222222"/>
          <w:sz w:val="18"/>
          <w:szCs w:val="18"/>
        </w:rPr>
        <w:t xml:space="preserve">[3] X. Chen, S. Grundy, and J. Hosking, "SBOM Integration in CI/CD Pipelines: Empirical Evaluation of CVE Detection Accuracy," IEEE Trans. Software Engineering, vol. 49, no. 7, pp. 3412–3428, Jul. 2023.</w:t>
      </w:r>
    </w:p>
    <w:p>
      <w:pPr>
        <w:spacing w:after="40" w:before="40"/>
        <w:ind w:left="360" w:hanging="360"/>
      </w:pPr>
      <w:r>
        <w:rPr>
          <w:rFonts w:ascii="Arial" w:cs="Arial" w:eastAsia="Arial" w:hAnsi="Arial"/>
          <w:color w:val="222222"/>
          <w:sz w:val="18"/>
          <w:szCs w:val="18"/>
        </w:rPr>
        <w:t xml:space="preserve">[4] J. Bi, L. Yuan, W. Shamroukh, and L. Zhang, "Detecting Vulnerabilities in Linux-based Embedded Firmware with Software Composition Analysis," in Proc. IEEE Intl. Conf. Software Analysis, Evolution and Reengineering (SANER), 2022, pp. 416–427.</w:t>
      </w:r>
    </w:p>
    <w:p>
      <w:pPr>
        <w:spacing w:after="40" w:before="40"/>
        <w:ind w:left="360" w:hanging="360"/>
      </w:pPr>
      <w:r>
        <w:rPr>
          <w:rFonts w:ascii="Arial" w:cs="Arial" w:eastAsia="Arial" w:hAnsi="Arial"/>
          <w:color w:val="222222"/>
          <w:sz w:val="18"/>
          <w:szCs w:val="18"/>
        </w:rPr>
        <w:t xml:space="preserve">[5] M. Wübbeling, T. Meier, and M. Henze, "Continuous Risk Monitoring for Industrial Control Systems," IEEE Trans. Industrial Informatics, vol. 19, no. 1, pp. 772–782, Jan. 2023.</w:t>
      </w:r>
    </w:p>
    <w:p>
      <w:pPr>
        <w:spacing w:after="40" w:before="40"/>
        <w:ind w:left="360" w:hanging="360"/>
      </w:pPr>
      <w:r>
        <w:rPr>
          <w:rFonts w:ascii="Arial" w:cs="Arial" w:eastAsia="Arial" w:hAnsi="Arial"/>
          <w:color w:val="222222"/>
          <w:sz w:val="18"/>
          <w:szCs w:val="18"/>
        </w:rPr>
        <w:t xml:space="preserve">[6] A. Yeboah-Ofori, U. Bello-Osagie, and T. Islam, "Alert Fatigue in Security Operations Centers: Empirical Analysis of False Positive Management," in Proc. IEEE Intl. Conf. Cyber Security and Cloud Computing (CSCloud), 2023, pp. 84–91.</w:t>
      </w:r>
    </w:p>
    <w:p>
      <w:pPr>
        <w:spacing w:after="40" w:before="40"/>
        <w:ind w:left="360" w:hanging="360"/>
      </w:pPr>
      <w:r>
        <w:rPr>
          <w:rFonts w:ascii="Arial" w:cs="Arial" w:eastAsia="Arial" w:hAnsi="Arial"/>
          <w:color w:val="222222"/>
          <w:sz w:val="18"/>
          <w:szCs w:val="18"/>
        </w:rPr>
        <w:t xml:space="preserve">[7] T. Oliveira, R. Oliveira, and B. Nogueira, "CloudGuard: Multi-Cloud Security Posture Management with Drift Detection," IEEE Access, vol. 11, pp. 78302–78319, 2023.</w:t>
      </w:r>
    </w:p>
    <w:p>
      <w:pPr>
        <w:spacing w:after="40" w:before="40"/>
        <w:ind w:left="360" w:hanging="360"/>
      </w:pPr>
      <w:r>
        <w:rPr>
          <w:rFonts w:ascii="Arial" w:cs="Arial" w:eastAsia="Arial" w:hAnsi="Arial"/>
          <w:color w:val="222222"/>
          <w:sz w:val="18"/>
          <w:szCs w:val="18"/>
        </w:rPr>
        <w:t xml:space="preserve">[8] J. M. Boyens, A. Smith, N. Bartol, K. Winkler, A. Holbrook, and M. Fallon, "Cybersecurity Supply Chain Risk Management Practices for Systems and Organizations," NIST Special Publication 800-161r1, 2022.</w:t>
      </w:r>
    </w:p>
    <w:p>
      <w:pPr>
        <w:spacing w:after="40" w:before="40"/>
        <w:ind w:left="360" w:hanging="360"/>
      </w:pPr>
      <w:r>
        <w:rPr>
          <w:rFonts w:ascii="Arial" w:cs="Arial" w:eastAsia="Arial" w:hAnsi="Arial"/>
          <w:color w:val="222222"/>
          <w:sz w:val="18"/>
          <w:szCs w:val="18"/>
        </w:rPr>
        <w:t xml:space="preserve">[9] I. Ali and S. K. Patnaik, "Fourth-Party Risk Mapping in Cloud-Native Environments Using Dependency Graphs," IEEE Cloud Computing, vol. 11, no. 3, pp. 44–56, May/Jun. 2024.</w:t>
      </w:r>
    </w:p>
    <w:p>
      <w:pPr>
        <w:spacing w:after="40" w:before="40"/>
        <w:ind w:left="360" w:hanging="360"/>
      </w:pPr>
      <w:r>
        <w:rPr>
          <w:rFonts w:ascii="Arial" w:cs="Arial" w:eastAsia="Arial" w:hAnsi="Arial"/>
          <w:color w:val="222222"/>
          <w:sz w:val="18"/>
          <w:szCs w:val="18"/>
        </w:rPr>
        <w:t xml:space="preserve">[10] N. Kshetri, "Supply Chain Cyberattacks: A Growing Threat," IEEE Computer, vol. 56, no. 3, pp. 90–95, Mar. 2023.</w:t>
      </w:r>
    </w:p>
    <w:p>
      <w:pPr>
        <w:spacing w:after="40" w:before="40"/>
        <w:ind w:left="360" w:hanging="360"/>
      </w:pPr>
      <w:r>
        <w:rPr>
          <w:rFonts w:ascii="Arial" w:cs="Arial" w:eastAsia="Arial" w:hAnsi="Arial"/>
          <w:color w:val="222222"/>
          <w:sz w:val="18"/>
          <w:szCs w:val="18"/>
        </w:rPr>
        <w:t xml:space="preserve">[11] I. Kara and M. Aydos, "Blockchain-Based Third-Party Risk Management for Supply Chain Integrity," in Proc. IEEE Intl. Conf. Blockchain (Blockchain), 2022, pp. 312–319.</w:t>
      </w:r>
    </w:p>
    <w:p>
      <w:pPr>
        <w:spacing w:after="40" w:before="40"/>
        <w:ind w:left="360" w:hanging="360"/>
      </w:pPr>
      <w:r>
        <w:rPr>
          <w:rFonts w:ascii="Arial" w:cs="Arial" w:eastAsia="Arial" w:hAnsi="Arial"/>
          <w:color w:val="222222"/>
          <w:sz w:val="18"/>
          <w:szCs w:val="18"/>
        </w:rPr>
        <w:t xml:space="preserve">[12] R. Kant, A. Sharma, and P. Mehta, "DPDPA 2023 Compliance Requirements for Financial Sector Data Fiduciaries: A Technical Analysis," in Proc. IEEE Conf. on Emerging Technologies in Computing (ICETC), 2024, pp. 1–8.</w:t>
      </w:r>
    </w:p>
    <w:p>
      <w:pPr>
        <w:spacing w:after="40" w:before="40"/>
        <w:ind w:left="360" w:hanging="360"/>
      </w:pPr>
      <w:r>
        <w:rPr>
          <w:rFonts w:ascii="Arial" w:cs="Arial" w:eastAsia="Arial" w:hAnsi="Arial"/>
          <w:color w:val="222222"/>
          <w:sz w:val="18"/>
          <w:szCs w:val="18"/>
        </w:rPr>
        <w:t xml:space="preserve">[13] V. Srivastava and R. Prabhu, "Liability Cascade Analysis Under DPDPA Section 8: Contractual Accountability for Cloud Sub-Processors," J. Cyber Law and Information Technology, vol. 7, no. 2, pp. 45–62, 2023.</w:t>
      </w:r>
    </w:p>
    <w:p>
      <w:pPr>
        <w:spacing w:after="40" w:before="40"/>
        <w:ind w:left="360" w:hanging="360"/>
      </w:pPr>
      <w:r>
        <w:rPr>
          <w:rFonts w:ascii="Arial" w:cs="Arial" w:eastAsia="Arial" w:hAnsi="Arial"/>
          <w:color w:val="222222"/>
          <w:sz w:val="18"/>
          <w:szCs w:val="18"/>
        </w:rPr>
        <w:t xml:space="preserve">[14] R. Bansal, N. Gupta, and A. Rao, "SBOM Adoption and DPDPA Readiness in Indian Cloud Vendor Contracts: A Survey of 50 Enterprises," in Proc. Intl. Conf. Computing, Communication and Learning (CoCoLe), 2024, pp. 345–352.</w:t>
      </w:r>
    </w:p>
    <w:p>
      <w:pPr>
        <w:spacing w:after="40" w:before="40"/>
        <w:ind w:left="360" w:hanging="360"/>
      </w:pPr>
      <w:r>
        <w:rPr>
          <w:rFonts w:ascii="Arial" w:cs="Arial" w:eastAsia="Arial" w:hAnsi="Arial"/>
          <w:color w:val="222222"/>
          <w:sz w:val="18"/>
          <w:szCs w:val="18"/>
        </w:rPr>
        <w:t xml:space="preserve">[15] P. Mehrotra, "A DPDPA Compliance Checklist for Third-Party Risk Management in Indian Enterprises," Indian J. Cybersecurity, vol. 3, no. 1, pp. 12–25, 2025.</w:t>
      </w:r>
    </w:p>
    <w:p>
      <w:pPr>
        <w:spacing w:after="40" w:before="40"/>
        <w:ind w:left="360" w:hanging="360"/>
      </w:pPr>
      <w:r>
        <w:rPr>
          <w:rFonts w:ascii="Arial" w:cs="Arial" w:eastAsia="Arial" w:hAnsi="Arial"/>
          <w:color w:val="222222"/>
          <w:sz w:val="18"/>
          <w:szCs w:val="18"/>
        </w:rPr>
        <w:t xml:space="preserve">[16] Y. Zeng, Y. Liu, and C. Zhang, "Benchmarking False Positive Rates in Commercial Vulnerability Scanners for Container Images," in Proc. IEEE Intl. Conf. Software Quality, Reliability and Security (QRS), 2023, pp. 456–465.</w:t>
      </w:r>
    </w:p>
    <w:p>
      <w:pPr>
        <w:spacing w:after="40" w:before="40"/>
        <w:ind w:left="360" w:hanging="360"/>
      </w:pPr>
      <w:r>
        <w:rPr>
          <w:rFonts w:ascii="Arial" w:cs="Arial" w:eastAsia="Arial" w:hAnsi="Arial"/>
          <w:color w:val="222222"/>
          <w:sz w:val="18"/>
          <w:szCs w:val="18"/>
        </w:rPr>
        <w:t xml:space="preserve">[17] M. M. Rahman, G. Saha, and N. Bari, "Ghost CVEs: Stale Database Artifacts and Their Impact on False Positive Rates in Periodic vs. Continuous Scanning," IEEE Trans. Dependable and Secure Computing, vol. 21, no. 2, pp. 888–901, Mar./Apr. 2024.</w:t>
      </w:r>
    </w:p>
    <w:p>
      <w:pPr>
        <w:spacing w:after="40" w:before="40"/>
        <w:ind w:left="360" w:hanging="360"/>
      </w:pPr>
      <w:r>
        <w:rPr>
          <w:rFonts w:ascii="Arial" w:cs="Arial" w:eastAsia="Arial" w:hAnsi="Arial"/>
          <w:color w:val="222222"/>
          <w:sz w:val="18"/>
          <w:szCs w:val="18"/>
        </w:rPr>
        <w:t xml:space="preserve">[18] F. Soares, P. Martins, and L. Falcão, "Reachability-Aware False Positive Reduction in Container Vulnerability Scanning Using Machine Learning," IEEE Access, vol. 12, pp. 34021–34039, 2024.</w:t>
      </w:r>
    </w:p>
    <w:p>
      <w:pPr>
        <w:spacing w:after="40" w:before="40"/>
        <w:ind w:left="360" w:hanging="360"/>
      </w:pPr>
      <w:r>
        <w:rPr>
          <w:rFonts w:ascii="Arial" w:cs="Arial" w:eastAsia="Arial" w:hAnsi="Arial"/>
          <w:color w:val="222222"/>
          <w:sz w:val="18"/>
          <w:szCs w:val="18"/>
        </w:rPr>
        <w:t xml:space="preserve">[19] Bitsight Technologies, "Security Ratings Methodology and Benchmark Report," Bitsight, Boston, MA, Tech. Rep., 2024.</w:t>
      </w:r>
    </w:p>
    <w:p>
      <w:pPr>
        <w:spacing w:after="40" w:before="40"/>
        <w:ind w:left="360" w:hanging="360"/>
      </w:pPr>
      <w:r>
        <w:rPr>
          <w:rFonts w:ascii="Arial" w:cs="Arial" w:eastAsia="Arial" w:hAnsi="Arial"/>
          <w:color w:val="222222"/>
          <w:sz w:val="18"/>
          <w:szCs w:val="18"/>
        </w:rPr>
        <w:t xml:space="preserve">[20] Ministry of Electronics and Information Technology (MeitY), "The Digital Personal Data Protection Act, 2023," Gazette of India, Extraordinary, Part II, Section 1, No. 48, Aug. 2023.</w:t>
      </w:r>
    </w:p>
    <w:p>
      <w:pPr>
        <w:spacing w:after="40" w:before="40"/>
        <w:ind w:left="360" w:hanging="360"/>
      </w:pPr>
      <w:r>
        <w:rPr>
          <w:rFonts w:ascii="Arial" w:cs="Arial" w:eastAsia="Arial" w:hAnsi="Arial"/>
          <w:color w:val="222222"/>
          <w:sz w:val="18"/>
          <w:szCs w:val="18"/>
        </w:rPr>
        <w:t xml:space="preserve">[21] Anchore Inc., "Syft: A CLI Tool and Library for Generating SBOMs from Container Images and Filesystems," v1.x, GitHub, 2024. [Online]. Available: https://github.com/anchore/syft</w:t>
      </w:r>
    </w:p>
    <w:p>
      <w:pPr>
        <w:spacing w:after="40" w:before="40"/>
        <w:ind w:left="360" w:hanging="360"/>
      </w:pPr>
      <w:r>
        <w:rPr>
          <w:rFonts w:ascii="Arial" w:cs="Arial" w:eastAsia="Arial" w:hAnsi="Arial"/>
          <w:color w:val="222222"/>
          <w:sz w:val="18"/>
          <w:szCs w:val="18"/>
        </w:rPr>
        <w:t xml:space="preserve">[22] Anchore Inc., "Grype: A Vulnerability Scanner for Container Images and Filesystems," v0.79+, GitHub, 2024. [Online]. Available: https://github.com/anchore/grype</w:t>
      </w:r>
    </w:p>
    <w:p>
      <w:pPr>
        <w:spacing w:after="40" w:before="40"/>
        <w:ind w:left="360" w:hanging="360"/>
      </w:pPr>
      <w:r>
        <w:rPr>
          <w:rFonts w:ascii="Arial" w:cs="Arial" w:eastAsia="Arial" w:hAnsi="Arial"/>
          <w:color w:val="222222"/>
          <w:sz w:val="18"/>
          <w:szCs w:val="18"/>
        </w:rPr>
        <w:t xml:space="preserve">[23] CISA, "Framing Software Component Transparency: Establishing a Common Software Bill of Materials (SBOM)," Cybersecurity and Infrastructure Security Agency, Washington, DC, 2023.</w:t>
      </w:r>
    </w:p>
    <w:p>
      <w:pPr>
        <w:spacing w:after="40" w:before="40"/>
        <w:ind w:left="360" w:hanging="360"/>
      </w:pPr>
      <w:r>
        <w:rPr>
          <w:rFonts w:ascii="Arial" w:cs="Arial" w:eastAsia="Arial" w:hAnsi="Arial"/>
          <w:color w:val="222222"/>
          <w:sz w:val="18"/>
          <w:szCs w:val="18"/>
        </w:rPr>
        <w:t xml:space="preserve">[24] SEBI, "Cybersecurity and Cyber Resilience Framework (CSCRF) for SEBI Regulated Entities," Securities and Exchange Board of India, Mumbai, 2024.</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space="2"/>
      </w:pBdr>
    </w:pPr>
    <w:r>
      <w:rPr>
        <w:rFonts w:ascii="Arial" w:cs="Arial" w:eastAsia="Arial" w:hAnsi="Arial"/>
        <w:color w:val="777777"/>
        <w:sz w:val="18"/>
        <w:szCs w:val="18"/>
      </w:rPr>
      <w:t xml:space="preserve">© 2026 — Confidential Submission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2"/>
      </w:pBdr>
    </w:pPr>
    <w:r>
      <w:rPr>
        <w:rFonts w:ascii="Arial" w:cs="Arial" w:eastAsia="Arial" w:hAnsi="Arial"/>
        <w:i/>
        <w:iCs/>
        <w:color w:val="555555"/>
        <w:sz w:val="18"/>
        <w:szCs w:val="18"/>
      </w:rPr>
      <w:t xml:space="preserve">IEEE Transactions on Cloud Computing — Submitted Manuscript</w:t>
    </w:r>
    <w:r>
      <w:rPr>
        <w:rFonts w:ascii="Arial" w:cs="Arial" w:eastAsia="Arial" w:hAnsi="Arial"/>
        <w:color w:val="000000"/>
        <w:sz w:val="18"/>
        <w:szCs w:val="18"/>
      </w:rPr>
      <w:t xml:space="preserve">    |    TPRM Continuous Monitoring Framework for Indian Multi-Cloud Deployments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000000"/>
      <w:sz w:val="28"/>
      <w:szCs w:val="28"/>
    </w:rPr>
  </w:style>
  <w:style w:type="paragraph" w:styleId="Heading2">
    <w:name w:val="Heading 2"/>
    <w:basedOn w:val="Normal"/>
    <w:next w:val="Normal"/>
    <w:qFormat/>
    <w:pPr>
      <w:spacing w:after="80" w:before="20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4dbd4585aae8fb0bf1d8eead76e01e0435d9e9a.png"/><Relationship Id="rId10" Type="http://schemas.openxmlformats.org/officeDocument/2006/relationships/image" Target="media/c4a9c14b0371f412dfe4540aa3e7b6bad982e344.png"/><Relationship Id="rId11" Type="http://schemas.openxmlformats.org/officeDocument/2006/relationships/image" Target="media/439f6a5df85cb502776a55804370ca828d359a1b.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2026-04-10T06:38:26.723Z</dcterms:created>
  <dcterms:modified xsi:type="dcterms:W3CDTF">2026-04-10T06:38:26.724Z</dcterms:modified>
</cp:coreProperties>
</file>

<file path=docProps/custom.xml><?xml version="1.0" encoding="utf-8"?>
<Properties xmlns="http://schemas.openxmlformats.org/officeDocument/2006/custom-properties" xmlns:vt="http://schemas.openxmlformats.org/officeDocument/2006/docPropsVTypes"/>
</file>