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/>
      </w:pPr>
      <w:r>
        <w:t xml:space="preserve">Relat</w:t>
      </w:r>
      <w:r>
        <w:t xml:space="preserve">ório de desing:</w:t>
      </w:r>
      <w:r/>
    </w:p>
    <w:p w14:paraId="1DBEBC7A">
      <w:pPr>
        <w:pStyle w:val="147"/>
        <w:pBdr/>
        <w:spacing/>
        <w:ind/>
        <w:rPr/>
      </w:pPr>
      <w:r/>
      <w:bookmarkStart w:id="0" w:name="_GoBack"/>
      <w:r/>
      <w:bookmarkEnd w:id="0"/>
      <w:r>
        <w:t xml:space="preserve">Gov.br</w:t>
      </w:r>
      <w:r/>
    </w:p>
    <w:p w14:paraId="1982369E">
      <w:pPr>
        <w:pBdr/>
        <w:spacing/>
        <w:ind/>
        <w:rPr/>
      </w:pPr>
      <w:r/>
      <w:r/>
      <w:r/>
    </w:p>
    <w:p w14:paraId="429686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Elemento Dominante (Hierarquia Visual)</w:t>
      </w:r>
      <w:r/>
    </w:p>
    <w:p w14:paraId="1009F4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Site do Gov.br: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elemento dominante na página inicial varia de acordo com o contexto, mas geralmente é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barra de pesquisa central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acompanhada do cabeçalho azul padrão e da mensagem de boas-vindas.</w:t>
      </w:r>
      <w:r/>
    </w:p>
    <w:p w14:paraId="000FC1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escolha da barra de busca como elemento dominante é extremamente funcional. Em portais governamentais com milhares de serviços, o usuário não quer navegar por menus infinitos; ele quer buscar diretamente o que precisa (ex: "declarar imposto", "carteira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 trabalho"). O foco visual inicial é direcionado corretamente para essa ação.</w:t>
      </w:r>
      <w:r/>
    </w:p>
    <w:p w14:paraId="7C8C6D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Proporção</w:t>
      </w:r>
      <w:r/>
    </w:p>
    <w:p w14:paraId="52FA27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Site do Gov.br: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site utiliza uma estrutura de grade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grid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muito bem definida para organizar as informações em "cards" (cartões) e blocos.</w:t>
      </w:r>
      <w:r/>
    </w:p>
    <w:p w14:paraId="167B36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Há uma proporção equilibrada entre espaços em branco (espaço negativo) e o conteúdo textual. Os cards de serviços em destaque possuem dimensões proporcionais e equilibradas em relação ao banner principal e aos botões de login, evitando que a tela pareça 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oluída ou excessivamente densa. Isso facilita a leitura e a usabilidade em diferentes tamanhos de tela (design responsivo).</w:t>
      </w:r>
      <w:r/>
    </w:p>
    <w:p w14:paraId="523F59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Cor</w:t>
      </w:r>
      <w:r/>
    </w:p>
    <w:p w14:paraId="3DCA7D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Site do Gov.br: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paleta é estritamente institucional, dominada por tons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azul, verde e amarelo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(referências à bandeira nacional), além de muito cinza claro e branco para os fundos.</w:t>
      </w:r>
      <w:r/>
    </w:p>
    <w:p w14:paraId="285E4C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uso do azul escuro transmite seriedade, segurança e oficialidade (essencial para um portal onde o cidadão insere dados sensíveis). O contraste das cores de texto sobre o fundo atende muito bem aos padrões internacionais de acessibilidade (WCAG), garanti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ndo legibilidade para pessoas com baixa visão. Há também um uso semântico de cores (como o verde para ações positivas/confirmações).</w:t>
      </w:r>
      <w:r/>
    </w:p>
    <w:p w14:paraId="155C72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Harmonia e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Flow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(Fluxo de Leitura)</w:t>
      </w:r>
      <w:r/>
    </w:p>
    <w:p w14:paraId="44F3FA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Site do Gov.br: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fluxo de leitura segue o padrão natural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 canto superior esquerdo para o direito, descendo pela página.</w:t>
      </w:r>
      <w:r/>
    </w:p>
    <w:p w14:paraId="557F01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topo traz as marcas oficiais e a identificação do cidadão (login único). Em seguida, o fluxo conduz o olhar para a barra de busca e depois para as categorias de serviços dispostas em cards sistemáticos. A transição visual entre as diferentes seções do 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ite é suave, guiando o cidadão de forma intuitiva até o rodapé, onde ficam as informações institucionais secundárias.</w:t>
      </w:r>
      <w:r/>
    </w:p>
    <w:p w14:paraId="4F0CAA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Textura</w:t>
      </w:r>
      <w:r/>
    </w:p>
    <w:p w14:paraId="7C66A4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Site do Gov.br: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design de interfaces digitais modernas, a "textura" é trabalhada de forma abstrata ou minimalista. No portal, ela se traduz no uso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sombras suaves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(elevação/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elevation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nos elementos e ilustrações vetorizadas simples.</w:t>
      </w:r>
      <w:r/>
    </w:p>
    <w:p w14:paraId="12456E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site evita texturas complexas ou fundos carregados, priorizando superfícies planas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flat design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As sombras discretas sob os botões e cards dão uma sensação de profundidade e indicam que esses elementos são clicáveis (comportamento de tato virtual). As ilustrações oficiais utilizam gradientes muito suaves e efeitos granulados pontuais, apenas para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dar dinamismo sem distrair.</w:t>
      </w:r>
      <w:r/>
    </w:p>
    <w:p w14:paraId="450B05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Consistência Visual</w:t>
      </w:r>
      <w:r/>
    </w:p>
    <w:p w14:paraId="20A9C9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Site do Gov.br: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Este é o ponto mais forte do portal. Por ser construído sob um rígido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Design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unificado, todos os subportais e serviços integrados utilizam exatamente os mesmos componentes.</w:t>
      </w:r>
      <w:r/>
    </w:p>
    <w:p w14:paraId="023BAE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Independentemente de o usuário estar acessando a Receita Federal, o INSS ou solicitando um passaporte, a tipografia, o estilo dos botões, os ícones, os campos de formulário e os cabeçalhos permanecem idênticos. Essa consistência visual reduz drasticamente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curva de aprendizado do cidadão, que não precisa reinterpretar a interface a cada novo serviço acessado.</w:t>
      </w:r>
      <w:r/>
    </w:p>
    <w:p w14:paraId="4B423636">
      <w:pPr>
        <w:pStyle w:val="147"/>
        <w:pBdr/>
        <w:spacing/>
        <w:ind/>
        <w:rPr/>
      </w:pPr>
      <w:r/>
      <w:r>
        <w:t xml:space="preserve">Netflix</w:t>
      </w:r>
      <w:r/>
    </w:p>
    <w:p w14:paraId="2F145A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Elemento Dominante (Hierarquia Visual)</w:t>
      </w:r>
      <w:r/>
    </w:p>
    <w:p w14:paraId="5D4DA99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 Netflix: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elemento dominante absoluto é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conteúdo em destaque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(geralmente um banner gigante ou um trailer em reprodução automática no topo da tela) e, na tela de novos usuários,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proposta de valor com o botão de "Assinar"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5C858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hierarquia é pensada para prender a atenção imediatamente. Ao invés de fazer o usuário pensar ou ler muito, a Netflix usa o apelo visual do pôster ou do vídeo em alta definição do seu maior lançamento atual para dominar a tela e gerar desejo de consumo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imediato.</w:t>
      </w:r>
      <w:r/>
    </w:p>
    <w:p w14:paraId="2C696E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Proporção</w:t>
      </w:r>
      <w:r/>
    </w:p>
    <w:p w14:paraId="09556A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 Netflix: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tela é organizada em "fileiras" (as famosas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carrosséis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trilhos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com proporções horizontais (proporção de tela de cinema, normalmente 16:9).</w:t>
      </w:r>
      <w:r/>
    </w:p>
    <w:p w14:paraId="0507FE4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espaçamento entre os cards de filmes e séries é milimetricamente calculado. Eles são grandes o suficiente para mostrar a arte de capa com clareza, mas compactos o suficiente para que o usuário veja que há mais opções ao lado e abaixo, incentivando o mov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imento de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scroll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(rolagem) infinito. Há pouquíssimo espaço vazio, criando uma sensação de "catálogo infinito".</w:t>
      </w:r>
      <w:r/>
    </w:p>
    <w:p w14:paraId="35FC47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Cor</w:t>
      </w:r>
      <w:r/>
    </w:p>
    <w:p w14:paraId="384A8C1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 Netflix: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paleta de cores é extremamente minimalista e focada no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preto, cinza escuro e vermelho vibrante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 cor da marca).</w:t>
      </w:r>
      <w:r/>
    </w:p>
    <w:p w14:paraId="2A60C1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uso do fundo escuro (modo escuro por padrão) simula a experiência de estar em uma sala de cinema escura, fazendo com que as cores vivas das capas dos filmes e séries "saltem" aos olhos do usuário. O vermelho é utilizado de forma estratégica e pontual 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enas em botões de ação cruciais (como "Assinar", "Entrar" ou "Reproduzir"), direcionando o clique do usuário de forma quase hipnótica.</w:t>
      </w:r>
      <w:r/>
    </w:p>
    <w:p w14:paraId="4DE2A5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Harmonia e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Flow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(Fluxo de Leitura)</w:t>
      </w:r>
      <w:r/>
    </w:p>
    <w:p w14:paraId="73936E2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 Netflix: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fluxo de navegação é predominantemente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horizontal e em blocos de interesse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CCF8D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Diferente do fluxo em "F" tradicional de leitura de textos, 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Netflix é feito para ser escaneado rapidamente por imagens. O usuário bate o olho no topo (destaque), desce verticalmente e depois navega horizontalmente pelas fileiras personalizadas por algoritmos (ex: "Continuar assistindo", "Tendências"). É um flux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extremamente fluido e focado no menor esforço cognitivo possível para encontrar algo para assistir.</w:t>
      </w:r>
      <w:r/>
    </w:p>
    <w:p w14:paraId="272675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Textura</w:t>
      </w:r>
      <w:r/>
    </w:p>
    <w:p w14:paraId="2569111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 Netflix: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textura no design digital da plataforma é praticamente nula em termos de fundos ásperos ou texturizados, focando em superfícies lisas e de alta definição. Porém, trabalha muito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transparências, gradientes escuros e efeitos de desfoque (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blur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24722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artes dos filmes no topo costumam "derreter" em um gradiente preto na parte inferior para que os textos de sinopse e botões fiquem legíveis por cima da imagem. Quando você passa o mouse ou o cursor sobre um título, há um efeito de expansão suave (zoom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 elevação do card) com sombras discretas, simulando que aquele card está "flutuando" sobre os outros.</w:t>
      </w:r>
      <w:r/>
    </w:p>
    <w:p w14:paraId="44E512E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Consistência Visual</w:t>
      </w:r>
      <w:r/>
    </w:p>
    <w:p w14:paraId="0D6311B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 Netflix: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consistência é impecável e multiplataforma.</w:t>
      </w:r>
      <w:r/>
    </w:p>
    <w:p w14:paraId="38C419E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Análise: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Seja na TV da sala, no celular (iOS/Android), no navegador do computador ou no videogame, a experiência visual é rigorosamente idêntica. Os mesmos ícones, o mesmo comportamento dos carrosséis, o estilo das fontes e o comportamento de "abrir o card" para 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 os detalhes funcionam da mesma forma. Essa consistência cria um hábito de uso tão forte que o usuário opera o aplicativo de forma automática, sem precisar aprender nada novo ao trocar de aparelho.</w:t>
      </w:r>
      <w:r/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3414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0C99A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2026-05-08T23:19:33Z</dcterms:modified>
</cp:coreProperties>
</file>