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Inter" w:cs="Inter" w:eastAsia="Inter" w:hAnsi="Inter"/>
          <w:b/>
          <w:bCs/>
          <w:color w:val="D4196A"/>
          <w:sz w:val="30"/>
          <w:szCs w:val="30"/>
        </w:rPr>
        <w:t xml:space="preserve">Verion</w:t>
      </w:r>
      <w:r>
        <w:rPr>
          <w:rFonts w:ascii="Inter" w:cs="Inter" w:eastAsia="Inter" w:hAnsi="Inter"/>
          <w:b/>
          <w:bCs/>
          <w:color w:val="111827"/>
          <w:sz w:val="22"/>
          <w:szCs w:val="22"/>
        </w:rPr>
        <w:t xml:space="preserve">  ❙❙  </w:t>
      </w:r>
      <w:r>
        <w:rPr>
          <w:rFonts w:ascii="Inter" w:cs="Inter" w:eastAsia="Inter" w:hAnsi="Inter"/>
          <w:b/>
          <w:bCs/>
          <w:color w:val="111827"/>
          <w:sz w:val="30"/>
          <w:szCs w:val="30"/>
        </w:rPr>
        <w:t xml:space="preserve">ai</w:t>
      </w:r>
    </w:p>
    <w:p>
      <w:pPr>
        <w:spacing w:after="900" w:before="0" w:line="276"/>
        <w:jc w:val="left"/>
      </w:pPr>
      <w:r>
        <w:rPr>
          <w:rFonts w:ascii="Inter" w:cs="Inter" w:eastAsia="Inter" w:hAnsi="Inter"/>
          <w:b w:val="false"/>
          <w:bCs w:val="false"/>
          <w:i w:val="false"/>
          <w:iCs w:val="false"/>
          <w:color w:val="6B7280"/>
          <w:sz w:val="18"/>
          <w:szCs w:val="18"/>
        </w:rPr>
        <w:t xml:space="preserve">AI Consulting &amp; Automation  ·  verionai.in</w:t>
      </w:r>
    </w:p>
    <w:p>
      <w:pPr>
        <w:spacing w:after="40" w:before="300"/>
      </w:pPr>
      <w:r>
        <w:rPr>
          <w:rFonts w:ascii="Inter" w:cs="Inter" w:eastAsia="Inter" w:hAnsi="Inter"/>
          <w:b/>
          <w:bCs/>
          <w:color w:val="732DEB"/>
          <w:spacing w:val="30"/>
          <w:sz w:val="18"/>
          <w:szCs w:val="18"/>
        </w:rPr>
        <w:t xml:space="preserve">PRODUCT &amp; TECHNICAL DESIGN DOCUMENT</w:t>
      </w:r>
    </w:p>
    <w:p>
      <w:pPr>
        <w:spacing w:after="60"/>
      </w:pPr>
      <w:r>
        <w:rPr>
          <w:rFonts w:ascii="Inter" w:cs="Inter" w:eastAsia="Inter" w:hAnsi="Inter"/>
          <w:b/>
          <w:bCs/>
          <w:color w:val="111827"/>
          <w:sz w:val="60"/>
          <w:szCs w:val="60"/>
        </w:rPr>
        <w:t xml:space="preserve">QMS360</w:t>
      </w:r>
    </w:p>
    <w:p>
      <w:pPr>
        <w:spacing w:after="260"/>
      </w:pPr>
      <w:r>
        <w:rPr>
          <w:rFonts w:ascii="Inter" w:cs="Inter" w:eastAsia="Inter" w:hAnsi="Inter"/>
          <w:b/>
          <w:bCs/>
          <w:color w:val="6B7280"/>
          <w:sz w:val="26"/>
          <w:szCs w:val="26"/>
        </w:rPr>
        <w:t xml:space="preserve">Unified Quality, Lesson Learned &amp; Audit Management Platform</w:t>
      </w:r>
    </w:p>
    <w:p>
      <w:pPr>
        <w:spacing w:after="500" w:before="0" w:line="276"/>
        <w:jc w:val="left"/>
      </w:pPr>
      <w:r>
        <w:rPr>
          <w:rFonts w:ascii="Inter" w:cs="Inter" w:eastAsia="Inter" w:hAnsi="Inter"/>
          <w:b w:val="false"/>
          <w:bCs w:val="false"/>
          <w:i w:val="false"/>
          <w:iCs w:val="false"/>
          <w:color w:val="111827"/>
          <w:sz w:val="21"/>
          <w:szCs w:val="21"/>
        </w:rPr>
        <w:t xml:space="preserve">Prepared for Algihaz Holding — for Business &amp; Technical Validation prior to Build</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60"/>
      </w:tblGrid>
      <w:tr>
        <w:trPr>
          <w:cantSplit/>
          <w:tblHeader/>
        </w:trPr>
        <w:tc>
          <w:tcPr>
            <w:tcW w:type="dxa" w:w="30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Field</w:t>
            </w:r>
          </w:p>
        </w:tc>
        <w:tc>
          <w:tcPr>
            <w:tcW w:type="dxa" w:w="63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Detail</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Document Title</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 Product &amp; Technical Design Document</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Client</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Holding</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Prepared By</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Source Requirements</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SOW-QMS-V4 (QA/QC &amp; Document Governance), Lesson Learned Form SOW-V2, QMS-SOW-V2 (Audit Solution)</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Development Platform</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Replit — used by VerionAI for fast build and UAT iteration</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Production Hosting</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Algihaz’s existing application platform (the same container already hosting Algihaz’s other applications)</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Date</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03-09-2026</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Version</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v4.2</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Sensitivity</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Confidential — Internal &amp; Client Use Only</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Status</w:t>
            </w:r>
          </w:p>
        </w:tc>
        <w:tc>
          <w:tcPr>
            <w:tcW w:type="dxa" w:w="6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Final Draft — For Client Review &amp; Sign-off</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How to read this document</w:t>
            </w:r>
          </w:p>
          <w:p>
            <w:pPr>
              <w:spacing w:after="60" w:line="260"/>
            </w:pPr>
            <w:r>
              <w:rPr>
                <w:rFonts w:ascii="Inter" w:cs="Inter" w:eastAsia="Inter" w:hAnsi="Inter"/>
                <w:color w:val="111827"/>
                <w:sz w:val="19"/>
                <w:szCs w:val="19"/>
              </w:rPr>
              <w:t xml:space="preserve">This document consolidates the three Business Requirements Documents supplied by Algihaz — the QA/QC &amp; Document Governance Report, the Lesson Learned Form, and the QMS Audit Solution — into QMS360, three separately-built, independently-administered applications behind one thin common layer. It is written from a product and engineering point of view: it keeps every business rule Algihaz already approved in the three BRDs, and adds the platform architecture, authentication model and enterprise-grade features needed to ship all three as properly governed applications rather than three disconnected tools.</w:t>
            </w:r>
          </w:p>
          <w:p>
            <w:pPr>
              <w:spacing w:after="60" w:line="260"/>
            </w:pPr>
            <w:r>
              <w:rPr>
                <w:rFonts w:ascii="Inter" w:cs="Inter" w:eastAsia="Inter" w:hAnsi="Inter"/>
                <w:color w:val="111827"/>
                <w:sz w:val="19"/>
                <w:szCs w:val="19"/>
              </w:rPr>
              <w:t xml:space="preserve">This is a complete, end-to-end product design — every capability described here is part of the target application, not a reduced first cut. QMS360 does not plan or depend on any ERP integration. Where a specific capability (email delivery, Oracle ADW connectivity) cannot go live without something only Algihaz can provide — a credential, a confirmation — that dependency is called out explicitly wherever it appears, rather than implied through a phase label. One explicit scope boundary is also called out wherever relevant: the installable, offline-capable mobile app referenced in the source BRDs is Algihaz’s own future build, not part of this web application (Section 4.3, Section 22.1).</w:t>
            </w:r>
          </w:p>
          <w:p>
            <w:pPr>
              <w:spacing w:after="60" w:line="260"/>
            </w:pPr>
            <w:r>
              <w:rPr>
                <w:rFonts w:ascii="Inter" w:cs="Inter" w:eastAsia="Inter" w:hAnsi="Inter"/>
                <w:color w:val="111827"/>
                <w:sz w:val="19"/>
                <w:szCs w:val="19"/>
              </w:rPr>
              <w:t xml:space="preserve">Once validated and signed off by Algihaz, this document becomes the build blueprint used to develop the application.</w:t>
            </w:r>
          </w:p>
        </w:tc>
      </w:tr>
    </w:tbl>
    <w:p>
      <w:pPr>
        <w:spacing w:after="160"/>
      </w:pPr>
    </w:p>
    <w:p>
      <w:pPr>
        <w:spacing w:after="120" w:before="0"/>
      </w:pPr>
      <w:r>
        <w:rPr>
          <w:rFonts w:ascii="Inter" w:cs="Inter" w:eastAsia="Inter" w:hAnsi="Inter"/>
          <w:b/>
          <w:bCs/>
          <w:color w:val="111827"/>
          <w:sz w:val="23"/>
          <w:szCs w:val="23"/>
        </w:rPr>
        <w:t xml:space="preserve">Document Control — Revision History</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100"/>
        <w:gridCol w:w="1500"/>
        <w:gridCol w:w="2660"/>
        <w:gridCol w:w="4100"/>
      </w:tblGrid>
      <w:tr>
        <w:trPr>
          <w:cantSplit/>
          <w:tblHeader/>
        </w:trPr>
        <w:tc>
          <w:tcPr>
            <w:tcW w:type="dxa" w:w="11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Version</w:t>
            </w:r>
          </w:p>
        </w:tc>
        <w:tc>
          <w:tcPr>
            <w:tcW w:type="dxa" w:w="15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Date</w:t>
            </w:r>
          </w:p>
        </w:tc>
        <w:tc>
          <w:tcPr>
            <w:tcW w:type="dxa" w:w="26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Author</w:t>
            </w:r>
          </w:p>
        </w:tc>
        <w:tc>
          <w:tcPr>
            <w:tcW w:type="dxa" w:w="41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Description of Changes</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v1.0</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28-08-2026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Initial consolidated design: three BRDs unified into one platform (three workspaces + shared Admin Core), with RBAC, authentication/delegation model and Replit-oriented technical architecture.</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v2.0</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28-08-2026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Revised following internal technical review: (1) removed phased/MVP framing throughout — the document now presents one complete, end-to-end enterprise product, with genuine external dependencies (SSO tenant, ERP/API access, app-store accounts) called out as activation prerequisites rather than deferred phases; (2) added data-integrity rules for soft-delete and active-scoped uniqueness; (3) added SLA-engine reliability requirements (periodic reconciliation sweep, dynamic recalculation on calendar/deadline changes); (4) added offline evidence-capture rules (image compression, conflict resolution policy); (5) added AI-call timeout and fallback behaviour; (6) corrected a proposed KPI zero-denominator formula that would have conflicted with an already-approved BRD rule; (7) flagged the Audit Finding → Corrective Action Report cardinality as an explicit decision point for Algihaz; (8) restated the delivery plan as parallel workstreams instead of MVP/Phase sequencing.</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v3.0</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30-08-2026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Revised following the 30-08-2026 architecture sync call between VerionAI and Algihaz’s platform engineering team: (1) QMS360 is now designed to run as three workspace modules inside an existing application platform rather than as a self-standing application — removed the dedicated QMS360 login page and self-registration flow, replaced with platform sign-in + real-time user/workspace-access sync (Section 7); (2) sharpened the Platform Role vs Workspace Role split so Platform Roles and identity are explicitly owned by the existing platform, with QMS360 layering workspace-specific roles on top (Section 5); (3) the Integration Cockpit’s user/project sync pattern is now specified concretely — API existence-check against the platform’s User Master plus its role-mapping table (Section 9.2); (4) confirmed all three workspaces share one database/schema and can exchange data directly, and the data model and Admin Core are explicitly designed for a future 7–8 application QMS cluster, not just these three (Sections 14.2, 15); (5) added AI-native prompt-to-transaction execution — creating master data or executing a transaction from a single natural-language prompt, with the system asking for any missing required fields — as a governed capability of AI Settings &amp; Controls (Section 9.3); (6) reconfirmed Unifier/ERP integration as manual-entry-first until Algihaz’s Unifier connectivity is ready (Section 4.3, 21.5).</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v3.1</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30-08-2026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Corrected two facts from the same architecture sync that v3.0 had attributed incorrectly: (1) the existing application platform QMS360 integrates with is Algihaz’s own platform — already hosting several of Algihaz’s other applications — not a VerionAI-owned platform; it is owned and operated by Algihaz’s platform engineering team (Subbu, Amit, Madhur), with VerionAI (Ankit, Himanshu, Ajay) designing QMS360 to run inside it (Section 3.2 and throughout); (2) production hosting is Algihaz’s existing application platform/container, not Replit — Replit remains VerionAI’s development and UAT build environment only, and the target production database is a new schema created inside Algihaz’s existing PostgreSQL instance, not a separate managed database (Sections 14.1, 14.6).</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v3.2</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30-08-2026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Added, per Algihaz’s written request, an Oracle Autonomous Data Warehouse (ADW) sync as a new Integration Cockpit connector: Quality apps data is populated into Oracle ADW on a configurable scheduled (daily/weekly) or near-real-time (minutes-level) cadence, built on the existing Redis/BullMQ job infrastructure (Section 9.2.2). VerionAI recommends launching with the near-real-time mode and flags true streaming/sub-minute change-data-capture (e.g., Oracle GoldenGate) as a materially different, separately-licensed technical approach requiring Algihaz’s explicit confirmation. Added the corresponding scope item (Section 4.2), client-provided prerequisite for ADW connection details and confirmed cadence (Section 21.5), and cross-workspace reporting note (Section 19.4).</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v4.0</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31-08-2026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Revised throughout to address Algihaz’s written comments on v3.2, ahead of final sign-off: (1) confirmed QMS360’s three applications — QA/QC &amp; Document Governance, Lesson Learned, QMS Audit — are three separate, independently-launched applications on Algihaz’s platform, each with its own entry point and its own Escalation Rules / AI Settings, not tabs inside one shared login (Sections 1, 3.1, 3.2, 6, 7, 8, 9, 14); (2) simplified the identity model per the design review — QMS360 takes only a username and project name from Algihaz’s platform, and every role (Platform and Workspace) is defined and assigned entirely inside QMS360, removing the earlier dependency on a platform-side role-mapping table (Sections 3.2, 5, 7, 9.1, 9.2.1, 15); (3) removed all ERP/Unifier/PMIS integration content — QMS360 does not plan or depend on any ERP integration; NCR/RFI/RMI and document-governance data is entered directly, as the source BRDs specify (Sections 1, 2.1, 4.2, 4.3, 9.2, 9.4, 10.2, 20, 21.5, and the architecture diagram); (4) clarified that Business Unit, Discipline, Categorisation and other configuration masters are QMS360-native, while Project and User records are synced read-only from Algihaz’s Container and are not authored in QMS360 (Sections 4.2, 9.5, 15); (5) made explicit that an Org Admin can add any role with any combination of rights, beyond the system default roles (Sections 3.2, 5.4, 9.1); (6) clarified that the cross-application Executive Dashboard draws on all three applications’ shared database directly, with no separate integration step needed once all three are live (Section 9.9); (7) added a worked example of prompt-to-transaction execution, as requested (Section 9.3.1); (8) updated the Oracle ADW section to reflect Algihaz’s note that its own container-to-ADW pipeline may already populate this data automatically, with QMS360’s native connector built as a fallback pending Algihaz’s confirmation (Section 9.2.2); (9) added a differentiated escalation matrix for the Lesson Learned application — 2-day SLA to P1 for Major/Negative issues, 5 days for every other severity/impact combination (Section 11.3); (10) updated the reference architecture and application-home mockups to depict three separate applications, each with its own settings and a switcher to the other two (Figures 1–2).</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v4.1</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02-09-2026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Responds to three further questions Algihaz raised on review of v4.0, validated against the three original BRDs and answered in new Section 22 (Client Queries — Round 2), with the underlying design added to the relevant technical sections: (1) clarified, as a scope boundary requiring Algihaz’s explicit acknowledgement, that VerionAI’s build is the responsive web application only — the installable, offline-capable mobile app the Lesson Learned (FR-18) and QMS Audit BRDs describe is Algihaz’s own future retrofit, built on the same APIs; removed every prior reference to VerionAI building a native/Capacitor-wrapped app (Sections 3.1, 4.2, 4.3, 9.6, 11.4, 12.1, 14.1, 14.4, 16, 17.4, 21.5, 22.1); (2) added the specific API-design commitments that keep that future mobile retrofit additive rather than a rebuild — idempotent submission, client-suppliable capture timestamp/GPS, and a reference-data snapshot endpoint (Section 14.4); (3) added a new Change-Request section on evidence/attachment handling — compression, format, size and duration limits by evidence type, and upfront/no-silent-failure error handling for storage uploads, since none of this was specified in any BRD (Section 14.7, Section 22.2); (4) added a new Change-Request section on report/export delivery — direct download for a typical export, an emailed time-limited link for anything past a configurable data-volume threshold, since neither was specified in any BRD (Section 9.9.1, Section 22.3).</w:t>
            </w:r>
          </w:p>
        </w:tc>
      </w:tr>
      <w:tr>
        <w:trPr>
          <w:cantSplit/>
        </w:trPr>
        <w:tc>
          <w:tcPr>
            <w:tcW w:type="dxa" w:w="1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v4.2</w:t>
            </w:r>
          </w:p>
        </w:tc>
        <w:tc>
          <w:tcPr>
            <w:tcW w:type="dxa" w:w="15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03-09-2026</w:t>
            </w:r>
          </w:p>
        </w:tc>
        <w:tc>
          <w:tcPr>
            <w:tcW w:type="dxa" w:w="26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&amp; Engineering</w:t>
            </w:r>
          </w:p>
        </w:tc>
        <w:tc>
          <w:tcPr>
            <w:tcW w:type="dxa" w:w="4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Responds to 24 comments from VerionAI’s own internal technical review of v4.1, consolidated in new Section 23: (1) corrected the application-boundary architecture — RBAC, Escalation &amp; Workflow Configuration, AI Settings &amp; Controls, the Notification Center and the Audit &amp; Compliance Log are now built and administered independently three times, once per application, rather than as a shared Admin Core; only Project &amp; Master Data Sync, the Integration Cockpit, and a new common QMS360 landing page (System Overview, Executive Page, Project Sync View) are genuinely shared (Sections 1–3, 6–9, 15); (2) added a new identity/access-mapping table, to be supplied by Algihaz, determining which username may open which application (Sections 3.3, 5.4, 21.5); (3) resolved the database/deployment strategy — an external managed Postgres (e.g., Supabase/Neon) with four schemas (one per application, plus one shared schema) from day one of Replit development, with a schema-creation SQL script for Algihaz’s own instance at production cutover, replacing the earlier single-shared-schema design (Sections 14, 15); (4) confirmed VerionAI builds every application as an installable Progressive Web App with IndexedDB-cached reference data for offline viewing, resolving the prior ambiguity between a pure web build and a future native retrofit — true offline transaction capture remains Algihaz’s future retrofit (Sections 3.1, 4.1, 4.2, 11.4, 12.1, 14.1, 14.4, 16, 17.4); (5) reconfirmed ERP/Unifier integration as explicitly out of scope, with any future request treated as a new Change Request (Section 4.3); (6) flagged the Arabic/English Bilingual UI as a proposed enhancement pending Algihaz’s confirmation, not committed BRD-traceable scope — none of the three BRDs request it (Sections 4.2, 16, 17.5, 20); (7) recorded the build-effort impact of independent per-application administration, and the open items requiring confirmation before Replit development begins (Section 23.6, 23.7); (8) renumbered Escalation &amp; SLA Engine (Section 13) to reflect it is a shared code pattern only, not a shared configuration surface, and renumbered the former Section 23 (Document Review &amp; Approval) to Section 24.</w:t>
            </w:r>
          </w:p>
        </w:tc>
      </w:tr>
    </w:tbl>
    <w:p>
      <w:r>
        <w:br w:type="page"/>
      </w:r>
    </w:p>
    <w:p>
      <w:pPr>
        <w:pStyle w:val="Heading1"/>
        <w:spacing w:after="260"/>
      </w:pPr>
      <w:r>
        <w:rPr>
          <w:rFonts w:ascii="Inter" w:cs="Inter" w:eastAsia="Inter" w:hAnsi="Inter"/>
          <w:b/>
          <w:bCs/>
          <w:color w:val="111827"/>
          <w:sz w:val="32"/>
          <w:szCs w:val="32"/>
        </w:rPr>
        <w:t xml:space="preserve">Table of Contents</w:t>
      </w:r>
    </w:p>
    <w:p>
      <w:pPr>
        <w:spacing w:after="160"/>
      </w:pPr>
      <w:r>
        <w:rPr>
          <w:rFonts w:ascii="Inter" w:cs="Inter" w:eastAsia="Inter" w:hAnsi="Inter"/>
          <w:b/>
          <w:bCs/>
          <w:color w:val="111827"/>
          <w:sz w:val="21"/>
          <w:szCs w:val="21"/>
        </w:rPr>
        <w:t xml:space="preserve">1. Executive Summary</w:t>
      </w:r>
      <w:ptab w:alignment="right" w:relativeTo="margin" w:leader="dot"/>
      <w:r>
        <w:rPr>
          <w:rFonts w:ascii="Inter" w:cs="Inter" w:eastAsia="Inter" w:hAnsi="Inter"/>
          <w:b/>
          <w:bCs/>
          <w:color w:val="D4196A"/>
          <w:sz w:val="21"/>
          <w:szCs w:val="21"/>
        </w:rPr>
        <w:t xml:space="preserve">13</w:t>
      </w:r>
    </w:p>
    <w:p>
      <w:pPr>
        <w:spacing w:after="160"/>
      </w:pPr>
      <w:r>
        <w:rPr>
          <w:rFonts w:ascii="Inter" w:cs="Inter" w:eastAsia="Inter" w:hAnsi="Inter"/>
          <w:b/>
          <w:bCs/>
          <w:color w:val="111827"/>
          <w:sz w:val="21"/>
          <w:szCs w:val="21"/>
        </w:rPr>
        <w:t xml:space="preserve">2. Business Context &amp; Problem Statement</w:t>
      </w:r>
      <w:ptab w:alignment="right" w:relativeTo="margin" w:leader="dot"/>
      <w:r>
        <w:rPr>
          <w:rFonts w:ascii="Inter" w:cs="Inter" w:eastAsia="Inter" w:hAnsi="Inter"/>
          <w:b/>
          <w:bCs/>
          <w:color w:val="D4196A"/>
          <w:sz w:val="21"/>
          <w:szCs w:val="21"/>
        </w:rPr>
        <w:t xml:space="preserve">14</w:t>
      </w:r>
    </w:p>
    <w:p>
      <w:pPr>
        <w:spacing w:after="160"/>
      </w:pPr>
      <w:r>
        <w:rPr>
          <w:rFonts w:ascii="Inter" w:cs="Inter" w:eastAsia="Inter" w:hAnsi="Inter"/>
          <w:b/>
          <w:bCs/>
          <w:color w:val="111827"/>
          <w:sz w:val="21"/>
          <w:szCs w:val="21"/>
        </w:rPr>
        <w:t xml:space="preserve">3. Product Vision &amp; Design Principles</w:t>
      </w:r>
      <w:ptab w:alignment="right" w:relativeTo="margin" w:leader="dot"/>
      <w:r>
        <w:rPr>
          <w:rFonts w:ascii="Inter" w:cs="Inter" w:eastAsia="Inter" w:hAnsi="Inter"/>
          <w:b/>
          <w:bCs/>
          <w:color w:val="D4196A"/>
          <w:sz w:val="21"/>
          <w:szCs w:val="21"/>
        </w:rPr>
        <w:t xml:space="preserve">16</w:t>
      </w:r>
    </w:p>
    <w:p>
      <w:pPr>
        <w:spacing w:after="160"/>
      </w:pPr>
      <w:r>
        <w:rPr>
          <w:rFonts w:ascii="Inter" w:cs="Inter" w:eastAsia="Inter" w:hAnsi="Inter"/>
          <w:b/>
          <w:bCs/>
          <w:color w:val="111827"/>
          <w:sz w:val="21"/>
          <w:szCs w:val="21"/>
        </w:rPr>
        <w:t xml:space="preserve">4. Scope Overview</w:t>
      </w:r>
      <w:ptab w:alignment="right" w:relativeTo="margin" w:leader="dot"/>
      <w:r>
        <w:rPr>
          <w:rFonts w:ascii="Inter" w:cs="Inter" w:eastAsia="Inter" w:hAnsi="Inter"/>
          <w:b/>
          <w:bCs/>
          <w:color w:val="D4196A"/>
          <w:sz w:val="21"/>
          <w:szCs w:val="21"/>
        </w:rPr>
        <w:t xml:space="preserve">21</w:t>
      </w:r>
    </w:p>
    <w:p>
      <w:pPr>
        <w:spacing w:after="160"/>
      </w:pPr>
      <w:r>
        <w:rPr>
          <w:rFonts w:ascii="Inter" w:cs="Inter" w:eastAsia="Inter" w:hAnsi="Inter"/>
          <w:b/>
          <w:bCs/>
          <w:color w:val="111827"/>
          <w:sz w:val="21"/>
          <w:szCs w:val="21"/>
        </w:rPr>
        <w:t xml:space="preserve">5. Personas &amp; System Default Roles</w:t>
      </w:r>
      <w:ptab w:alignment="right" w:relativeTo="margin" w:leader="dot"/>
      <w:r>
        <w:rPr>
          <w:rFonts w:ascii="Inter" w:cs="Inter" w:eastAsia="Inter" w:hAnsi="Inter"/>
          <w:b/>
          <w:bCs/>
          <w:color w:val="D4196A"/>
          <w:sz w:val="21"/>
          <w:szCs w:val="21"/>
        </w:rPr>
        <w:t xml:space="preserve">26</w:t>
      </w:r>
    </w:p>
    <w:p>
      <w:pPr>
        <w:spacing w:after="160"/>
      </w:pPr>
      <w:r>
        <w:rPr>
          <w:rFonts w:ascii="Inter" w:cs="Inter" w:eastAsia="Inter" w:hAnsi="Inter"/>
          <w:b/>
          <w:bCs/>
          <w:color w:val="111827"/>
          <w:sz w:val="21"/>
          <w:szCs w:val="21"/>
        </w:rPr>
        <w:t xml:space="preserve">6. Information Architecture</w:t>
      </w:r>
      <w:ptab w:alignment="right" w:relativeTo="margin" w:leader="dot"/>
      <w:r>
        <w:rPr>
          <w:rFonts w:ascii="Inter" w:cs="Inter" w:eastAsia="Inter" w:hAnsi="Inter"/>
          <w:b/>
          <w:bCs/>
          <w:color w:val="D4196A"/>
          <w:sz w:val="21"/>
          <w:szCs w:val="21"/>
        </w:rPr>
        <w:t xml:space="preserve">29</w:t>
      </w:r>
    </w:p>
    <w:p>
      <w:pPr>
        <w:spacing w:after="160"/>
      </w:pPr>
      <w:r>
        <w:rPr>
          <w:rFonts w:ascii="Inter" w:cs="Inter" w:eastAsia="Inter" w:hAnsi="Inter"/>
          <w:b/>
          <w:bCs/>
          <w:color w:val="111827"/>
          <w:sz w:val="21"/>
          <w:szCs w:val="21"/>
        </w:rPr>
        <w:t xml:space="preserve">7. Platform Sign-In, Authentication &amp; Access Governance</w:t>
      </w:r>
      <w:ptab w:alignment="right" w:relativeTo="margin" w:leader="dot"/>
      <w:r>
        <w:rPr>
          <w:rFonts w:ascii="Inter" w:cs="Inter" w:eastAsia="Inter" w:hAnsi="Inter"/>
          <w:b/>
          <w:bCs/>
          <w:color w:val="D4196A"/>
          <w:sz w:val="21"/>
          <w:szCs w:val="21"/>
        </w:rPr>
        <w:t xml:space="preserve">31</w:t>
      </w:r>
    </w:p>
    <w:p>
      <w:pPr>
        <w:spacing w:after="160"/>
      </w:pPr>
      <w:r>
        <w:rPr>
          <w:rFonts w:ascii="Inter" w:cs="Inter" w:eastAsia="Inter" w:hAnsi="Inter"/>
          <w:b/>
          <w:bCs/>
          <w:color w:val="111827"/>
          <w:sz w:val="21"/>
          <w:szCs w:val="21"/>
        </w:rPr>
        <w:t xml:space="preserve">8. Application Home Screens</w:t>
      </w:r>
      <w:ptab w:alignment="right" w:relativeTo="margin" w:leader="dot"/>
      <w:r>
        <w:rPr>
          <w:rFonts w:ascii="Inter" w:cs="Inter" w:eastAsia="Inter" w:hAnsi="Inter"/>
          <w:b/>
          <w:bCs/>
          <w:color w:val="D4196A"/>
          <w:sz w:val="21"/>
          <w:szCs w:val="21"/>
        </w:rPr>
        <w:t xml:space="preserve">35</w:t>
      </w:r>
    </w:p>
    <w:p>
      <w:pPr>
        <w:spacing w:after="160"/>
      </w:pPr>
      <w:r>
        <w:rPr>
          <w:rFonts w:ascii="Inter" w:cs="Inter" w:eastAsia="Inter" w:hAnsi="Inter"/>
          <w:b/>
          <w:bCs/>
          <w:color w:val="111827"/>
          <w:sz w:val="21"/>
          <w:szCs w:val="21"/>
        </w:rPr>
        <w:t xml:space="preserve">9. Shared Platform Services</w:t>
      </w:r>
      <w:ptab w:alignment="right" w:relativeTo="margin" w:leader="dot"/>
      <w:r>
        <w:rPr>
          <w:rFonts w:ascii="Inter" w:cs="Inter" w:eastAsia="Inter" w:hAnsi="Inter"/>
          <w:b/>
          <w:bCs/>
          <w:color w:val="D4196A"/>
          <w:sz w:val="21"/>
          <w:szCs w:val="21"/>
        </w:rPr>
        <w:t xml:space="preserve">37</w:t>
      </w:r>
    </w:p>
    <w:p>
      <w:pPr>
        <w:spacing w:after="160"/>
      </w:pPr>
      <w:r>
        <w:rPr>
          <w:rFonts w:ascii="Inter" w:cs="Inter" w:eastAsia="Inter" w:hAnsi="Inter"/>
          <w:b/>
          <w:bCs/>
          <w:color w:val="111827"/>
          <w:sz w:val="21"/>
          <w:szCs w:val="21"/>
        </w:rPr>
        <w:t xml:space="preserve">10. Workspace 1 — QA/QC &amp; Document Governance Report</w:t>
      </w:r>
      <w:ptab w:alignment="right" w:relativeTo="margin" w:leader="dot"/>
      <w:r>
        <w:rPr>
          <w:rFonts w:ascii="Inter" w:cs="Inter" w:eastAsia="Inter" w:hAnsi="Inter"/>
          <w:b/>
          <w:bCs/>
          <w:color w:val="D4196A"/>
          <w:sz w:val="21"/>
          <w:szCs w:val="21"/>
        </w:rPr>
        <w:t xml:space="preserve">46</w:t>
      </w:r>
    </w:p>
    <w:p>
      <w:pPr>
        <w:spacing w:after="160"/>
      </w:pPr>
      <w:r>
        <w:rPr>
          <w:rFonts w:ascii="Inter" w:cs="Inter" w:eastAsia="Inter" w:hAnsi="Inter"/>
          <w:b/>
          <w:bCs/>
          <w:color w:val="111827"/>
          <w:sz w:val="21"/>
          <w:szCs w:val="21"/>
        </w:rPr>
        <w:t xml:space="preserve">11. Workspace 2 — Lesson Learned Management</w:t>
      </w:r>
      <w:ptab w:alignment="right" w:relativeTo="margin" w:leader="dot"/>
      <w:r>
        <w:rPr>
          <w:rFonts w:ascii="Inter" w:cs="Inter" w:eastAsia="Inter" w:hAnsi="Inter"/>
          <w:b/>
          <w:bCs/>
          <w:color w:val="D4196A"/>
          <w:sz w:val="21"/>
          <w:szCs w:val="21"/>
        </w:rPr>
        <w:t xml:space="preserve">49</w:t>
      </w:r>
    </w:p>
    <w:p>
      <w:pPr>
        <w:spacing w:after="160"/>
      </w:pPr>
      <w:r>
        <w:rPr>
          <w:rFonts w:ascii="Inter" w:cs="Inter" w:eastAsia="Inter" w:hAnsi="Inter"/>
          <w:b/>
          <w:bCs/>
          <w:color w:val="111827"/>
          <w:sz w:val="21"/>
          <w:szCs w:val="21"/>
        </w:rPr>
        <w:t xml:space="preserve">12. Workspace 3 — QMS Audit Management</w:t>
      </w:r>
      <w:ptab w:alignment="right" w:relativeTo="margin" w:leader="dot"/>
      <w:r>
        <w:rPr>
          <w:rFonts w:ascii="Inter" w:cs="Inter" w:eastAsia="Inter" w:hAnsi="Inter"/>
          <w:b/>
          <w:bCs/>
          <w:color w:val="D4196A"/>
          <w:sz w:val="21"/>
          <w:szCs w:val="21"/>
        </w:rPr>
        <w:t xml:space="preserve">52</w:t>
      </w:r>
    </w:p>
    <w:p>
      <w:pPr>
        <w:spacing w:after="160"/>
      </w:pPr>
      <w:r>
        <w:rPr>
          <w:rFonts w:ascii="Inter" w:cs="Inter" w:eastAsia="Inter" w:hAnsi="Inter"/>
          <w:b/>
          <w:bCs/>
          <w:color w:val="111827"/>
          <w:sz w:val="21"/>
          <w:szCs w:val="21"/>
        </w:rPr>
        <w:t xml:space="preserve">13. Escalation &amp; SLA Pattern (Independently Configured per Workspace)</w:t>
      </w:r>
      <w:ptab w:alignment="right" w:relativeTo="margin" w:leader="dot"/>
      <w:r>
        <w:rPr>
          <w:rFonts w:ascii="Inter" w:cs="Inter" w:eastAsia="Inter" w:hAnsi="Inter"/>
          <w:b/>
          <w:bCs/>
          <w:color w:val="D4196A"/>
          <w:sz w:val="21"/>
          <w:szCs w:val="21"/>
        </w:rPr>
        <w:t xml:space="preserve">55</w:t>
      </w:r>
    </w:p>
    <w:p>
      <w:pPr>
        <w:spacing w:after="160"/>
      </w:pPr>
      <w:r>
        <w:rPr>
          <w:rFonts w:ascii="Inter" w:cs="Inter" w:eastAsia="Inter" w:hAnsi="Inter"/>
          <w:b/>
          <w:bCs/>
          <w:color w:val="111827"/>
          <w:sz w:val="21"/>
          <w:szCs w:val="21"/>
        </w:rPr>
        <w:t xml:space="preserve">14. Technical Architecture</w:t>
      </w:r>
      <w:ptab w:alignment="right" w:relativeTo="margin" w:leader="dot"/>
      <w:r>
        <w:rPr>
          <w:rFonts w:ascii="Inter" w:cs="Inter" w:eastAsia="Inter" w:hAnsi="Inter"/>
          <w:b/>
          <w:bCs/>
          <w:color w:val="D4196A"/>
          <w:sz w:val="21"/>
          <w:szCs w:val="21"/>
        </w:rPr>
        <w:t xml:space="preserve">56</w:t>
      </w:r>
    </w:p>
    <w:p>
      <w:pPr>
        <w:spacing w:after="160"/>
      </w:pPr>
      <w:r>
        <w:rPr>
          <w:rFonts w:ascii="Inter" w:cs="Inter" w:eastAsia="Inter" w:hAnsi="Inter"/>
          <w:b/>
          <w:bCs/>
          <w:color w:val="111827"/>
          <w:sz w:val="21"/>
          <w:szCs w:val="21"/>
        </w:rPr>
        <w:t xml:space="preserve">15. Data Model Overview</w:t>
      </w:r>
      <w:ptab w:alignment="right" w:relativeTo="margin" w:leader="dot"/>
      <w:r>
        <w:rPr>
          <w:rFonts w:ascii="Inter" w:cs="Inter" w:eastAsia="Inter" w:hAnsi="Inter"/>
          <w:b/>
          <w:bCs/>
          <w:color w:val="D4196A"/>
          <w:sz w:val="21"/>
          <w:szCs w:val="21"/>
        </w:rPr>
        <w:t xml:space="preserve">65</w:t>
      </w:r>
    </w:p>
    <w:p>
      <w:pPr>
        <w:spacing w:after="160"/>
      </w:pPr>
      <w:r>
        <w:rPr>
          <w:rFonts w:ascii="Inter" w:cs="Inter" w:eastAsia="Inter" w:hAnsi="Inter"/>
          <w:b/>
          <w:bCs/>
          <w:color w:val="111827"/>
          <w:sz w:val="21"/>
          <w:szCs w:val="21"/>
        </w:rPr>
        <w:t xml:space="preserve">16. Non-Functional Requirements</w:t>
      </w:r>
      <w:ptab w:alignment="right" w:relativeTo="margin" w:leader="dot"/>
      <w:r>
        <w:rPr>
          <w:rFonts w:ascii="Inter" w:cs="Inter" w:eastAsia="Inter" w:hAnsi="Inter"/>
          <w:b/>
          <w:bCs/>
          <w:color w:val="D4196A"/>
          <w:sz w:val="21"/>
          <w:szCs w:val="21"/>
        </w:rPr>
        <w:t xml:space="preserve">68</w:t>
      </w:r>
    </w:p>
    <w:p>
      <w:pPr>
        <w:spacing w:after="160"/>
      </w:pPr>
      <w:r>
        <w:rPr>
          <w:rFonts w:ascii="Inter" w:cs="Inter" w:eastAsia="Inter" w:hAnsi="Inter"/>
          <w:b/>
          <w:bCs/>
          <w:color w:val="111827"/>
          <w:sz w:val="21"/>
          <w:szCs w:val="21"/>
        </w:rPr>
        <w:t xml:space="preserve">17. Standard Enterprise Feature Checklist</w:t>
      </w:r>
      <w:ptab w:alignment="right" w:relativeTo="margin" w:leader="dot"/>
      <w:r>
        <w:rPr>
          <w:rFonts w:ascii="Inter" w:cs="Inter" w:eastAsia="Inter" w:hAnsi="Inter"/>
          <w:b/>
          <w:bCs/>
          <w:color w:val="D4196A"/>
          <w:sz w:val="21"/>
          <w:szCs w:val="21"/>
        </w:rPr>
        <w:t xml:space="preserve">69</w:t>
      </w:r>
    </w:p>
    <w:p>
      <w:pPr>
        <w:spacing w:after="160"/>
      </w:pPr>
      <w:r>
        <w:rPr>
          <w:rFonts w:ascii="Inter" w:cs="Inter" w:eastAsia="Inter" w:hAnsi="Inter"/>
          <w:b/>
          <w:bCs/>
          <w:color w:val="111827"/>
          <w:sz w:val="21"/>
          <w:szCs w:val="21"/>
        </w:rPr>
        <w:t xml:space="preserve">18. RBAC Permission Matrix</w:t>
      </w:r>
      <w:ptab w:alignment="right" w:relativeTo="margin" w:leader="dot"/>
      <w:r>
        <w:rPr>
          <w:rFonts w:ascii="Inter" w:cs="Inter" w:eastAsia="Inter" w:hAnsi="Inter"/>
          <w:b/>
          <w:bCs/>
          <w:color w:val="D4196A"/>
          <w:sz w:val="21"/>
          <w:szCs w:val="21"/>
        </w:rPr>
        <w:t xml:space="preserve">71</w:t>
      </w:r>
    </w:p>
    <w:p>
      <w:pPr>
        <w:spacing w:after="160"/>
      </w:pPr>
      <w:r>
        <w:rPr>
          <w:rFonts w:ascii="Inter" w:cs="Inter" w:eastAsia="Inter" w:hAnsi="Inter"/>
          <w:b/>
          <w:bCs/>
          <w:color w:val="111827"/>
          <w:sz w:val="21"/>
          <w:szCs w:val="21"/>
        </w:rPr>
        <w:t xml:space="preserve">19. Reports &amp; Dashboards Master List</w:t>
      </w:r>
      <w:ptab w:alignment="right" w:relativeTo="margin" w:leader="dot"/>
      <w:r>
        <w:rPr>
          <w:rFonts w:ascii="Inter" w:cs="Inter" w:eastAsia="Inter" w:hAnsi="Inter"/>
          <w:b/>
          <w:bCs/>
          <w:color w:val="D4196A"/>
          <w:sz w:val="21"/>
          <w:szCs w:val="21"/>
        </w:rPr>
        <w:t xml:space="preserve">72</w:t>
      </w:r>
    </w:p>
    <w:p>
      <w:pPr>
        <w:spacing w:after="160"/>
      </w:pPr>
      <w:r>
        <w:rPr>
          <w:rFonts w:ascii="Inter" w:cs="Inter" w:eastAsia="Inter" w:hAnsi="Inter"/>
          <w:b/>
          <w:bCs/>
          <w:color w:val="111827"/>
          <w:sz w:val="21"/>
          <w:szCs w:val="21"/>
        </w:rPr>
        <w:t xml:space="preserve">20. Assumptions &amp; Dependencies</w:t>
      </w:r>
      <w:ptab w:alignment="right" w:relativeTo="margin" w:leader="dot"/>
      <w:r>
        <w:rPr>
          <w:rFonts w:ascii="Inter" w:cs="Inter" w:eastAsia="Inter" w:hAnsi="Inter"/>
          <w:b/>
          <w:bCs/>
          <w:color w:val="D4196A"/>
          <w:sz w:val="21"/>
          <w:szCs w:val="21"/>
        </w:rPr>
        <w:t xml:space="preserve">73</w:t>
      </w:r>
    </w:p>
    <w:p>
      <w:pPr>
        <w:spacing w:after="160"/>
      </w:pPr>
      <w:r>
        <w:rPr>
          <w:rFonts w:ascii="Inter" w:cs="Inter" w:eastAsia="Inter" w:hAnsi="Inter"/>
          <w:b/>
          <w:bCs/>
          <w:color w:val="111827"/>
          <w:sz w:val="21"/>
          <w:szCs w:val="21"/>
        </w:rPr>
        <w:t xml:space="preserve">21. Delivery Plan</w:t>
      </w:r>
      <w:ptab w:alignment="right" w:relativeTo="margin" w:leader="dot"/>
      <w:r>
        <w:rPr>
          <w:rFonts w:ascii="Inter" w:cs="Inter" w:eastAsia="Inter" w:hAnsi="Inter"/>
          <w:b/>
          <w:bCs/>
          <w:color w:val="D4196A"/>
          <w:sz w:val="21"/>
          <w:szCs w:val="21"/>
        </w:rPr>
        <w:t xml:space="preserve">75</w:t>
      </w:r>
    </w:p>
    <w:p>
      <w:pPr>
        <w:spacing w:after="160"/>
      </w:pPr>
      <w:r>
        <w:rPr>
          <w:rFonts w:ascii="Inter" w:cs="Inter" w:eastAsia="Inter" w:hAnsi="Inter"/>
          <w:b/>
          <w:bCs/>
          <w:color w:val="111827"/>
          <w:sz w:val="21"/>
          <w:szCs w:val="21"/>
        </w:rPr>
        <w:t xml:space="preserve">22. Client Queries — Round 2 Clarifications &amp; Change Requests</w:t>
      </w:r>
      <w:ptab w:alignment="right" w:relativeTo="margin" w:leader="dot"/>
      <w:r>
        <w:rPr>
          <w:rFonts w:ascii="Inter" w:cs="Inter" w:eastAsia="Inter" w:hAnsi="Inter"/>
          <w:b/>
          <w:bCs/>
          <w:color w:val="D4196A"/>
          <w:sz w:val="21"/>
          <w:szCs w:val="21"/>
        </w:rPr>
        <w:t xml:space="preserve">78</w:t>
      </w:r>
    </w:p>
    <w:p>
      <w:pPr>
        <w:spacing w:after="160"/>
      </w:pPr>
      <w:r>
        <w:rPr>
          <w:rFonts w:ascii="Inter" w:cs="Inter" w:eastAsia="Inter" w:hAnsi="Inter"/>
          <w:b/>
          <w:bCs/>
          <w:color w:val="111827"/>
          <w:sz w:val="21"/>
          <w:szCs w:val="21"/>
        </w:rPr>
        <w:t xml:space="preserve">23. Internal Design Review — Architecture Corrections &amp; Change Requests (Round 3)</w:t>
      </w:r>
      <w:ptab w:alignment="right" w:relativeTo="margin" w:leader="dot"/>
      <w:r>
        <w:rPr>
          <w:rFonts w:ascii="Inter" w:cs="Inter" w:eastAsia="Inter" w:hAnsi="Inter"/>
          <w:b/>
          <w:bCs/>
          <w:color w:val="D4196A"/>
          <w:sz w:val="21"/>
          <w:szCs w:val="21"/>
        </w:rPr>
        <w:t xml:space="preserve">80</w:t>
      </w:r>
    </w:p>
    <w:p>
      <w:pPr>
        <w:spacing w:after="160"/>
      </w:pPr>
      <w:r>
        <w:rPr>
          <w:rFonts w:ascii="Inter" w:cs="Inter" w:eastAsia="Inter" w:hAnsi="Inter"/>
          <w:b/>
          <w:bCs/>
          <w:color w:val="111827"/>
          <w:sz w:val="21"/>
          <w:szCs w:val="21"/>
        </w:rPr>
        <w:t xml:space="preserve">24. Document Review &amp; Approval</w:t>
      </w:r>
      <w:ptab w:alignment="right" w:relativeTo="margin" w:leader="dot"/>
      <w:r>
        <w:rPr>
          <w:rFonts w:ascii="Inter" w:cs="Inter" w:eastAsia="Inter" w:hAnsi="Inter"/>
          <w:b/>
          <w:bCs/>
          <w:color w:val="D4196A"/>
          <w:sz w:val="21"/>
          <w:szCs w:val="21"/>
        </w:rPr>
        <w:t xml:space="preserve">82</w:t>
      </w:r>
    </w:p>
    <w:p>
      <w:r>
        <w:br w:type="page"/>
      </w:r>
    </w:p>
    <w:p>
      <w:pPr>
        <w:pStyle w:val="Heading1"/>
        <w:pBdr>
          <w:bottom w:val="single" w:color="D4196A" w:sz="10" w:space="6"/>
        </w:pBdr>
        <w:spacing w:after="220" w:before="480"/>
      </w:pPr>
      <w:r>
        <w:rPr>
          <w:rFonts w:ascii="Inter" w:cs="Inter" w:eastAsia="Inter" w:hAnsi="Inter"/>
          <w:b/>
          <w:bCs/>
          <w:color w:val="111827"/>
          <w:sz w:val="32"/>
          <w:szCs w:val="32"/>
        </w:rPr>
        <w:t xml:space="preserve">1. Executive Summary</w:t>
      </w:r>
    </w:p>
    <w:p>
      <w:pPr>
        <w:spacing w:after="160" w:before="0" w:line="276"/>
        <w:jc w:val="left"/>
      </w:pPr>
      <w:r>
        <w:rPr>
          <w:rFonts w:ascii="Inter" w:cs="Inter" w:eastAsia="Inter" w:hAnsi="Inter"/>
          <w:b w:val="false"/>
          <w:bCs w:val="false"/>
          <w:i w:val="false"/>
          <w:iCs w:val="false"/>
          <w:color w:val="111827"/>
          <w:sz w:val="21"/>
          <w:szCs w:val="21"/>
        </w:rPr>
        <w:t xml:space="preserve">Algihaz today runs three separate, largely manual quality processes: the monthly QA/QC and Document Governance report, the Lesson Learned form, and the ISO 9001:2015 internal audit programme. Each was scoped as its own Statement of Work; each depends on Excel, email and individual effort to move forward; and none of the three talk to each other or to a common set of users, roles and controls.</w:t>
      </w:r>
    </w:p>
    <w:p>
      <w:pPr>
        <w:spacing w:after="160" w:before="0" w:line="276"/>
        <w:jc w:val="left"/>
      </w:pPr>
      <w:r>
        <w:rPr>
          <w:rFonts w:ascii="Inter" w:cs="Inter" w:eastAsia="Inter" w:hAnsi="Inter"/>
          <w:b w:val="false"/>
          <w:bCs w:val="false"/>
          <w:i w:val="false"/>
          <w:iCs w:val="false"/>
          <w:color w:val="111827"/>
          <w:sz w:val="21"/>
          <w:szCs w:val="21"/>
        </w:rPr>
        <w:t xml:space="preserve">QMS360 is the umbrella name for three separate, purpose-built applications — QA/QC &amp; Document Governance, Lesson Learned, and QMS Audit — each independently launched, each with its own entry point, and each independently administered: its own RBAC and role management, its own workflow and escalation configuration, its own AI Settings &amp; Controls, its own Notification Center and its own Audit &amp; Compliance Log. None of these five are shared or configured from one common screen — building each of them three times, once per application, is a deliberate architecture decision confirmed in internal design review, not an oversight. What genuinely is shared, and built once, is a thin common layer: a single sign-on hand-off from Algihaz’s platform, one common QMS360 landing page (System Overview, Executive Page and Project Sync View) reached immediately after sign-in and before entering any of the three applications, the Project &amp; Master Data sync from Algihaz’s platform, and the Integration Cockpit that connects every application to the outside world (Section 3.3, Section 9). Per the architecture confirmed jointly with Algihaz’s own platform engineering team, each application receives only a username and project name from Algihaz’s platform — every role, whether organisation-wide (Super Admin, Org Admin) or application-specific (Creator, Approver, Auditor), is defined and assigned entirely inside that specific application.</w:t>
      </w:r>
    </w:p>
    <w:p>
      <w:pPr>
        <w:spacing w:after="160" w:before="0" w:line="276"/>
        <w:jc w:val="left"/>
      </w:pPr>
      <w:r>
        <w:rPr>
          <w:rFonts w:ascii="Inter" w:cs="Inter" w:eastAsia="Inter" w:hAnsi="Inter"/>
          <w:b w:val="false"/>
          <w:bCs w:val="false"/>
          <w:i w:val="false"/>
          <w:iCs w:val="false"/>
          <w:color w:val="111827"/>
          <w:sz w:val="21"/>
          <w:szCs w:val="21"/>
        </w:rPr>
        <w:t xml:space="preserve">This document is the product and technical design for that program. It preserves every business rule already agreed in the three BRDs — field lists, calculations, escalation matrices, role responsibilities — and adds what is needed to ship them as three properly governed applications rather than three disconnected tools: platform-integrated sign-in with real-time username/project sync, delegation of authority for leave coverage, a Role-Based Access Control (RBAC) model with system default personas, and a technical architecture built quickly on Replit for development and UAT, then deployed into Algihaz’s existing application platform for production — remaining scalable and portable, and ready for a growing cluster of future QMS applications, as adoption grows.</w:t>
      </w:r>
    </w:p>
    <w:p>
      <w:pPr>
        <w:pStyle w:val="Heading2"/>
        <w:spacing w:after="160" w:before="340"/>
      </w:pPr>
      <w:r>
        <w:rPr>
          <w:rFonts w:ascii="Inter" w:cs="Inter" w:eastAsia="Inter" w:hAnsi="Inter"/>
          <w:b/>
          <w:bCs/>
          <w:color w:val="D4196A"/>
          <w:sz w:val="25"/>
          <w:szCs w:val="25"/>
        </w:rPr>
        <w:t xml:space="preserve">1.1 What Algihaz is validating in this document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three-application product structure — each independently launched, each with its own RBAC, workflow/escalation configuration, AI Settings, Notification Center and Audit &amp; Compliance Log, built and administered separately, three times over — and the thin common layer all three sit behind: sign-on hand-off, the common landing page, Project &amp; Master Data Sync, and the Integration Cockpit (Section 3.3, Section 9).</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How QMS360 plugs into the existing Algihaz Platform for sign-in and identity, the real-time username/project sync model, the identity/access-mapping table that determines which application a username can open, and the delegation-of-access model.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system default roles and personas, including the Super Admin persona with full access.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application home screen pattern used by all three applications, shown as a visual mockup.</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technical architecture proposed for a fast Replit-based build that deploys cleanly into Algihaz’s existing application platform, without compromising enterprise scalability or security.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standard enterprise-grade features layered on top of the three BRDs (notifications, audit trail, offline mobile capture, exports, multilingual support, AI-native prompt-driven data entry, and more).</w:t>
      </w:r>
    </w:p>
    <w:p>
      <w:pPr>
        <w:pStyle w:val="Heading2"/>
        <w:spacing w:after="160" w:before="340"/>
      </w:pPr>
      <w:r>
        <w:rPr>
          <w:rFonts w:ascii="Inter" w:cs="Inter" w:eastAsia="Inter" w:hAnsi="Inter"/>
          <w:b/>
          <w:bCs/>
          <w:color w:val="D4196A"/>
          <w:sz w:val="25"/>
          <w:szCs w:val="25"/>
        </w:rPr>
        <w:t xml:space="preserve">1.2 Document Traceability</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4400"/>
        <w:gridCol w:w="2200"/>
        <w:gridCol w:w="2760"/>
      </w:tblGrid>
      <w:tr>
        <w:trPr>
          <w:cantSplit/>
          <w:tblHeader/>
        </w:trPr>
        <w:tc>
          <w:tcPr>
            <w:tcW w:type="dxa" w:w="4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Source BRD</w:t>
            </w:r>
          </w:p>
        </w:tc>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Reference</w:t>
            </w:r>
          </w:p>
        </w:tc>
        <w:tc>
          <w:tcPr>
            <w:tcW w:type="dxa" w:w="2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Consumed Into</w:t>
            </w:r>
          </w:p>
        </w:tc>
      </w:tr>
      <w:tr>
        <w:trPr>
          <w:cantSplit/>
        </w:trPr>
        <w:tc>
          <w:tcPr>
            <w:tcW w:type="dxa" w:w="4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SOW – Business Requirements Document | Quality and Document Governance Report</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SOW-QMS-V4, v6.0, 18-08-2026</w:t>
            </w:r>
          </w:p>
        </w:tc>
        <w:tc>
          <w:tcPr>
            <w:tcW w:type="dxa" w:w="2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Workspace 1 — QA/QC &amp; Document Governance Report</w:t>
            </w:r>
          </w:p>
        </w:tc>
      </w:tr>
      <w:tr>
        <w:trPr>
          <w:cantSplit/>
        </w:trPr>
        <w:tc>
          <w:tcPr>
            <w:tcW w:type="dxa" w:w="4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SOW – Business Requirements Document | Lesson Learned Form</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Lesson Learned Form-SOW-V2, v2.0, 02-07-2026</w:t>
            </w:r>
          </w:p>
        </w:tc>
        <w:tc>
          <w:tcPr>
            <w:tcW w:type="dxa" w:w="2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Workspace 2 — Lesson Learned Management</w:t>
            </w:r>
          </w:p>
        </w:tc>
      </w:tr>
      <w:tr>
        <w:trPr>
          <w:cantSplit/>
        </w:trPr>
        <w:tc>
          <w:tcPr>
            <w:tcW w:type="dxa" w:w="4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SOW – Business Requirements Document | QMS Audit Solution</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QMS-SOW-V2, v2.0, 17-06-2026</w:t>
            </w:r>
          </w:p>
        </w:tc>
        <w:tc>
          <w:tcPr>
            <w:tcW w:type="dxa" w:w="2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Workspace 3 — QMS Audit Management</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2. Business Context &amp; Problem Statement</w:t>
      </w:r>
    </w:p>
    <w:p>
      <w:pPr>
        <w:spacing w:after="160" w:before="0" w:line="276"/>
        <w:jc w:val="left"/>
      </w:pPr>
      <w:r>
        <w:rPr>
          <w:rFonts w:ascii="Inter" w:cs="Inter" w:eastAsia="Inter" w:hAnsi="Inter"/>
          <w:b w:val="false"/>
          <w:bCs w:val="false"/>
          <w:i w:val="false"/>
          <w:iCs w:val="false"/>
          <w:color w:val="111827"/>
          <w:sz w:val="21"/>
          <w:szCs w:val="21"/>
        </w:rPr>
        <w:t xml:space="preserve">All three BRDs describe the same underlying problem from a different angle: quality-critical information lives in spreadsheets, email threads and individual memory instead of a system of record. Consolidated across the three source documents, the recurring pain points are: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560"/>
        <w:gridCol w:w="1940"/>
        <w:gridCol w:w="3400"/>
        <w:gridCol w:w="3460"/>
      </w:tblGrid>
      <w:tr>
        <w:trPr>
          <w:cantSplit/>
          <w:tblHeader/>
        </w:trPr>
        <w:tc>
          <w:tcPr>
            <w:tcW w:type="dxa" w:w="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t>
            </w:r>
          </w:p>
        </w:tc>
        <w:tc>
          <w:tcPr>
            <w:tcW w:type="dxa" w:w="194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Theme</w:t>
            </w:r>
          </w:p>
        </w:tc>
        <w:tc>
          <w:tcPr>
            <w:tcW w:type="dxa" w:w="3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Current State Pain Point</w:t>
            </w:r>
          </w:p>
        </w:tc>
        <w:tc>
          <w:tcPr>
            <w:tcW w:type="dxa" w:w="34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Business Impact</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Manual data collection</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QAQC, audit and lesson-learned data are typed by hand from multiple registers into Excel each month.</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High effort, high risk of transcription error, no real-time visibility.</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Manual calculation</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KPIs (closure rate, PQI, variance) are computed with hand-built Excel formulas.</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single broken formula silently corrupts a monthly report.</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Fragmented history</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Historical figures must be manually looked up and re-entered every cycle.</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Growing manual burden; no reliable trend data.</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4</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Manual approval &amp; distribution</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Reports are approved and circulated by email with no trace of who approved what, when.</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Approval delay is invisible until a client escalates.</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 centralised visibility</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Dashboards do not exist; leadership sees a static report weeks after the fact.</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Reactive rather than proactive quality management.</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6</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Untrackable references</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Lesson Learned reference numbers can be duplicated by hand.</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Same reference used twice; data integrity compromised.</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7</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Forgeable metadata</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Date/location on forms are typed by the user, not captured by the system.</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Compliance and audit-defensibility risk.</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8</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 searchable knowledge base</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Lessons learned and audit findings are not centrally searchable across projects.</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same root cause repeats on other sites.</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9</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Manual audit scheduling &amp; memo distribution</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Annual audit schedules and audit memos are built and circulated manually.</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Slow cycle time from planning to execution.</w:t>
            </w:r>
          </w:p>
        </w:tc>
      </w:tr>
      <w:tr>
        <w:trPr>
          <w:cantSplit/>
        </w:trPr>
        <w:tc>
          <w:tcPr>
            <w:tcW w:type="dxa" w:w="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10</w:t>
            </w:r>
          </w:p>
        </w:tc>
        <w:tc>
          <w:tcPr>
            <w:tcW w:type="dxa" w:w="194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 systemic escalation</w:t>
            </w:r>
          </w:p>
        </w:tc>
        <w:tc>
          <w:tcPr>
            <w:tcW w:type="dxa" w:w="3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Corrective actions and pending approvals depend on someone remembering to chase them.</w:t>
            </w:r>
          </w:p>
        </w:tc>
        <w:tc>
          <w:tcPr>
            <w:tcW w:type="dxa" w:w="3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Non-conformances remain open past their SLA unnoticed.</w:t>
            </w:r>
          </w:p>
        </w:tc>
      </w:tr>
    </w:tbl>
    <w:p>
      <w:pPr>
        <w:pStyle w:val="Heading2"/>
        <w:spacing w:after="160" w:before="340"/>
      </w:pPr>
      <w:r>
        <w:rPr>
          <w:rFonts w:ascii="Inter" w:cs="Inter" w:eastAsia="Inter" w:hAnsi="Inter"/>
          <w:b/>
          <w:bCs/>
          <w:color w:val="D4196A"/>
          <w:sz w:val="25"/>
          <w:szCs w:val="25"/>
        </w:rPr>
        <w:t xml:space="preserve">2.1 Why a shared foundation, even as three separate applications</w:t>
      </w:r>
    </w:p>
    <w:p>
      <w:pPr>
        <w:spacing w:after="160" w:before="0" w:line="276"/>
        <w:jc w:val="left"/>
      </w:pPr>
      <w:r>
        <w:rPr>
          <w:rFonts w:ascii="Inter" w:cs="Inter" w:eastAsia="Inter" w:hAnsi="Inter"/>
          <w:b w:val="false"/>
          <w:bCs w:val="false"/>
          <w:i w:val="false"/>
          <w:iCs w:val="false"/>
          <w:color w:val="111827"/>
          <w:sz w:val="21"/>
          <w:szCs w:val="21"/>
        </w:rPr>
        <w:t xml:space="preserve">Each of the three is delivered as its own separate application, independently launched and independently administered (Section 3.2) — corrected in internal design review to mean exactly that: RBAC, workflow/escalation configuration, AI Settings &amp; Controls, the Notification Center and the Audit &amp; Compliance Log are each built and configured three times, once per application, with no shared configuration screen across them. What is shared is deliberately narrow — just enough that Algihaz is not re-solving the same identity and integration problem three times, without pulling the three applications’ own administration back into one place.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One identity layer, applied independently. </w:t>
      </w:r>
      <w:r>
        <w:rPr>
          <w:rFonts w:ascii="Inter" w:cs="Inter" w:eastAsia="Inter" w:hAnsi="Inter"/>
          <w:b w:val="false"/>
          <w:bCs w:val="false"/>
          <w:i w:val="false"/>
          <w:iCs w:val="false"/>
          <w:color w:val="111827"/>
          <w:sz w:val="21"/>
          <w:szCs w:val="21"/>
        </w:rPr>
        <w:t xml:space="preserve">A person exists once in Algihaz’s platform. Without a shared identity layer, Algihaz would re-confirm the same employee’s existence three separate times, in three separate systems. QMS360’s shared username/project sync, plus a single identity/access-mapping table confirming which of the three applications a username may open (Section 3.3, Section 21.5), means that lookup happens once — even though each application still defines, assigns and administers its own roles entirely independently, with no shared RBAC screen.</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One reusable escalation pattern, three independent configurations. </w:t>
      </w:r>
      <w:r>
        <w:rPr>
          <w:rFonts w:ascii="Inter" w:cs="Inter" w:eastAsia="Inter" w:hAnsi="Inter"/>
          <w:b w:val="false"/>
          <w:bCs w:val="false"/>
          <w:i w:val="false"/>
          <w:iCs w:val="false"/>
          <w:color w:val="111827"/>
          <w:sz w:val="21"/>
          <w:szCs w:val="21"/>
        </w:rPr>
        <w:t xml:space="preserve">All three BRDs independently define near-identical escalation logic (SLA breach → reminder → upgrade). The underlying timer/reconciliation logic is written once as a shared library so it is not hand-built three times (Section 13), but each application owns its own escalation matrix, its own SLA values and its own configuration screen inside its own Settings — there is no cross-application escalation settings screen, and changing one application’s rules never touches the other two.</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One integration surface. </w:t>
      </w:r>
      <w:r>
        <w:rPr>
          <w:rFonts w:ascii="Inter" w:cs="Inter" w:eastAsia="Inter" w:hAnsi="Inter"/>
          <w:b w:val="false"/>
          <w:bCs w:val="false"/>
          <w:i w:val="false"/>
          <w:iCs w:val="false"/>
          <w:color w:val="111827"/>
          <w:sz w:val="21"/>
          <w:szCs w:val="21"/>
        </w:rPr>
        <w:t xml:space="preserve">The connector framework that links every application back to Algihaz’s platform, to email, to the AI provider and to Oracle ADW is common to all three — a single Integration Cockpit avoids three bespoke integration efforts (Section 9.2).</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AI Settings &amp; Controls, independently owned. </w:t>
      </w:r>
      <w:r>
        <w:rPr>
          <w:rFonts w:ascii="Inter" w:cs="Inter" w:eastAsia="Inter" w:hAnsi="Inter"/>
          <w:b w:val="false"/>
          <w:bCs w:val="false"/>
          <w:i w:val="false"/>
          <w:iCs w:val="false"/>
          <w:color w:val="111827"/>
          <w:sz w:val="21"/>
          <w:szCs w:val="21"/>
        </w:rPr>
        <w:t xml:space="preserve">Two of the three BRDs specify AI-assisted drafting (Quality Assessment Brief, Lesson Learned rephrasing) with mandatory human review. Each application that uses AI has its own AI Settings &amp; Controls screen, its own feature toggles and its own audit log — there is no shared AI governance screen across applications, only a shared underlying AI orchestration client (Section 14.5) so the integration to the LLM provider is not rebuilt per application.</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One common landing page, not a shared admin core. </w:t>
      </w:r>
      <w:r>
        <w:rPr>
          <w:rFonts w:ascii="Inter" w:cs="Inter" w:eastAsia="Inter" w:hAnsi="Inter"/>
          <w:b w:val="false"/>
          <w:bCs w:val="false"/>
          <w:i w:val="false"/>
          <w:iCs w:val="false"/>
          <w:color w:val="111827"/>
          <w:sz w:val="21"/>
          <w:szCs w:val="21"/>
        </w:rPr>
        <w:t xml:space="preserve">A BU Head or Director signing in reaches one common QMS360 landing page before choosing which application to open — System Overview, an Executive Page consolidating quality health across all three, and a Project Sync view (Section 3.3). This is a shared front door and a shared read-only summary view, not a shared administration layer — nothing about how any one application is configured lives on this page.</w:t>
      </w:r>
    </w:p>
    <w:p>
      <w:pPr>
        <w:pStyle w:val="Heading1"/>
        <w:pBdr>
          <w:bottom w:val="single" w:color="D4196A" w:sz="10" w:space="6"/>
        </w:pBdr>
        <w:spacing w:after="220" w:before="480"/>
      </w:pPr>
      <w:r>
        <w:rPr>
          <w:rFonts w:ascii="Inter" w:cs="Inter" w:eastAsia="Inter" w:hAnsi="Inter"/>
          <w:b/>
          <w:bCs/>
          <w:color w:val="111827"/>
          <w:sz w:val="32"/>
          <w:szCs w:val="32"/>
        </w:rPr>
        <w:t xml:space="preserve">3. Product Vision &amp; Design Principles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4196A" w:sz="4"/>
              <w:left w:val="single" w:color="D4196A" w:sz="24"/>
              <w:bottom w:val="single" w:color="D4196A" w:sz="4"/>
              <w:right w:val="single" w:color="D4196A" w:sz="4"/>
            </w:tcBorders>
            <w:shd w:fill="F6F7F8" w:color="auto" w:val="clear"/>
            <w:tcMar>
              <w:top w:type="dxa" w:w="160"/>
              <w:left w:type="dxa" w:w="200"/>
              <w:bottom w:type="dxa" w:w="160"/>
              <w:right w:type="dxa" w:w="200"/>
            </w:tcMar>
          </w:tcPr>
          <w:p>
            <w:pPr>
              <w:spacing w:after="80"/>
            </w:pPr>
            <w:r>
              <w:rPr>
                <w:rFonts w:ascii="Inter" w:cs="Inter" w:eastAsia="Inter" w:hAnsi="Inter"/>
                <w:b/>
                <w:bCs/>
                <w:color w:val="D4196A"/>
                <w:sz w:val="20"/>
                <w:szCs w:val="20"/>
              </w:rPr>
              <w:t xml:space="preserve">Vision statement</w:t>
            </w:r>
          </w:p>
          <w:p>
            <w:pPr>
              <w:spacing w:after="60" w:line="260"/>
            </w:pPr>
            <w:r>
              <w:rPr>
                <w:rFonts w:ascii="Inter" w:cs="Inter" w:eastAsia="Inter" w:hAnsi="Inter"/>
                <w:color w:val="111827"/>
                <w:sz w:val="19"/>
                <w:szCs w:val="19"/>
              </w:rPr>
              <w:t xml:space="preserve">“One governed platform where every Algihaz quality signal — a metric, a lesson, a finding — is captured once, calculated automatically, routed to the right person, and never silently lost.”</w:t>
            </w:r>
          </w:p>
        </w:tc>
      </w:tr>
    </w:tbl>
    <w:p>
      <w:pPr>
        <w:pStyle w:val="Heading2"/>
        <w:spacing w:after="160" w:before="340"/>
      </w:pPr>
      <w:r>
        <w:rPr>
          <w:rFonts w:ascii="Inter" w:cs="Inter" w:eastAsia="Inter" w:hAnsi="Inter"/>
          <w:b/>
          <w:bCs/>
          <w:color w:val="D4196A"/>
          <w:sz w:val="25"/>
          <w:szCs w:val="25"/>
        </w:rPr>
        <w:t xml:space="preserve">3.1 Design Principles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6960"/>
      </w:tblGrid>
      <w:tr>
        <w:trPr>
          <w:cantSplit/>
          <w:tblHeader/>
        </w:trPr>
        <w:tc>
          <w:tcPr>
            <w:tcW w:type="dxa" w:w="2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Principle</w:t>
            </w:r>
          </w:p>
        </w:tc>
        <w:tc>
          <w:tcPr>
            <w:tcW w:type="dxa" w:w="69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What it means in QMS360</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Separate applications, independently administered</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Each BRD becomes its own independently-launched application, with its own RBAC, its own workflow/escalation configuration, its own AI Settings, its own Notification Center and its own Audit &amp; Compliance Log — built and configured three times over, once per application. Only the sign-on hand-off, the common landing page, Project &amp; Master Data Sync and the Integration Cockpit are genuinely shared (Section 3.3); the look-and-feel is shared because all three are built from the same design system, not because they are administered from one place.</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Configure, don’t hard-code</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Target %, escalation SLAs, dropdown masters, distribution lists and report templates are all admin-configurable, so onboarding a new project or department never needs a code change.</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Zero re-typing</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Anything the system already knows (previous month’s figures, project master data, user identity, GPS, date/time) is auto-filled and read-only — matching the "reduce manual textual input" objective in all three BRDs.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Human-in-the-loop AI</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AI drafts and rephrases; a named human always reviews, edits or rejects before submission. Every AI interaction is logged for audit, exactly as specified in the source BRDs.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Approve once, escalate automatically</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 report or finding depends on someone remembering to follow up — the escalation engine owns that.</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Mobile-field-ready</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Site-based roles (Document Controller, Auditor, Form Creator) get a fully responsive, installable Progressive Web App with camera and GPS capture from any mobile browser and IndexedDB-cached reference data for offline viewing (Section 14.4); true no-signal offline transaction capture and deep native/container packaging remain a future retrofit built by Algihaz on the same APIs.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Enterprise-grade from day one</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Even though development is fast on Replit and the application deploys into Algihaz’s existing platform for production, security, RBAC, audit logging and data architecture are designed to the standard of a permanent enterprise system from the first release — not a prototype that gets rebuilt later.</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Built to extend</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New applications on the QMS cluster, new BUs, or a second Algihaz group company should be additive, not a re-architecture.</w:t>
            </w:r>
          </w:p>
        </w:tc>
      </w:tr>
    </w:tbl>
    <w:p>
      <w:pPr>
        <w:pStyle w:val="Heading2"/>
        <w:spacing w:after="160" w:before="340"/>
      </w:pPr>
      <w:r>
        <w:rPr>
          <w:rFonts w:ascii="Inter" w:cs="Inter" w:eastAsia="Inter" w:hAnsi="Inter"/>
          <w:b/>
          <w:bCs/>
          <w:color w:val="D4196A"/>
          <w:sz w:val="25"/>
          <w:szCs w:val="25"/>
        </w:rPr>
        <w:t xml:space="preserve">3.2 Platform Integration Model</w:t>
      </w:r>
    </w:p>
    <w:p>
      <w:pPr>
        <w:spacing w:after="160" w:before="0" w:line="276"/>
        <w:jc w:val="left"/>
      </w:pPr>
      <w:r>
        <w:rPr>
          <w:rFonts w:ascii="Inter" w:cs="Inter" w:eastAsia="Inter" w:hAnsi="Inter"/>
          <w:b w:val="false"/>
          <w:bCs w:val="false"/>
          <w:i w:val="false"/>
          <w:iCs w:val="false"/>
          <w:color w:val="111827"/>
          <w:sz w:val="21"/>
          <w:szCs w:val="21"/>
        </w:rPr>
        <w:t xml:space="preserve">Following the 30-08-2026 architecture sync between VerionAI and Algihaz’s own platform engineering team, and confirmed in the subsequent design review, QMS360 is built as three separate applications that plug into Algihaz’s existing application platform — the same platform Algihaz already owns, operates and uses to host several of its other applications. Each application is its own independently-launched piece of software, with its own entry point on Algihaz’s platform and its own settings for what is specific to it; they are not three tabs inside one shared QMS360 login. This is a deliberate reuse decision, not a scope reduction: every application capability and every enterprise feature described in this document is still fully built — only sign-in itself, and the barest confirmation of who a user is and which project they belong to, are inherited from Algihaz’s own infrastructure instead of being rebuilt.</w:t>
      </w:r>
    </w:p>
    <w:p>
      <w:pPr>
        <w:spacing w:after="160" w:before="0" w:line="276"/>
        <w:jc w:val="left"/>
      </w:pPr>
      <w:r>
        <w:rPr>
          <w:rFonts w:ascii="Inter" w:cs="Inter" w:eastAsia="Inter" w:hAnsi="Inter"/>
          <w:b w:val="false"/>
          <w:bCs w:val="false"/>
          <w:i w:val="false"/>
          <w:iCs w:val="false"/>
          <w:color w:val="111827"/>
          <w:sz w:val="21"/>
          <w:szCs w:val="21"/>
        </w:rPr>
        <w:t xml:space="preserve">The scope of what QMS360 takes from Algihaz’s platform is deliberately narrow, confirmed in the design review: QMS360 takes only a username and a project name from Algihaz’s platform (Container). Everything about what that username is allowed to do — both organisation-wide roles (Super Admin, Org Admin, Executive Viewer, and so on) and each application’s own roles (Creator, Approver, Auditor, and so on) — is defined and assigned entirely inside QMS360, independently by each application.</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4680"/>
        <w:gridCol w:w="4680"/>
      </w:tblGrid>
      <w:tr>
        <w:trPr>
          <w:cantSplit/>
          <w:tblHeader/>
        </w:trPr>
        <w:tc>
          <w:tcPr>
            <w:tcW w:type="dxa" w:w="468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Owned by the existing Algihaz Platform (outside QMS360)</w:t>
            </w:r>
          </w:p>
        </w:tc>
        <w:tc>
          <w:tcPr>
            <w:tcW w:type="dxa" w:w="468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Owned independently by each of the three QMS360 applications</w:t>
            </w:r>
          </w:p>
        </w:tc>
      </w:tr>
      <w:tr>
        <w:trPr>
          <w:cantSplit/>
        </w:trPr>
        <w:tc>
          <w:tcPr>
            <w:tcW w:type="dxa" w:w="468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Sign-in screen, password policy, MFA, SSO</w:t>
            </w:r>
          </w:p>
        </w:tc>
        <w:tc>
          <w:tcPr>
            <w:tcW w:type="dxa" w:w="468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role — organisation-wide and application-specific — including a custom role builder for anything the defaults do not cover (Sections 5.4, 9.6)</w:t>
            </w:r>
          </w:p>
        </w:tc>
      </w:tr>
      <w:tr>
        <w:trPr>
          <w:cantSplit/>
        </w:trPr>
        <w:tc>
          <w:tcPr>
            <w:tcW w:type="dxa" w:w="468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Confirming a username exists, and which project(s) it is associated with</w:t>
            </w:r>
          </w:p>
        </w:tc>
        <w:tc>
          <w:tcPr>
            <w:tcW w:type="dxa" w:w="468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Role assignment, scoping (Project/BU) and the approval step that grants it — decided independently inside each application, against the shared identity/access-mapping table (Section 3.3)</w:t>
            </w:r>
          </w:p>
        </w:tc>
      </w:tr>
      <w:tr>
        <w:trPr>
          <w:cantSplit/>
        </w:trPr>
        <w:tc>
          <w:tcPr>
            <w:tcW w:type="dxa" w:w="468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Central Project Master (shared across every platform application)</w:t>
            </w:r>
          </w:p>
        </w:tc>
        <w:tc>
          <w:tcPr>
            <w:tcW w:type="dxa" w:w="468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Each application’s own business logic, screens, workflows, escalation configuration, AI Settings, Notification Center and Audit &amp; Compliance Log (Section 9.6, Sections 10–12) — five independent instances, not one shared admin core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What is genuinely shared, and only this (confirmed in internal design review)</w:t>
            </w:r>
          </w:p>
          <w:p>
            <w:pPr>
              <w:spacing w:after="60" w:line="260"/>
            </w:pPr>
            <w:r>
              <w:rPr>
                <w:rFonts w:ascii="Inter" w:cs="Inter" w:eastAsia="Inter" w:hAnsi="Inter"/>
                <w:color w:val="111827"/>
                <w:sz w:val="19"/>
                <w:szCs w:val="19"/>
              </w:rPr>
              <w:t xml:space="preserve">The common QMS360 landing page reached immediately after platform sign-in — System Overview, Executive Page, Project Sync View (Section 3.3).</w:t>
            </w:r>
          </w:p>
          <w:p>
            <w:pPr>
              <w:spacing w:after="60" w:line="260"/>
            </w:pPr>
            <w:r>
              <w:rPr>
                <w:rFonts w:ascii="Inter" w:cs="Inter" w:eastAsia="Inter" w:hAnsi="Inter"/>
                <w:color w:val="111827"/>
                <w:sz w:val="19"/>
                <w:szCs w:val="19"/>
              </w:rPr>
              <w:t xml:space="preserve">Project &amp; Master Data Sync from Algihaz’s platform, and the identity/access-mapping table each application checks independently to decide whether a given username may open it (Section 3.3, Section 9.2).</w:t>
            </w:r>
          </w:p>
          <w:p>
            <w:pPr>
              <w:spacing w:after="60" w:line="260"/>
            </w:pPr>
            <w:r>
              <w:rPr>
                <w:rFonts w:ascii="Inter" w:cs="Inter" w:eastAsia="Inter" w:hAnsi="Inter"/>
                <w:color w:val="111827"/>
                <w:sz w:val="19"/>
                <w:szCs w:val="19"/>
              </w:rPr>
              <w:t xml:space="preserve">The Integration Cockpit — the single connector framework linking every application to Algihaz’s platform, email, the AI provider and Oracle ADW (Section 9.2).</w:t>
            </w:r>
          </w:p>
          <w:p>
            <w:pPr>
              <w:spacing w:after="60" w:line="260"/>
            </w:pPr>
            <w:r>
              <w:rPr>
                <w:rFonts w:ascii="Inter" w:cs="Inter" w:eastAsia="Inter" w:hAnsi="Inter"/>
                <w:color w:val="111827"/>
                <w:sz w:val="19"/>
                <w:szCs w:val="19"/>
              </w:rPr>
              <w:t xml:space="preserve">Nothing else is shared. RBAC, workflow/escalation configuration, AI Settings &amp; Controls, the Notification Center and the Audit &amp; Compliance Log are each built and administered three times — once per application — with no cross-application configuration screen for any of them (Section 9.6).</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Why this is the right architecture, not a shortcut</w:t>
            </w:r>
          </w:p>
          <w:p>
            <w:pPr>
              <w:spacing w:after="60" w:line="260"/>
            </w:pPr>
            <w:r>
              <w:rPr>
                <w:rFonts w:ascii="Inter" w:cs="Inter" w:eastAsia="Inter" w:hAnsi="Inter"/>
                <w:color w:val="111827"/>
                <w:sz w:val="19"/>
                <w:szCs w:val="19"/>
              </w:rPr>
              <w:t xml:space="preserve">A username only has to be confirmed once, in one place — QMS360 never becomes a fourth place a person’s existence has to be re-verified by hand, even though each application still manages its own roles and entitlements independently.</w:t>
            </w:r>
          </w:p>
          <w:p>
            <w:pPr>
              <w:spacing w:after="60" w:line="260"/>
            </w:pPr>
            <w:r>
              <w:rPr>
                <w:rFonts w:ascii="Inter" w:cs="Inter" w:eastAsia="Inter" w:hAnsi="Inter"/>
                <w:color w:val="111827"/>
                <w:sz w:val="19"/>
                <w:szCs w:val="19"/>
              </w:rPr>
              <w:t xml:space="preserve">The same lightweight pattern — username plus project, nothing more — is designed to onboard any future QMS application the same way. Algihaz’s own team has flagged a cluster of 7–8 QMS applications over time, and this integration model is what makes each additional one an onboarding exercise on Algihaz’s platform, not a new platform build (Sections 9.3, 14.2).</w:t>
            </w:r>
          </w:p>
          <w:p>
            <w:pPr>
              <w:spacing w:after="60" w:line="260"/>
            </w:pPr>
            <w:r>
              <w:rPr>
                <w:rFonts w:ascii="Inter" w:cs="Inter" w:eastAsia="Inter" w:hAnsi="Inter"/>
                <w:color w:val="111827"/>
                <w:sz w:val="19"/>
                <w:szCs w:val="19"/>
              </w:rPr>
              <w:t xml:space="preserve">Security ownership stays clean: authentication, password and session policy live in exactly one place (the platform); role definition and authorisation for every QMS application live entirely inside that application, where Algihaz’s Quality and Digital teams administer them directly, without depending on a platform-side role-mapping table for a QMS-specific role like “Auditor” that the platform has no concept of.</w:t>
            </w:r>
          </w:p>
        </w:tc>
      </w:tr>
    </w:tbl>
    <w:p>
      <w:pPr>
        <w:pStyle w:val="Heading2"/>
        <w:spacing w:after="160" w:before="340"/>
      </w:pPr>
      <w:r>
        <w:rPr>
          <w:rFonts w:ascii="Inter" w:cs="Inter" w:eastAsia="Inter" w:hAnsi="Inter"/>
          <w:b/>
          <w:bCs/>
          <w:color w:val="D4196A"/>
          <w:sz w:val="25"/>
          <w:szCs w:val="25"/>
        </w:rPr>
        <w:t xml:space="preserve">3.3 Common QMS360 Landing Page</w:t>
      </w:r>
    </w:p>
    <w:p>
      <w:pPr>
        <w:spacing w:after="160" w:before="0" w:line="276"/>
        <w:jc w:val="left"/>
      </w:pPr>
      <w:r>
        <w:rPr>
          <w:rFonts w:ascii="Inter" w:cs="Inter" w:eastAsia="Inter" w:hAnsi="Inter"/>
          <w:b w:val="false"/>
          <w:bCs w:val="false"/>
          <w:i w:val="false"/>
          <w:iCs w:val="false"/>
          <w:color w:val="111827"/>
          <w:sz w:val="21"/>
          <w:szCs w:val="21"/>
        </w:rPr>
        <w:t xml:space="preserve">Immediately after signing in at the existing Algihaz Platform, a user reaches one common QMS360 landing page — before choosing which of the three applications to open. This is the only screen genuinely shared across all three; it is a landing surface and a read-only summary view, not an administration layer. From here, the user launches into whichever of the three applications their access allows.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60"/>
      </w:tblGrid>
      <w:tr>
        <w:trPr>
          <w:cantSplit/>
          <w:tblHeader/>
        </w:trPr>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Landing Page Zone</w:t>
            </w:r>
          </w:p>
        </w:tc>
        <w:tc>
          <w:tcPr>
            <w:tcW w:type="dxa" w:w="71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What it shows</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System Overview</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An organisation-wide, at-a-glance status strip: how many projects are active, how many pending approvals exist across all three applications combined, and system health — read-only, sourced from each application publishing its own summary counts, not from querying another application’s data directly.</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Executive Page</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consolidated cross-application KPI view for BU Heads, the Quality Manager and Executive Viewers — quality health, lessons learned and audit status side by side (full inventory in Section 19.4). Fed by each application publishing its own read-only summary data into the shared schema (Section 15); this page does not query any application’s own transactional tables directly.</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Project Sync View</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Shows the live status of the Project &amp; Master Data Sync from Algihaz’s platform (Section 9.2) — last sync time, project/BU counts, and any sync errors — the same Project Master every application draws on independently.</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Application Launcher</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Icons for the three applications the signed-in username has access to, per the identity/access-mapping table (Section 21.5) — opening one is a full navigation into that application, not a tile inside a shared shell.</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Integration Cockpit entry point</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single link into the shared Integration Cockpit (Section 9.2) — connector health, credentials and field-mapping, common to all three applications.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6B7280" w:sz="4"/>
              <w:left w:val="single" w:color="6B7280" w:sz="24"/>
              <w:bottom w:val="single" w:color="6B7280" w:sz="4"/>
              <w:right w:val="single" w:color="6B7280" w:sz="4"/>
            </w:tcBorders>
            <w:shd w:fill="F6F7F8" w:color="auto" w:val="clear"/>
            <w:tcMar>
              <w:top w:type="dxa" w:w="160"/>
              <w:left w:type="dxa" w:w="200"/>
              <w:bottom w:type="dxa" w:w="160"/>
              <w:right w:type="dxa" w:w="200"/>
            </w:tcMar>
          </w:tcPr>
          <w:p>
            <w:pPr>
              <w:spacing w:after="80"/>
            </w:pPr>
            <w:r>
              <w:rPr>
                <w:rFonts w:ascii="Inter" w:cs="Inter" w:eastAsia="Inter" w:hAnsi="Inter"/>
                <w:b/>
                <w:bCs/>
                <w:color w:val="6B7280"/>
                <w:sz w:val="20"/>
                <w:szCs w:val="20"/>
              </w:rPr>
              <w:t xml:space="preserve">What this page deliberately does not do</w:t>
            </w:r>
          </w:p>
          <w:p>
            <w:pPr>
              <w:spacing w:after="60" w:line="260"/>
            </w:pPr>
            <w:r>
              <w:rPr>
                <w:rFonts w:ascii="Inter" w:cs="Inter" w:eastAsia="Inter" w:hAnsi="Inter"/>
                <w:color w:val="111827"/>
                <w:sz w:val="19"/>
                <w:szCs w:val="19"/>
              </w:rPr>
              <w:t xml:space="preserve">It does not configure any application’s RBAC, workflow, escalation, AI Settings, notifications or audit log — each of those is reached only from inside that specific application’s own Settings (Section 9.6).</w:t>
            </w:r>
          </w:p>
          <w:p>
            <w:pPr>
              <w:spacing w:after="60" w:line="260"/>
            </w:pPr>
            <w:r>
              <w:rPr>
                <w:rFonts w:ascii="Inter" w:cs="Inter" w:eastAsia="Inter" w:hAnsi="Inter"/>
                <w:color w:val="111827"/>
                <w:sz w:val="19"/>
                <w:szCs w:val="19"/>
              </w:rPr>
              <w:t xml:space="preserve">It does not sit "above" the three applications architecturally — it is a landing surface a user passes through once per session, and a read-only summary view, not a layer the three applications depend on to function.</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4. Scope Overview</w:t>
      </w:r>
    </w:p>
    <w:p>
      <w:pPr>
        <w:spacing w:after="160" w:before="0" w:line="276"/>
        <w:jc w:val="left"/>
      </w:pPr>
      <w:r>
        <w:rPr>
          <w:rFonts w:ascii="Inter" w:cs="Inter" w:eastAsia="Inter" w:hAnsi="Inter"/>
          <w:b w:val="false"/>
          <w:bCs w:val="false"/>
          <w:i w:val="false"/>
          <w:iCs w:val="false"/>
          <w:color w:val="111827"/>
          <w:sz w:val="21"/>
          <w:szCs w:val="21"/>
        </w:rPr>
        <w:t xml:space="preserve">The table below consolidates the scope items from all three BRDs and adds the shared-platform scope this design introduces. Every capability listed here is in scope for the one product described in this document — there is no reduced first release. Sign-in and identity are inherited, already live, from the existing Algihaz Platform (Section 3.2) and are not a dependency at all. A small number of remaining capabilities do depend on Algihaz supplying something only Algihaz can provide (an API credential, a developer account); those are marked accordingly in Section 4.2 and consolidated in Section 4.3, and are a matter of Algihaz’s enablement timing, not a reduction in what is built.</w:t>
      </w:r>
    </w:p>
    <w:p>
      <w:pPr>
        <w:pStyle w:val="Heading2"/>
        <w:spacing w:after="160" w:before="340"/>
      </w:pPr>
      <w:r>
        <w:rPr>
          <w:rFonts w:ascii="Inter" w:cs="Inter" w:eastAsia="Inter" w:hAnsi="Inter"/>
          <w:b/>
          <w:bCs/>
          <w:color w:val="D4196A"/>
          <w:sz w:val="25"/>
          <w:szCs w:val="25"/>
        </w:rPr>
        <w:t xml:space="preserve">4.1 Workspace Scope (from the three BRDs)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5560"/>
        <w:gridCol w:w="1200"/>
      </w:tblGrid>
      <w:tr>
        <w:trPr>
          <w:cantSplit/>
          <w:tblHeader/>
        </w:trPr>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Workspace</w:t>
            </w:r>
          </w:p>
        </w:tc>
        <w:tc>
          <w:tcPr>
            <w:tcW w:type="dxa" w:w="5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Included Modules</w:t>
            </w:r>
          </w:p>
        </w:tc>
        <w:tc>
          <w:tcPr>
            <w:tcW w:type="dxa" w:w="1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Platform</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 QA/QC &amp; Document Governance</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QAQC Metrics (Ext/Int NCR, RFI, RMI), QTBT, Material Inspection, PQI calculation, Customer Satisfaction Survey, Daily Document Governance Log, AI Quality Brief Generator, Excel template upload, dashboards &amp; report distribution</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Web &amp; Mobile*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 Lesson Learned Management</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Lesson Learned form creation, AI-assisted rephrasing of Description/Root Cause/Correction/Corrective Action, before/after photo evidence, submission &amp; approval workflow, no-signal offline capture (see note below)</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Web &amp; Mobile*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 QMS Audit Management</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scheduling &amp; approval, memo &amp; plan distribution, opening/closing meetings, evidence collection, findings &amp; NC classification, Corrective Action Report (CAR) workflow, verification &amp; closure</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Web &amp; Mobile*</w:t>
            </w:r>
          </w:p>
        </w:tc>
      </w:tr>
    </w:tbl>
    <w:p>
      <w:pPr>
        <w:spacing w:after="220" w:before="0" w:line="276"/>
        <w:jc w:val="left"/>
      </w:pPr>
      <w:r>
        <w:rPr>
          <w:rFonts w:ascii="Inter" w:cs="Inter" w:eastAsia="Inter" w:hAnsi="Inter"/>
          <w:b w:val="false"/>
          <w:bCs w:val="false"/>
          <w:i/>
          <w:iCs/>
          <w:color w:val="9CA3AF"/>
          <w:sz w:val="16"/>
          <w:szCs w:val="16"/>
        </w:rPr>
        <w:t xml:space="preserve">* “Platform” above is the target platform each source BRD names. VerionAI’s build delivers an installable Progressive Web App for every module — fully usable from a mobile browser, and caching reference/master data locally (IndexedDB) so it can be added to the home screen and viewed with no signal. Native mobile app development is not in VerionAI’s scope: Algihaz’s own container is expected to host this Progressive Web App inside a mobile-friendly wrapper; adopting it into that container, and any further native/offline transaction capability beyond what is described here, is Algihaz’s own responsibility on the same APIs (Section 14.4, Section 22.1).</w:t>
      </w:r>
    </w:p>
    <w:p>
      <w:pPr>
        <w:pStyle w:val="Heading2"/>
        <w:spacing w:after="160" w:before="340"/>
      </w:pPr>
      <w:r>
        <w:rPr>
          <w:rFonts w:ascii="Inter" w:cs="Inter" w:eastAsia="Inter" w:hAnsi="Inter"/>
          <w:b/>
          <w:bCs/>
          <w:color w:val="D4196A"/>
          <w:sz w:val="25"/>
          <w:szCs w:val="25"/>
        </w:rPr>
        <w:t xml:space="preserve">4.2 Platform-Level Capabilities — Shared vs. Independently Built per Application</w:t>
      </w:r>
    </w:p>
    <w:p>
      <w:pPr>
        <w:spacing w:after="160" w:before="0" w:line="276"/>
        <w:jc w:val="left"/>
      </w:pPr>
      <w:r>
        <w:rPr>
          <w:rFonts w:ascii="Inter" w:cs="Inter" w:eastAsia="Inter" w:hAnsi="Inter"/>
          <w:b w:val="false"/>
          <w:bCs w:val="false"/>
          <w:i w:val="false"/>
          <w:iCs w:val="false"/>
          <w:color w:val="111827"/>
          <w:sz w:val="21"/>
          <w:szCs w:val="21"/>
        </w:rPr>
        <w:t xml:space="preserve">Corrected in internal design review: only two capabilities below are genuinely shared across the three applications (Project &amp; Master Data Sync, Integration Cockpit), plus the thin common landing page and sign-in hand-off. RBAC, Escalation &amp; Workflow, AI Settings, Notification Center and the Audit &amp; Compliance Log are each built and configured independently, three times over — marked “Per-Workspace (×3)” below.</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1600"/>
        <w:gridCol w:w="3860"/>
        <w:gridCol w:w="1700"/>
      </w:tblGrid>
      <w:tr>
        <w:trPr>
          <w:cantSplit/>
          <w:tblHeader/>
        </w:trPr>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Capability</w:t>
            </w:r>
          </w:p>
        </w:tc>
        <w:tc>
          <w:tcPr>
            <w:tcW w:type="dxa" w:w="1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Shared or Per-Workspace</w:t>
            </w:r>
          </w:p>
        </w:tc>
        <w:tc>
          <w:tcPr>
            <w:tcW w:type="dxa" w:w="38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Description</w:t>
            </w:r>
          </w:p>
        </w:tc>
        <w:tc>
          <w:tcPr>
            <w:tcW w:type="dxa" w:w="17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Activation Requirement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Platform Sign-In &amp; Identity Hand-off</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trusts the existing Algihaz Platform’s sign-in session; no separate QMS360 login or self-registration screen is built (Section 7)</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the platform login is already live; QMS360 only validates the session it is handed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Common Landing Page (System Overview, Executive Page, Project Sync View)</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One landing surface reached after sign-in, before entering any application (Section 3.3)</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RBAC &amp; System Default Roles</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role — organisation-wide and application-specific — plus the permission matrix and custom role builder, is entirely QMS360-native and built independently inside each application (Section 9.6); Algihaz can add any role the defaults do not cover, with any combination of rights, on any one application</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Delegation of Access</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Temporary hand-off of approval authority while a user is on leave, configured inside each application</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Escalation &amp; Workflow Configuration</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 — shared underlying pattern only</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shared timer/reconciliation library avoids rebuilding the SLA-clock logic three times, but each application owns its own escalation matrix, SLA values and configuration screen (Section 13)</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Notification Center</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In-app, email and push (mobile) notifications, configured and delivered independently inside each application</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Email delivery requires an Algihaz mailbox/SMTP or Microsoft Graph credential; in-app works without it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Project &amp; Master Data Sync</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Project and Business Unit records are synced read-only from Algihaz’s platform once (Section 9.2) and made available to all three applications; each application still manages its own Discipline, Categorisation, Target Benchmark and Distribution List masters independently</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&amp; Compliance Log</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Immutable, exportable activity trail scoped to that application only — there is no cross-application audit log</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AI Settings &amp; Controls</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 — shared orchestration client only</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On/off, provider, guardrails and its own audit log for that application’s AI-assisted drafting features and prompt-to-transaction execution, configured independently inside each application that has an AI feature (Section 9.6)</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Requires an LLM provider API key (e.g., Anthropic); the feature and its governance are fully built regardless</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Integration Cockpit</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 connector framework, including the confirmed real-time username/project sync from Algihaz’s platform (Section 9.2), plus email, AI provider and Oracle ADW connectors</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Username/project sync is native and always on; each other connector goes live once Algihaz grants the credential it needs</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Oracle ADW Data Warehouse Sync (client-requested)</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 (part of Integration Cockpit)</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Populates Algihaz’s Oracle Autonomous Data Warehouse with Quality apps data, on a configurable scheduled (daily/weekly) or near-real-time cadence, alongside any automatic sync Algihaz’s own container-to-ADW pipeline already provides (Section 9.2.2)</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confirms whether its own container-to-ADW pipeline already covers this data, and if not, provides Oracle ADW connection details and the target cadence (Section 21.5)</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Data Sync Cockpit</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Monitoring, retry and reconciliation for every shared integration job</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Fully functional the moment any connector above is connected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Executive Page (cross-application view)</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 (part of the Common Landing Page)</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One combined view of quality, lessons learned and audit KPIs for leadership, fed by each application publishing its own read-only summary data — not a shared admin layer (Section 3.3, Section 19.4)</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None — fully self-contained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Arabic / English Bilingual UI</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Proposed enhancement — Change Request, pending confirmation</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 RTL Arabic support alongside English. Not requested in any of the three source BRDs (Section 20) — VerionAI proposed this as an enhancement; Algihaz to confirm whether it is committed scope or requires separate commercial agreement before it is built</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Requires Algihaz’s explicit confirmation before this is built (Section 20)</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Mobile Retrofit Readiness</w:t>
            </w:r>
          </w:p>
        </w:tc>
        <w:tc>
          <w:tcPr>
            <w:tcW w:type="dxa" w:w="1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Per-Workspace (×3) — API contract only</w:t>
            </w:r>
          </w:p>
        </w:tc>
        <w:tc>
          <w:tcPr>
            <w:tcW w:type="dxa" w:w="3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application’s APIs are deliberately designed so Algihaz (or a mobile specialist) can build a deeper native/offline mobile experience on top of them later (Section 14.4) — idempotent submissions, client-suppliable capture timestamps/GPS, and a reference-data snapshot endpoint for offline dropdowns, on top of the installable Progressive Web App VerionAI already delivers (Section 4.1)</w:t>
            </w:r>
          </w:p>
        </w:tc>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Out of current build scope — the deeper native/offline mobile app itself is a future initiative owned by Algihaz, not an activation dependency of this build (Section 14.4)</w:t>
            </w:r>
          </w:p>
        </w:tc>
      </w:tr>
    </w:tbl>
    <w:p>
      <w:pPr>
        <w:pStyle w:val="Heading2"/>
        <w:spacing w:after="160" w:before="340"/>
      </w:pPr>
      <w:r>
        <w:rPr>
          <w:rFonts w:ascii="Inter" w:cs="Inter" w:eastAsia="Inter" w:hAnsi="Inter"/>
          <w:b/>
          <w:bCs/>
          <w:color w:val="D4196A"/>
          <w:sz w:val="25"/>
          <w:szCs w:val="25"/>
        </w:rPr>
        <w:t xml:space="preserve">4.3 External Enablement Dependencies</w:t>
      </w:r>
    </w:p>
    <w:p>
      <w:pPr>
        <w:spacing w:after="160" w:before="0" w:line="276"/>
        <w:jc w:val="left"/>
      </w:pPr>
      <w:r>
        <w:rPr>
          <w:rFonts w:ascii="Inter" w:cs="Inter" w:eastAsia="Inter" w:hAnsi="Inter"/>
          <w:b w:val="false"/>
          <w:bCs w:val="false"/>
          <w:i w:val="false"/>
          <w:iCs w:val="false"/>
          <w:color w:val="111827"/>
          <w:sz w:val="21"/>
          <w:szCs w:val="21"/>
        </w:rPr>
        <w:t xml:space="preserve">Every capability in this document is designed and built by VerionAI as part of the web application, with the explicit scope boundaries noted below. QMS360 does not plan or depend on any ERP integration. The items below are either a genuine scope boundary or a dependency on something only Algihaz can supply — not a reduction in what the web application itself delivers.</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Deep native / fully offline mobile application (scope boundary — see Section 14.4). </w:t>
      </w:r>
      <w:r>
        <w:rPr>
          <w:rFonts w:ascii="Inter" w:cs="Inter" w:eastAsia="Inter" w:hAnsi="Inter"/>
          <w:b w:val="false"/>
          <w:bCs w:val="false"/>
          <w:i w:val="false"/>
          <w:iCs w:val="false"/>
          <w:color w:val="111827"/>
          <w:sz w:val="21"/>
          <w:szCs w:val="21"/>
        </w:rPr>
        <w:t xml:space="preserve">VerionAI’s current scope is the responsive, installable Progressive Web App described throughout this document, including full support for every screen from a mobile browser and IndexedDB-cached reference data for offline viewing. A deeper native app — true no-signal offline transaction capture, background sync, and packaging inside Algihaz’s own container — the kind of field capture the Lesson Learned (FR-18) and QMS Audit BRDs describe, is outside VerionAI’s current scope. Building that deeper mobile experience, whenever Algihaz chooses to pursue it, is Algihaz’s own responsibility, on the same QMS360 APIs described in this document (Section 22.1).</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ERP / Unifier / PMIS integration (out of scope). </w:t>
      </w:r>
      <w:r>
        <w:rPr>
          <w:rFonts w:ascii="Inter" w:cs="Inter" w:eastAsia="Inter" w:hAnsi="Inter"/>
          <w:b w:val="false"/>
          <w:bCs w:val="false"/>
          <w:i w:val="false"/>
          <w:iCs w:val="false"/>
          <w:color w:val="111827"/>
          <w:sz w:val="21"/>
          <w:szCs w:val="21"/>
        </w:rPr>
        <w:t xml:space="preserve">QMS360 does not plan or depend on any ERP integration; NCR/RFI/RMI and document-governance data is entered directly, as the source BRDs specify (SOW-QMS-V4 explicitly marks the Unifier/ERP integration line item as Out of Scope / Phase 2). If Algihaz later asks for a live ERP/Unifier connector, that is a new Change Request against this design, not an extension of anything already scoped here.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Multi-company / multi-tenant SaaS packaging </w:t>
      </w:r>
      <w:r>
        <w:rPr>
          <w:rFonts w:ascii="Inter" w:cs="Inter" w:eastAsia="Inter" w:hAnsi="Inter"/>
          <w:b w:val="false"/>
          <w:bCs w:val="false"/>
          <w:i w:val="false"/>
          <w:iCs w:val="false"/>
          <w:color w:val="111827"/>
          <w:sz w:val="21"/>
          <w:szCs w:val="21"/>
        </w:rPr>
        <w:t xml:space="preserve">— the data model is multi-tenant-ready from day one (Section 14.2); extending QMS360 to a second Algihaz group entity or a different organisation is a configuration exercise whenever Algihaz chooses to pursue it, not a re-build.</w:t>
      </w:r>
    </w:p>
    <w:p>
      <w:pPr>
        <w:pStyle w:val="Heading1"/>
        <w:pBdr>
          <w:bottom w:val="single" w:color="D4196A" w:sz="10" w:space="6"/>
        </w:pBdr>
        <w:spacing w:after="220" w:before="480"/>
      </w:pPr>
      <w:r>
        <w:rPr>
          <w:rFonts w:ascii="Inter" w:cs="Inter" w:eastAsia="Inter" w:hAnsi="Inter"/>
          <w:b/>
          <w:bCs/>
          <w:color w:val="111827"/>
          <w:sz w:val="32"/>
          <w:szCs w:val="32"/>
        </w:rPr>
        <w:t xml:space="preserve">5. Personas &amp; System Default Roles</w:t>
      </w:r>
    </w:p>
    <w:p>
      <w:pPr>
        <w:spacing w:after="160" w:before="0" w:line="276"/>
        <w:jc w:val="left"/>
      </w:pPr>
      <w:r>
        <w:rPr>
          <w:rFonts w:ascii="Inter" w:cs="Inter" w:eastAsia="Inter" w:hAnsi="Inter"/>
          <w:b w:val="false"/>
          <w:bCs w:val="false"/>
          <w:i w:val="false"/>
          <w:iCs w:val="false"/>
          <w:color w:val="111827"/>
          <w:sz w:val="21"/>
          <w:szCs w:val="21"/>
        </w:rPr>
        <w:t xml:space="preserve">Role-Based Access Control is the backbone of QMS360: it decides what a user can do inside each application, and what that application’s own settings expose to them. Roles are split into two layers: Platform Roles (organisation-wide personas such as Super Admin or Executive Viewer, meaningful across all three applications) and Workspace Roles (specific to one application, e.g., Creator, Approver, Auditor). A single user is typically assigned one Platform Role and one Workspace Role per application they touch — for example, a Document Controller (App 1 role) who is also a Form Creator (App 2 role), under the Employee platform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Ownership boundary confirmed in the design review</w:t>
            </w:r>
          </w:p>
          <w:p>
            <w:pPr>
              <w:spacing w:after="60" w:line="260"/>
            </w:pPr>
            <w:r>
              <w:rPr>
                <w:rFonts w:ascii="Inter" w:cs="Inter" w:eastAsia="Inter" w:hAnsi="Inter"/>
                <w:color w:val="111827"/>
                <w:sz w:val="19"/>
                <w:szCs w:val="19"/>
              </w:rPr>
              <w:t xml:space="preserve">Both layers of roles below — Platform Roles and Workspace Roles — are defined, assigned and scoped entirely inside QMS360, independently per application. Algihaz’s platform confirms that a username exists and which project it belongs to (Section 3.2); a separate identity/access-mapping table (Section 21.5) tells each application whether that username may open it at all — that table carries no QMS-specific role information, only which of the three applications a username is permitted to enter. Once inside, role administration stays where Algihaz’s Quality and Digital teams actually need to make changes — directly inside each QMS360 application, without a dependency on the platform team for a QMS-specific role change.</w:t>
            </w:r>
          </w:p>
        </w:tc>
      </w:tr>
    </w:tbl>
    <w:p>
      <w:pPr>
        <w:pStyle w:val="Heading2"/>
        <w:spacing w:after="160" w:before="340"/>
      </w:pPr>
      <w:r>
        <w:rPr>
          <w:rFonts w:ascii="Inter" w:cs="Inter" w:eastAsia="Inter" w:hAnsi="Inter"/>
          <w:b/>
          <w:bCs/>
          <w:color w:val="D4196A"/>
          <w:sz w:val="25"/>
          <w:szCs w:val="25"/>
        </w:rPr>
        <w:t xml:space="preserve">5.1 Platform (Global) Roles — System Defaults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900"/>
        <w:gridCol w:w="2900"/>
        <w:gridCol w:w="4560"/>
      </w:tblGrid>
      <w:tr>
        <w:trPr>
          <w:cantSplit/>
          <w:tblHeader/>
        </w:trPr>
        <w:tc>
          <w:tcPr>
            <w:tcW w:type="dxa" w:w="1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Role</w:t>
            </w:r>
          </w:p>
        </w:tc>
        <w:tc>
          <w:tcPr>
            <w:tcW w:type="dxa" w:w="2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Persona</w:t>
            </w:r>
          </w:p>
        </w:tc>
        <w:tc>
          <w:tcPr>
            <w:tcW w:type="dxa" w:w="4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Access Level</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Super Admin</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IT/Platform Owner (VerionAI + Algihaz nominated owner)</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 access to everything across all three applications: all records, application settings, security configuration, org-wide data. The only role that can change organisation-level security policy or delete master data.</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Org Admin</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System Administrator / Quality Systems Lead</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Manages users, roles, master data, escalation configuration, AI settings and integrations, independently in each application. Cannot edit or delete transactional records.</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Executive Viewer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Director / CEO</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Read-only cross-application dashboards; approves items specifically routed to this level (e.g., annual Audit Schedule). No data entry.</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 / Project Head</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Business Unit Head, Project Director</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Scoped visibility and approval rights across all three applications, limited to their assigned Business Units / Projects.</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Quality Manager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Corporate Quality Manager / Quality Department</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Cross-project visibility into all submitted and approved records, trend reports, and export rights across all three applications; may act as a secondary approver.</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Employee (Standard User)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Any onboarded staff member</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Base role granted on approval; grants no application access until an Org Admin also assigns a workspace role in that application.</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External / Guest Auditor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Third-party or client auditor</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Time-boxed, read-only access scoped to a single audit engagement. Auto-expires at engagement close.</w:t>
            </w:r>
          </w:p>
        </w:tc>
      </w:tr>
    </w:tbl>
    <w:p>
      <w:pPr>
        <w:pStyle w:val="Heading2"/>
        <w:spacing w:after="160" w:before="340"/>
      </w:pPr>
      <w:r>
        <w:rPr>
          <w:rFonts w:ascii="Inter" w:cs="Inter" w:eastAsia="Inter" w:hAnsi="Inter"/>
          <w:b/>
          <w:bCs/>
          <w:color w:val="D4196A"/>
          <w:sz w:val="25"/>
          <w:szCs w:val="25"/>
        </w:rPr>
        <w:t xml:space="preserve">5.2 Workspace Roles — System Defaults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2200"/>
        <w:gridCol w:w="4760"/>
      </w:tblGrid>
      <w:tr>
        <w:trPr>
          <w:cantSplit/>
          <w:tblHeader/>
        </w:trPr>
        <w:tc>
          <w:tcPr>
            <w:tcW w:type="dxa" w:w="2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Workspace</w:t>
            </w:r>
          </w:p>
        </w:tc>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Role</w:t>
            </w:r>
          </w:p>
        </w:tc>
        <w:tc>
          <w:tcPr>
            <w:tcW w:type="dxa" w:w="4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Responsibility (carried forward from source BRD)</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 QA/QC &amp; Doc. Governance</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QAQC Representative</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Enters current-month QAQC/QTBT/Material Inspection/CSAT data and submits for approval.</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 QA/QC &amp; Doc. Governance</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Document Controller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Enters the Daily Document Governance Log (submittals, drawings, correspondence).</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 QA/QC &amp; Doc. Governance</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Approver / Reviewer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Reviews submitted reports; approves or sends back with comments.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 Lesson Learned</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Form Creator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Creates and submits Lesson Learned forms; revises on request.</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 Lesson Learned</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Form Approver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Reviews and approves/rejects submitted forms.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 QMS Audit</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Program Manager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Builds the annual audit schedule, prepares audit plans, assigns audit teams, manages masters.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 QMS Audit</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Team Lead / Auditor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Executes audits, records findings/NCs, runs opening &amp; closing meetings, generates the audit report.</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 QMS Audit</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Process / Product Owner</w:t>
            </w:r>
          </w:p>
        </w:tc>
        <w:tc>
          <w:tcPr>
            <w:tcW w:type="dxa" w:w="4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auditee — receives assigned findings and submits the Corrective Action Report (CAR).</w:t>
            </w:r>
          </w:p>
        </w:tc>
      </w:tr>
    </w:tbl>
    <w:p>
      <w:pPr>
        <w:pStyle w:val="Heading2"/>
        <w:spacing w:after="160" w:before="340"/>
      </w:pPr>
      <w:r>
        <w:rPr>
          <w:rFonts w:ascii="Inter" w:cs="Inter" w:eastAsia="Inter" w:hAnsi="Inter"/>
          <w:b/>
          <w:bCs/>
          <w:color w:val="D4196A"/>
          <w:sz w:val="25"/>
          <w:szCs w:val="25"/>
        </w:rPr>
        <w:t xml:space="preserve">5.3 Super Admin — Authorisation Statement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4196A" w:sz="4"/>
              <w:left w:val="single" w:color="D4196A" w:sz="24"/>
              <w:bottom w:val="single" w:color="D4196A" w:sz="4"/>
              <w:right w:val="single" w:color="D4196A" w:sz="4"/>
            </w:tcBorders>
            <w:shd w:fill="F6F7F8" w:color="auto" w:val="clear"/>
            <w:tcMar>
              <w:top w:type="dxa" w:w="160"/>
              <w:left w:type="dxa" w:w="200"/>
              <w:bottom w:type="dxa" w:w="160"/>
              <w:right w:type="dxa" w:w="200"/>
            </w:tcMar>
          </w:tcPr>
          <w:p>
            <w:pPr>
              <w:spacing w:after="80"/>
            </w:pPr>
            <w:r>
              <w:rPr>
                <w:rFonts w:ascii="Inter" w:cs="Inter" w:eastAsia="Inter" w:hAnsi="Inter"/>
                <w:b/>
                <w:bCs/>
                <w:color w:val="D4196A"/>
                <w:sz w:val="20"/>
                <w:szCs w:val="20"/>
              </w:rPr>
              <w:t xml:space="preserve">Super Admin has all access</w:t>
            </w:r>
          </w:p>
          <w:p>
            <w:pPr>
              <w:spacing w:after="60" w:line="260"/>
            </w:pPr>
            <w:r>
              <w:rPr>
                <w:rFonts w:ascii="Inter" w:cs="Inter" w:eastAsia="Inter" w:hAnsi="Inter"/>
                <w:color w:val="111827"/>
                <w:sz w:val="19"/>
                <w:szCs w:val="19"/>
              </w:rPr>
              <w:t xml:space="preserve">Per Algihaz’s instruction, the Super Admin persona is a true superuser: unrestricted create/read/update/delete/approve/configure rights across all three applications and every shared service, with no Business Unit or Project scoping applied. It is the only role that can grant or revoke Super Admin status itself. To reduce blast radius in production, VerionAI recommends limiting live Super Admin accounts to 2–3 named individuals and requiring MFA on the role — this is a configuration recommendation, not a system restriction.</w:t>
            </w:r>
          </w:p>
        </w:tc>
      </w:tr>
    </w:tbl>
    <w:p>
      <w:pPr>
        <w:pStyle w:val="Heading2"/>
        <w:spacing w:after="160" w:before="340"/>
      </w:pPr>
      <w:r>
        <w:rPr>
          <w:rFonts w:ascii="Inter" w:cs="Inter" w:eastAsia="Inter" w:hAnsi="Inter"/>
          <w:b/>
          <w:bCs/>
          <w:color w:val="D4196A"/>
          <w:sz w:val="25"/>
          <w:szCs w:val="25"/>
        </w:rPr>
        <w:t xml:space="preserve">5.4 Role Assignment Model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Every user has exactly one Platform Role and zero, one, or more Workspace Roles — one per application they need to act in — all defined and assigned independently inside each application, to any username the platform confirms already exists (Section 7.3) and the identity/access-mapping table confirms may open that specific application (Section 21.5). Algihaz’s platform is never edited from inside QMS360.</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Because login is derived from the main Algihaz Platform rather than a QMS360-native registration, each application needs its own read access to that same identity/access-mapping table — username, which application(s) it may enter, and (where Algihaz designates one) which username is that application’s own initial Admin — to know whom to let in before any QMS360-native role even applies (Section 21.5).</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Workspace Roles carry a scope: one or more Business Units and/or Projects the role applies to (e.g., a Document Controller scoped to "Project Alpha" only sees Project Alpha data). Project and Business Unit records themselves are synced in real time from the platform’s central Project Master (Section 9.2), not re-entered in QMS360.</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Custom roles, with any combination of rights. </w:t>
      </w:r>
      <w:r>
        <w:rPr>
          <w:rFonts w:ascii="Inter" w:cs="Inter" w:eastAsia="Inter" w:hAnsi="Inter"/>
          <w:b w:val="false"/>
          <w:bCs w:val="false"/>
          <w:i w:val="false"/>
          <w:iCs w:val="false"/>
          <w:color w:val="111827"/>
          <w:sz w:val="21"/>
          <w:szCs w:val="21"/>
        </w:rPr>
        <w:t xml:space="preserve">An Org Admin can add any role and grant it any combination of rights within that application, built from the same permission primitives (Section 9.6) — the seven platform roles and eight workspace roles above are defaults Algihaz can start from, not a hard ceiling on what a role can be.</w:t>
      </w:r>
    </w:p>
    <w:p>
      <w:pPr>
        <w:pStyle w:val="Heading1"/>
        <w:pBdr>
          <w:bottom w:val="single" w:color="D4196A" w:sz="10" w:space="6"/>
        </w:pBdr>
        <w:spacing w:after="220" w:before="480"/>
      </w:pPr>
      <w:r>
        <w:rPr>
          <w:rFonts w:ascii="Inter" w:cs="Inter" w:eastAsia="Inter" w:hAnsi="Inter"/>
          <w:b/>
          <w:bCs/>
          <w:color w:val="111827"/>
          <w:sz w:val="32"/>
          <w:szCs w:val="32"/>
        </w:rPr>
        <w:t xml:space="preserve">6. Information Architecture</w:t>
      </w:r>
    </w:p>
    <w:p>
      <w:pPr>
        <w:spacing w:after="160" w:before="0" w:line="276"/>
        <w:jc w:val="left"/>
      </w:pPr>
      <w:r>
        <w:rPr>
          <w:rFonts w:ascii="Inter" w:cs="Inter" w:eastAsia="Inter" w:hAnsi="Inter"/>
          <w:b w:val="false"/>
          <w:bCs w:val="false"/>
          <w:i w:val="false"/>
          <w:iCs w:val="false"/>
          <w:color w:val="111827"/>
          <w:sz w:val="21"/>
          <w:szCs w:val="21"/>
        </w:rPr>
        <w:t xml:space="preserve">A user signs in once at Algihaz’s platform, then reaches the common QMS360 landing page (Section 3.3) — a shared front door, not a shared administration layer. From there they open QA/QC &amp; Document Governance, Lesson Learned, or QMS Audit as its own full application, each with its own modules and its own Settings. Navigation inside each application is local to that application; the design language, the top bar pattern (search, notifications, profile, delegation, help) and the landing page they all sit behind are identical across all three, since all three are built from the same design system and pass through the same common layer.</w:t>
      </w:r>
    </w:p>
    <w:p>
      <w:pPr>
        <w:pStyle w:val="Heading2"/>
        <w:spacing w:after="160" w:before="340"/>
      </w:pPr>
      <w:r>
        <w:rPr>
          <w:rFonts w:ascii="Inter" w:cs="Inter" w:eastAsia="Inter" w:hAnsi="Inter"/>
          <w:b/>
          <w:bCs/>
          <w:color w:val="D4196A"/>
          <w:sz w:val="25"/>
          <w:szCs w:val="25"/>
        </w:rPr>
        <w:t xml:space="preserve">6.1 Application Map</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900"/>
        <w:gridCol w:w="4560"/>
        <w:gridCol w:w="3900"/>
      </w:tblGrid>
      <w:tr>
        <w:trPr>
          <w:cantSplit/>
          <w:tblHeader/>
        </w:trPr>
        <w:tc>
          <w:tcPr>
            <w:tcW w:type="dxa" w:w="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Level</w:t>
            </w:r>
          </w:p>
        </w:tc>
        <w:tc>
          <w:tcPr>
            <w:tcW w:type="dxa" w:w="4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Screen / Area</w:t>
            </w:r>
          </w:p>
        </w:tc>
        <w:tc>
          <w:tcPr>
            <w:tcW w:type="dxa" w:w="3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Who sees it</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0</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Platform sign-in (existing, outside QMS360) — see Section 7</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Everyone, before reaching QMS360 at all</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0.5</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Common QMS360 Landing Page — System Overview, Executive Page, Project Sync View, Integration Cockpit entry, Application Launcher (Section 3.3)</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authenticated username, before opening any of the three applications</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Application 1 Home — QA/QC &amp; Document Governance</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Roles with an Application 1 assignment</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Application 2 Home — Lesson Learned Management</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Roles with an Application 2 assignment</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Application 3 Home — QMS Audit Management</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Roles with an Application 3 assignment</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Application Settings — RBAC, Escalation Configuration, AI Settings, Notification Center, Audit &amp; Compliance Log (independent per application, Section 9.6)</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Super Admin, Org Admin of that application only</w:t>
            </w:r>
          </w:p>
        </w:tc>
      </w:tr>
      <w:tr>
        <w:trPr>
          <w:cantSplit/>
        </w:trPr>
        <w:tc>
          <w:tcPr>
            <w:tcW w:type="dxa" w:w="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Global</w:t>
            </w:r>
          </w:p>
        </w:tc>
        <w:tc>
          <w:tcPr>
            <w:tcW w:type="dxa" w:w="4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Help Center</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All authenticated users, within whichever application they are in</w:t>
            </w:r>
          </w:p>
        </w:tc>
      </w:tr>
    </w:tbl>
    <w:p>
      <w:pPr>
        <w:pStyle w:val="Heading2"/>
        <w:spacing w:after="160" w:before="340"/>
      </w:pPr>
      <w:r>
        <w:rPr>
          <w:rFonts w:ascii="Inter" w:cs="Inter" w:eastAsia="Inter" w:hAnsi="Inter"/>
          <w:b/>
          <w:bCs/>
          <w:color w:val="D4196A"/>
          <w:sz w:val="25"/>
          <w:szCs w:val="25"/>
        </w:rPr>
        <w:t xml:space="preserve">6.2 Navigation Principles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One shared landing page, three separate front doors beyond it: the common landing page (Section 3.3) is the only shared screen; each application beyond it has its own icon, its own home screen, and its own Settings — nothing about how an application is configured is visible from the landing page.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Persistent global top bar within every application: application identity, global search, notification bell, profile &amp; delegation menu, plus a lightweight link back to the common landing page to switch to either of the other two applications.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Breadcrumbs inside every application so a user can always trace back to that application’s own home screen in one click.</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Role-aware rendering: a menu item or button that a user’s role does not permit is hidden, not merely disabled — reducing confusion and support tickets.</w:t>
      </w:r>
    </w:p>
    <w:p>
      <w:pPr>
        <w:pStyle w:val="Heading1"/>
        <w:pBdr>
          <w:bottom w:val="single" w:color="D4196A" w:sz="10" w:space="6"/>
        </w:pBdr>
        <w:spacing w:after="220" w:before="480"/>
      </w:pPr>
      <w:r>
        <w:rPr>
          <w:rFonts w:ascii="Inter" w:cs="Inter" w:eastAsia="Inter" w:hAnsi="Inter"/>
          <w:b/>
          <w:bCs/>
          <w:color w:val="111827"/>
          <w:sz w:val="32"/>
          <w:szCs w:val="32"/>
        </w:rPr>
        <w:t xml:space="preserve">7. Platform Sign-In, Authentication &amp; Access Governance</w:t>
      </w:r>
    </w:p>
    <w:p>
      <w:pPr>
        <w:spacing w:after="160" w:before="0" w:line="276"/>
        <w:jc w:val="left"/>
      </w:pPr>
      <w:r>
        <w:rPr>
          <w:rFonts w:ascii="Inter" w:cs="Inter" w:eastAsia="Inter" w:hAnsi="Inter"/>
          <w:b w:val="false"/>
          <w:bCs w:val="false"/>
          <w:i w:val="false"/>
          <w:iCs w:val="false"/>
          <w:color w:val="111827"/>
          <w:sz w:val="21"/>
          <w:szCs w:val="21"/>
        </w:rPr>
        <w:t xml:space="preserve">Per the 30-08-2026 architecture sync between VerionAI and Algihaz’s platform engineering team, confirmed in the subsequent design review, QMS360 does not build its own login page, password system or self-registration flow, for any of its three applications. Each application is deployed inside Algihaz’s existing application platform, and a user who is already provisioned there simply opens that application the same way they open any other application on the platform. This section covers what QMS360 is actually responsible for: how each application receives and trusts that sign-in, how a role gets granted inside a specific application, how access is handed off when someone goes on leave, and how it is closed out when someone leaves the organisation.</w:t>
      </w:r>
    </w:p>
    <w:p>
      <w:pPr>
        <w:pStyle w:val="Heading2"/>
        <w:spacing w:after="160" w:before="340"/>
      </w:pPr>
      <w:r>
        <w:rPr>
          <w:rFonts w:ascii="Inter" w:cs="Inter" w:eastAsia="Inter" w:hAnsi="Inter"/>
          <w:b/>
          <w:bCs/>
          <w:color w:val="D4196A"/>
          <w:sz w:val="25"/>
          <w:szCs w:val="25"/>
        </w:rPr>
        <w:t xml:space="preserve">7.1 Platform Login &amp; Entry Point</w:t>
      </w:r>
    </w:p>
    <w:p>
      <w:pPr>
        <w:spacing w:after="160" w:before="0" w:line="276"/>
        <w:jc w:val="left"/>
      </w:pPr>
      <w:r>
        <w:rPr>
          <w:rFonts w:ascii="Inter" w:cs="Inter" w:eastAsia="Inter" w:hAnsi="Inter"/>
          <w:b w:val="false"/>
          <w:bCs w:val="false"/>
          <w:i w:val="false"/>
          <w:iCs w:val="false"/>
          <w:color w:val="111827"/>
          <w:sz w:val="21"/>
          <w:szCs w:val="21"/>
        </w:rPr>
        <w:t xml:space="preserve">There is one sign-in screen for every application on the Algihaz Platform, including QMS360 — it is owned and already live at the platform level, not re-built by QMS360. A user authenticates once, then reaches the common QMS360 landing page (Section 3.3) — the one QMS360-specific screen shared by all three applications — before opening whichever specific application they need; that application’s own home screen (Section 8) is the first application-specific screen they see.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6960"/>
      </w:tblGrid>
      <w:tr>
        <w:trPr>
          <w:cantSplit/>
          <w:tblHeader/>
        </w:trPr>
        <w:tc>
          <w:tcPr>
            <w:tcW w:type="dxa" w:w="2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Step</w:t>
            </w:r>
          </w:p>
        </w:tc>
        <w:tc>
          <w:tcPr>
            <w:tcW w:type="dxa" w:w="69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What happens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Platform sign-in</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user authenticates at the existing platform login (organisation email + password, MFA, or the platform’s own SSO where enabled) — entirely outside QMS360’s build scope.</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Session hand-off</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platform issues a signed session/JWT carrying the user’s username and project name. QMS360’s AuthN middleware validates that token on every request, including on the common landing page; it never sees or stores the user’s password.</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Landing page &amp; application access check</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identity/access-mapping table (Section 21.5) confirms which of the three applications this username may open, and the common landing page (Section 3.3) is rendered accordingly.</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4. Local role check (inside the chosen application)</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application the user opens looks up this username in its own, independently-defined role table (Section 9.6) to confirm it has an active role here — QMS360 defines its own roles, entirely separate from the identity/access-mapping table in step 3.</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Authorisation</w:t>
            </w:r>
          </w:p>
        </w:tc>
        <w:tc>
          <w:tcPr>
            <w:tcW w:type="dxa" w:w="6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application applies the Platform Role and Workspace Role(s) it has on file for this username (Section 5, Section 7.3) to decide what this specific user sees and can do.</w:t>
            </w:r>
          </w:p>
        </w:tc>
      </w:tr>
    </w:tbl>
    <w:p>
      <w:pPr>
        <w:pStyle w:val="Heading2"/>
        <w:spacing w:after="160" w:before="340"/>
      </w:pPr>
      <w:r>
        <w:rPr>
          <w:rFonts w:ascii="Inter" w:cs="Inter" w:eastAsia="Inter" w:hAnsi="Inter"/>
          <w:b/>
          <w:bCs/>
          <w:color w:val="D4196A"/>
          <w:sz w:val="25"/>
          <w:szCs w:val="25"/>
        </w:rPr>
        <w:t xml:space="preserve">7.2 Authentication Model</w:t>
      </w:r>
    </w:p>
    <w:p>
      <w:pPr>
        <w:spacing w:after="160" w:before="0" w:line="276"/>
        <w:jc w:val="left"/>
      </w:pPr>
      <w:r>
        <w:rPr>
          <w:rFonts w:ascii="Inter" w:cs="Inter" w:eastAsia="Inter" w:hAnsi="Inter"/>
          <w:b w:val="false"/>
          <w:bCs w:val="false"/>
          <w:i w:val="false"/>
          <w:iCs w:val="false"/>
          <w:color w:val="111827"/>
          <w:sz w:val="21"/>
          <w:szCs w:val="21"/>
        </w:rPr>
        <w:t xml:space="preserve">Authentication itself — verifying who a user is — is entirely the existing platform’s responsibility. Each QMS360 application’s job is limited to trusting that verified identity, confirming the project it belongs to, and layering its own, independently-defined authorisation on top.</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2600"/>
        <w:gridCol w:w="3760"/>
      </w:tblGrid>
      <w:tr>
        <w:trPr>
          <w:cantSplit/>
          <w:tblHeader/>
        </w:trPr>
        <w:tc>
          <w:tcPr>
            <w:tcW w:type="dxa" w:w="30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Concern</w:t>
            </w:r>
          </w:p>
        </w:tc>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Owner</w:t>
            </w:r>
          </w:p>
        </w:tc>
        <w:tc>
          <w:tcPr>
            <w:tcW w:type="dxa" w:w="3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Notes</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Credential verification (password, MFA, SSO)</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Already live; not part of the QMS360 build. Any future change to how Algihaz’s users authenticate (adding SSO, changing MFA policy) happens once, at the platform level, and is inherited by every QMS360 application automatically.</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Session issuance &amp; renewal</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Each QMS360 application consumes the platform’s session token; none of them issues its own login session independently of it.</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Session validation on every request</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(this design)</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API call verifies the platform session token is present and unexpired before any RBAC check runs (Section 14.3).</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Username &amp; project confirmation</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 (Container)</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platform confirms the username exists and which project it belongs to — nothing more. It carries no concept of QMS-specific roles.</w:t>
            </w:r>
          </w:p>
        </w:tc>
      </w:tr>
      <w:tr>
        <w:trPr>
          <w:cantSplit/>
        </w:trPr>
        <w:tc>
          <w:tcPr>
            <w:tcW w:type="dxa" w:w="3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Role definition and authorisation (what can they do in this application?)</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(this design), per application</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Entirely QMS360-native, defined independently by each application — Section 5.2, Section 18.</w:t>
            </w:r>
          </w:p>
        </w:tc>
      </w:tr>
    </w:tbl>
    <w:p>
      <w:pPr>
        <w:pStyle w:val="Heading2"/>
        <w:spacing w:after="160" w:before="340"/>
      </w:pPr>
      <w:r>
        <w:rPr>
          <w:rFonts w:ascii="Inter" w:cs="Inter" w:eastAsia="Inter" w:hAnsi="Inter"/>
          <w:b/>
          <w:bCs/>
          <w:color w:val="D4196A"/>
          <w:sz w:val="25"/>
          <w:szCs w:val="25"/>
        </w:rPr>
        <w:t xml:space="preserve">7.3 User Identity Sync &amp; Workspace Access Request</w:t>
      </w:r>
    </w:p>
    <w:p>
      <w:pPr>
        <w:spacing w:after="160" w:before="0" w:line="276"/>
        <w:jc w:val="left"/>
      </w:pPr>
      <w:r>
        <w:rPr>
          <w:rFonts w:ascii="Inter" w:cs="Inter" w:eastAsia="Inter" w:hAnsi="Inter"/>
          <w:b w:val="false"/>
          <w:bCs w:val="false"/>
          <w:i w:val="false"/>
          <w:iCs w:val="false"/>
          <w:color w:val="111827"/>
          <w:sz w:val="21"/>
          <w:szCs w:val="21"/>
        </w:rPr>
        <w:t xml:space="preserve">QMS360 never creates a new user account. A person must already exist as a username on the existing Algihaz Platform before any QMS360 application can grant them a role — there is no self-registration screen inside any of the three applications, matching the team’s confirmed decision that “we don’t need to onboard users as a new user in the platform” for an application added to the container.</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Lookup: </w:t>
      </w:r>
      <w:r>
        <w:rPr>
          <w:rFonts w:ascii="Inter" w:cs="Inter" w:eastAsia="Inter" w:hAnsi="Inter"/>
          <w:b w:val="false"/>
          <w:bCs w:val="false"/>
          <w:i w:val="false"/>
          <w:iCs w:val="false"/>
          <w:color w:val="111827"/>
          <w:sz w:val="21"/>
          <w:szCs w:val="21"/>
        </w:rPr>
        <w:t xml:space="preserve">An Org Admin, from that application’s own Admin settings, enters or searches for the user by their existing platform username rather than typing in new registration details.</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Existence check: </w:t>
      </w:r>
      <w:r>
        <w:rPr>
          <w:rFonts w:ascii="Inter" w:cs="Inter" w:eastAsia="Inter" w:hAnsi="Inter"/>
          <w:b w:val="false"/>
          <w:bCs w:val="false"/>
          <w:i w:val="false"/>
          <w:iCs w:val="false"/>
          <w:color w:val="111827"/>
          <w:sz w:val="21"/>
          <w:szCs w:val="21"/>
        </w:rPr>
        <w:t xml:space="preserve">The Integration Cockpit calls the platform to confirm that username and its associated project exist. If it does not, QMS360 stops immediately with a clear “this person is not yet provisioned on the platform” message — that provisioning happens upstream, outside QMS360.</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Role assignment (both layers): </w:t>
      </w:r>
      <w:r>
        <w:rPr>
          <w:rFonts w:ascii="Inter" w:cs="Inter" w:eastAsia="Inter" w:hAnsi="Inter"/>
          <w:b w:val="false"/>
          <w:bCs w:val="false"/>
          <w:i w:val="false"/>
          <w:iCs w:val="false"/>
          <w:color w:val="111827"/>
          <w:sz w:val="21"/>
          <w:szCs w:val="21"/>
        </w:rPr>
        <w:t xml:space="preserve">The Org Admin assigns this username a Platform Role (if it does not already hold one from another QMS360 application) and this application’s specific Workspace Role(s) (e.g., Form Creator, Auditor) and scope (Project/BU) — every part of this step happens entirely inside QMS360, since the platform has no concept of “Auditor” or “Approver.”</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Grant: </w:t>
      </w:r>
      <w:r>
        <w:rPr>
          <w:rFonts w:ascii="Inter" w:cs="Inter" w:eastAsia="Inter" w:hAnsi="Inter"/>
          <w:b w:val="false"/>
          <w:bCs w:val="false"/>
          <w:i w:val="false"/>
          <w:iCs w:val="false"/>
          <w:color w:val="111827"/>
          <w:sz w:val="21"/>
          <w:szCs w:val="21"/>
        </w:rPr>
        <w:t xml:space="preserve">On confirmation, the role is active immediately; the next time that user opens this application from the platform switcher, their permissions reflect the new grant.</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Audit trail: </w:t>
      </w:r>
      <w:r>
        <w:rPr>
          <w:rFonts w:ascii="Inter" w:cs="Inter" w:eastAsia="Inter" w:hAnsi="Inter"/>
          <w:b w:val="false"/>
          <w:bCs w:val="false"/>
          <w:i w:val="false"/>
          <w:iCs w:val="false"/>
          <w:color w:val="111827"/>
          <w:sz w:val="21"/>
          <w:szCs w:val="21"/>
        </w:rPr>
        <w:t xml:space="preserve">Every access grant, its approver, and the assigned role/scope is written to that application’s Audit &amp; Compliance Log (Section 9.6.5) — permanently, even if the grant is later revoked.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Configurable approval routing</w:t>
            </w:r>
          </w:p>
          <w:p>
            <w:pPr>
              <w:spacing w:after="60" w:line="260"/>
            </w:pPr>
            <w:r>
              <w:rPr>
                <w:rFonts w:ascii="Inter" w:cs="Inter" w:eastAsia="Inter" w:hAnsi="Inter"/>
                <w:color w:val="111827"/>
                <w:sz w:val="19"/>
                <w:szCs w:val="19"/>
              </w:rPr>
              <w:t xml:space="preserve">By default any Org Admin can grant workspace access. Algihaz can optionally configure department-scoped approvers (e.g., a BU Head approves Workspace grants for their own BU) and a second-approver rule for any Super Admin / Org Admin role grant specifically, so no one can silently self-elevate.</w:t>
            </w:r>
          </w:p>
        </w:tc>
      </w:tr>
    </w:tbl>
    <w:p>
      <w:pPr>
        <w:pStyle w:val="Heading2"/>
        <w:spacing w:after="160" w:before="340"/>
      </w:pPr>
      <w:r>
        <w:rPr>
          <w:rFonts w:ascii="Inter" w:cs="Inter" w:eastAsia="Inter" w:hAnsi="Inter"/>
          <w:b/>
          <w:bCs/>
          <w:color w:val="D4196A"/>
          <w:sz w:val="25"/>
          <w:szCs w:val="25"/>
        </w:rPr>
        <w:t xml:space="preserve">7.4 Delegation of Access (Leave / Out-of-Office Coverage)</w:t>
      </w:r>
    </w:p>
    <w:p>
      <w:pPr>
        <w:spacing w:after="160" w:before="0" w:line="276"/>
        <w:jc w:val="left"/>
      </w:pPr>
      <w:r>
        <w:rPr>
          <w:rFonts w:ascii="Inter" w:cs="Inter" w:eastAsia="Inter" w:hAnsi="Inter"/>
          <w:b w:val="false"/>
          <w:bCs w:val="false"/>
          <w:i w:val="false"/>
          <w:iCs w:val="false"/>
          <w:color w:val="111827"/>
          <w:sz w:val="21"/>
          <w:szCs w:val="21"/>
        </w:rPr>
        <w:t xml:space="preserve">Approvals in QMS360 (report sign-off, CAR acceptance, audit schedule approval, lesson-learned approval) should never stall because one person is on leave. Any user who holds an approval-capable role can delegate that authority to a named colleague for a bounded period.</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Set up: </w:t>
      </w:r>
      <w:r>
        <w:rPr>
          <w:rFonts w:ascii="Inter" w:cs="Inter" w:eastAsia="Inter" w:hAnsi="Inter"/>
          <w:b w:val="false"/>
          <w:bCs w:val="false"/>
          <w:i w:val="false"/>
          <w:iCs w:val="false"/>
          <w:color w:val="111827"/>
          <w:sz w:val="21"/>
          <w:szCs w:val="21"/>
        </w:rPr>
        <w:t xml:space="preserve">From Profile → Delegate Access, the user selects a delegate, the scope of the delegation (one workspace, one approval type, or “all my approvals”), and a start/end date.</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Optional admin confirmation: </w:t>
      </w:r>
      <w:r>
        <w:rPr>
          <w:rFonts w:ascii="Inter" w:cs="Inter" w:eastAsia="Inter" w:hAnsi="Inter"/>
          <w:b w:val="false"/>
          <w:bCs w:val="false"/>
          <w:i w:val="false"/>
          <w:iCs w:val="false"/>
          <w:color w:val="111827"/>
          <w:sz w:val="21"/>
          <w:szCs w:val="21"/>
        </w:rPr>
        <w:t xml:space="preserve">Org Settings can require an Org Admin to confirm delegations above a configurable risk threshold (e.g., Super Admin or financial-impact approvals) — off by default for ordinary workspace approvals.</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Activation: </w:t>
      </w:r>
      <w:r>
        <w:rPr>
          <w:rFonts w:ascii="Inter" w:cs="Inter" w:eastAsia="Inter" w:hAnsi="Inter"/>
          <w:b w:val="false"/>
          <w:bCs w:val="false"/>
          <w:i w:val="false"/>
          <w:iCs w:val="false"/>
          <w:color w:val="111827"/>
          <w:sz w:val="21"/>
          <w:szCs w:val="21"/>
        </w:rPr>
        <w:t xml:space="preserve">For the duration of the window, the delegate sees the delegator’s pending approvals in their own queue, clearly labelled “Delegated from [Name].”</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Attribution: </w:t>
      </w:r>
      <w:r>
        <w:rPr>
          <w:rFonts w:ascii="Inter" w:cs="Inter" w:eastAsia="Inter" w:hAnsi="Inter"/>
          <w:b w:val="false"/>
          <w:bCs w:val="false"/>
          <w:i w:val="false"/>
          <w:iCs w:val="false"/>
          <w:color w:val="111827"/>
          <w:sz w:val="21"/>
          <w:szCs w:val="21"/>
        </w:rPr>
        <w:t xml:space="preserve">Every action taken under delegation is recorded as “Approved by [Delegate] on behalf of [Delegator]” — both names are permanently visible in the audit trail; the delegate cannot claim the action as their own, and the delegator remains accountable for scope of delegation.</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Auto-reversion: </w:t>
      </w:r>
      <w:r>
        <w:rPr>
          <w:rFonts w:ascii="Inter" w:cs="Inter" w:eastAsia="Inter" w:hAnsi="Inter"/>
          <w:b w:val="false"/>
          <w:bCs w:val="false"/>
          <w:i w:val="false"/>
          <w:iCs w:val="false"/>
          <w:color w:val="111827"/>
          <w:sz w:val="21"/>
          <w:szCs w:val="21"/>
        </w:rPr>
        <w:t xml:space="preserve">Delegated authority automatically expires at the end date — no manual clean-up required. Either party (or an admin) can revoke it early.</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Escalation awareness: </w:t>
      </w:r>
      <w:r>
        <w:rPr>
          <w:rFonts w:ascii="Inter" w:cs="Inter" w:eastAsia="Inter" w:hAnsi="Inter"/>
          <w:b w:val="false"/>
          <w:bCs w:val="false"/>
          <w:i w:val="false"/>
          <w:iCs w:val="false"/>
          <w:color w:val="111827"/>
          <w:sz w:val="21"/>
          <w:szCs w:val="21"/>
        </w:rPr>
        <w:t xml:space="preserve">If both the original approver and the delegate are unavailable, the normal escalation matrix (Section 13) continues to apply — delegation is a first line of coverage, not a replacement for escalation.</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Visibility for admins: </w:t>
      </w:r>
      <w:r>
        <w:rPr>
          <w:rFonts w:ascii="Inter" w:cs="Inter" w:eastAsia="Inter" w:hAnsi="Inter"/>
          <w:b w:val="false"/>
          <w:bCs w:val="false"/>
          <w:i w:val="false"/>
          <w:iCs w:val="false"/>
          <w:color w:val="111827"/>
          <w:sz w:val="21"/>
          <w:szCs w:val="21"/>
        </w:rPr>
        <w:t xml:space="preserve">Admin settings → Delegations shows every active and historical delegation for that application, with the ability to revoke any of them immediately (e.g., if a delegate account is compromised or the delegator returns early).</w:t>
      </w:r>
    </w:p>
    <w:p>
      <w:pPr>
        <w:pStyle w:val="Heading2"/>
        <w:spacing w:after="160" w:before="340"/>
      </w:pPr>
      <w:r>
        <w:rPr>
          <w:rFonts w:ascii="Inter" w:cs="Inter" w:eastAsia="Inter" w:hAnsi="Inter"/>
          <w:b/>
          <w:bCs/>
          <w:color w:val="D4196A"/>
          <w:sz w:val="25"/>
          <w:szCs w:val="25"/>
        </w:rPr>
        <w:t xml:space="preserve">7.5 Offboarding, De-provisioning &amp; Approval Reassignment</w:t>
      </w:r>
    </w:p>
    <w:p>
      <w:pPr>
        <w:spacing w:after="160" w:before="0" w:line="276"/>
        <w:jc w:val="left"/>
      </w:pPr>
      <w:r>
        <w:rPr>
          <w:rFonts w:ascii="Inter" w:cs="Inter" w:eastAsia="Inter" w:hAnsi="Inter"/>
          <w:b w:val="false"/>
          <w:bCs w:val="false"/>
          <w:i w:val="false"/>
          <w:iCs w:val="false"/>
          <w:color w:val="111827"/>
          <w:sz w:val="21"/>
          <w:szCs w:val="21"/>
        </w:rPr>
        <w:t xml:space="preserve">Because identity itself is owned by the existing platform, the primary deactivation event now originates there; each QMS360 application’s responsibility is to react to it immediately and to close out what it uniquely owns — pending approvals and delegations within that application. This still covers cancelling or reassigning a pending approval, the process Algihaz specifically asked to have designed.</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Trigger: </w:t>
      </w:r>
      <w:r>
        <w:rPr>
          <w:rFonts w:ascii="Inter" w:cs="Inter" w:eastAsia="Inter" w:hAnsi="Inter"/>
          <w:b w:val="false"/>
          <w:bCs w:val="false"/>
          <w:i w:val="false"/>
          <w:iCs w:val="false"/>
          <w:color w:val="111827"/>
          <w:sz w:val="21"/>
          <w:szCs w:val="21"/>
        </w:rPr>
        <w:t xml:space="preserve">The platform deactivates a user (leaver, long absence, or a manual Org Admin action from an application’s own Admin settings → Users, which also propagates the deactivation). Either path is treated identically.</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Access closure: </w:t>
      </w:r>
      <w:r>
        <w:rPr>
          <w:rFonts w:ascii="Inter" w:cs="Inter" w:eastAsia="Inter" w:hAnsi="Inter"/>
          <w:b w:val="false"/>
          <w:bCs w:val="false"/>
          <w:i w:val="false"/>
          <w:iCs w:val="false"/>
          <w:color w:val="111827"/>
          <w:sz w:val="21"/>
          <w:szCs w:val="21"/>
        </w:rPr>
        <w:t xml:space="preserve">A deactivated user cannot open that QMS360 application — the role check in Section 7.1 fails on their next attempt. Their historical records and audit trail remain intact and are never deleted.</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Pending-approval handling: </w:t>
      </w:r>
      <w:r>
        <w:rPr>
          <w:rFonts w:ascii="Inter" w:cs="Inter" w:eastAsia="Inter" w:hAnsi="Inter"/>
          <w:b w:val="false"/>
          <w:bCs w:val="false"/>
          <w:i w:val="false"/>
          <w:iCs w:val="false"/>
          <w:color w:val="111827"/>
          <w:sz w:val="21"/>
          <w:szCs w:val="21"/>
        </w:rPr>
        <w:t xml:space="preserve">On deactivation, QMS360 detects any approval task still sitting with that user and prompts an Org Admin to either reassign it to a specific person, reassign it to a role (e.g., “any Quality Manager”), or cancel it back to Draft for the original submitter to re-route — this is the “deletion / reassignment of approval” capability, always logged.</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Active delegation handling: </w:t>
      </w:r>
      <w:r>
        <w:rPr>
          <w:rFonts w:ascii="Inter" w:cs="Inter" w:eastAsia="Inter" w:hAnsi="Inter"/>
          <w:b w:val="false"/>
          <w:bCs w:val="false"/>
          <w:i w:val="false"/>
          <w:iCs w:val="false"/>
          <w:color w:val="111827"/>
          <w:sz w:val="21"/>
          <w:szCs w:val="21"/>
        </w:rPr>
        <w:t xml:space="preserve">Any delegation the deactivated user had created or received is automatically revoked at the same time.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Grace-period export: </w:t>
      </w:r>
      <w:r>
        <w:rPr>
          <w:rFonts w:ascii="Inter" w:cs="Inter" w:eastAsia="Inter" w:hAnsi="Inter"/>
          <w:b w:val="false"/>
          <w:bCs w:val="false"/>
          <w:i w:val="false"/>
          <w:iCs w:val="false"/>
          <w:color w:val="111827"/>
          <w:sz w:val="21"/>
          <w:szCs w:val="21"/>
        </w:rPr>
        <w:t xml:space="preserve">Before final deactivation, an admin can export a user’s QMS360 activity history if required for a handover.</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Re-activation: </w:t>
      </w:r>
      <w:r>
        <w:rPr>
          <w:rFonts w:ascii="Inter" w:cs="Inter" w:eastAsia="Inter" w:hAnsi="Inter"/>
          <w:b w:val="false"/>
          <w:bCs w:val="false"/>
          <w:i w:val="false"/>
          <w:iCs w:val="false"/>
          <w:color w:val="111827"/>
          <w:sz w:val="21"/>
          <w:szCs w:val="21"/>
        </w:rPr>
        <w:t xml:space="preserve">If the platform re-activates a user (seasonal staff, return from long leave), their prior QMS360 workspace roles and historical record are restored automatically, without re-entry.</w:t>
      </w:r>
    </w:p>
    <w:p>
      <w:pPr>
        <w:pStyle w:val="Heading2"/>
        <w:spacing w:after="160" w:before="340"/>
      </w:pPr>
      <w:r>
        <w:rPr>
          <w:rFonts w:ascii="Inter" w:cs="Inter" w:eastAsia="Inter" w:hAnsi="Inter"/>
          <w:b/>
          <w:bCs/>
          <w:color w:val="D4196A"/>
          <w:sz w:val="25"/>
          <w:szCs w:val="25"/>
        </w:rPr>
        <w:t xml:space="preserve">7.6 Session, Password &amp; Security Policy</w:t>
      </w:r>
    </w:p>
    <w:p>
      <w:pPr>
        <w:spacing w:after="160" w:before="0" w:line="276"/>
        <w:jc w:val="left"/>
      </w:pPr>
      <w:r>
        <w:rPr>
          <w:rFonts w:ascii="Inter" w:cs="Inter" w:eastAsia="Inter" w:hAnsi="Inter"/>
          <w:b w:val="false"/>
          <w:bCs w:val="false"/>
          <w:i w:val="false"/>
          <w:iCs w:val="false"/>
          <w:color w:val="111827"/>
          <w:sz w:val="21"/>
          <w:szCs w:val="21"/>
        </w:rPr>
        <w:t xml:space="preserve">Password and session-security policy for sign-in itself is set once, at the platform level, and applies uniformly to QMS360’s three applications and every other application in the container — it is not configured separately here. The table below shows what each layer is responsible for.</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2600"/>
        <w:gridCol w:w="4360"/>
      </w:tblGrid>
      <w:tr>
        <w:trPr>
          <w:cantSplit/>
          <w:tblHeader/>
        </w:trPr>
        <w:tc>
          <w:tcPr>
            <w:tcW w:type="dxa" w:w="2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Control</w:t>
            </w:r>
          </w:p>
        </w:tc>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Owner</w:t>
            </w:r>
          </w:p>
        </w:tc>
        <w:tc>
          <w:tcPr>
            <w:tcW w:type="dxa" w:w="43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Notes</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Password complexity &amp; expiry</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w:t>
            </w:r>
          </w:p>
        </w:tc>
        <w:tc>
          <w:tcPr>
            <w:tcW w:type="dxa" w:w="4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Set once at the platform level; every QMS360 application inherits it automatically.</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Account lockout on repeated failure</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w:t>
            </w:r>
          </w:p>
        </w:tc>
        <w:tc>
          <w:tcPr>
            <w:tcW w:type="dxa" w:w="4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Enforced at the sign-in screen, before a session token is ever issued to any application.</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MFA requirement</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w:t>
            </w:r>
          </w:p>
        </w:tc>
        <w:tc>
          <w:tcPr>
            <w:tcW w:type="dxa" w:w="4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Configurable platform-wide; can be made mandatory for specific Platform Roles (e.g., Super Admin) at that level.</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session/token validation</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(this design)</w:t>
            </w:r>
          </w:p>
        </w:tc>
        <w:tc>
          <w:tcPr>
            <w:tcW w:type="dxa" w:w="4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request re-checks the platform session token is present and unexpired before any RBAC check (Section 14.3); an expired platform session immediately blocks QMS360 access too.</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Device/session visibility</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Existing Algihaz Platform</w:t>
            </w:r>
          </w:p>
        </w:tc>
        <w:tc>
          <w:tcPr>
            <w:tcW w:type="dxa" w:w="4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Users see and revoke their own active sessions, and admins can force-logout platform-wide, from the platform’s own security settings — this reaches every application in the container, QMS360’s three included.</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of QMS360-specific auth events</w:t>
            </w:r>
          </w:p>
        </w:tc>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 (this design)</w:t>
            </w:r>
          </w:p>
        </w:tc>
        <w:tc>
          <w:tcPr>
            <w:tcW w:type="dxa" w:w="43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role check, role grant/revoke and delegation event is written to that application’s own Audit &amp; Compliance Log (Section 9.6.5), independent of the platform’s own login audit trail.</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8. Application Home Screens</w:t>
      </w:r>
    </w:p>
    <w:p>
      <w:pPr>
        <w:spacing w:after="160" w:before="0" w:line="276"/>
        <w:jc w:val="left"/>
      </w:pPr>
      <w:r>
        <w:rPr>
          <w:rFonts w:ascii="Inter" w:cs="Inter" w:eastAsia="Inter" w:hAnsi="Inter"/>
          <w:b w:val="false"/>
          <w:bCs w:val="false"/>
          <w:i w:val="false"/>
          <w:iCs w:val="false"/>
          <w:color w:val="111827"/>
          <w:sz w:val="21"/>
          <w:szCs w:val="21"/>
        </w:rPr>
        <w:t xml:space="preserve">Each of the three QMS360 applications has its own home screen, reached by signing into the existing Algihaz Platform (Section 7.1), passing through the common QMS360 landing page (Section 3.3), and opening that specific application from its launcher there. All three follow the same pattern and design language, shown below for QA/QC &amp; Document Governance: a personalised greeting with live at-a-glance numbers for that application, this application’s own modules, a quick link back to the common landing page, and — only for that application’s Super Admin / Org Admin — its own Settings row.</w:t>
      </w:r>
    </w:p>
    <w:p>
      <w:pPr>
        <w:pBdr>
          <w:top w:val="single" w:color="E5E7EB" w:sz="4" w:space="4"/>
          <w:bottom w:val="single" w:color="E5E7EB" w:sz="4" w:space="4"/>
          <w:left w:val="single" w:color="E5E7EB" w:sz="4" w:space="4"/>
          <w:right w:val="single" w:color="E5E7EB" w:sz="4" w:space="4"/>
        </w:pBdr>
        <w:spacing w:after="80" w:before="160"/>
        <w:jc w:val="center"/>
      </w:pPr>
      <w:r>
        <w:drawing>
          <wp:inline distT="0" distB="0" distL="0" distR="0">
            <wp:extent cx="58293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886200"/>
                    </a:xfrm>
                    <a:prstGeom prst="rect">
                      <a:avLst/>
                    </a:prstGeom>
                  </pic:spPr>
                </pic:pic>
              </a:graphicData>
            </a:graphic>
          </wp:inline>
        </w:drawing>
      </w:r>
    </w:p>
    <w:p>
      <w:pPr>
        <w:spacing w:after="240"/>
        <w:jc w:val="center"/>
      </w:pPr>
      <w:r>
        <w:rPr>
          <w:rFonts w:ascii="Inter" w:cs="Inter" w:eastAsia="Inter" w:hAnsi="Inter"/>
          <w:i/>
          <w:iCs/>
          <w:color w:val="6B7280"/>
          <w:sz w:val="17"/>
          <w:szCs w:val="17"/>
        </w:rPr>
        <w:t xml:space="preserve">Figure 1 — Application Home pattern (shown for QA/QC &amp; Document Governance)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60"/>
      </w:tblGrid>
      <w:tr>
        <w:trPr>
          <w:cantSplit/>
          <w:tblHeader/>
        </w:trPr>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Zone</w:t>
            </w:r>
          </w:p>
        </w:tc>
        <w:tc>
          <w:tcPr>
            <w:tcW w:type="dxa" w:w="71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Content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Top bar</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This application’s own name and icon, global search (projects, records specific to this application), notification bell with unread count, profile avatar (Profile, Delegate Access, Security, Sign out).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Greeting strip</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Name-personalised greeting plus a one-line live summary specific to this application: pending approvals, items due, latest quality index — pulled live, not cached.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This application’s modules</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Direct links into this application’s own workflow screens and dashboards — there is no cross-application tile picker to navigate through first.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Back to landing page</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compact link back to the common QMS360 landing page (Section 3.3) to switch to either of the other two applications or view the Executive Page — each application opens as its own separate application, not a tab.</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Settings row</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Visible only to this application’s Super Admin / Org Admin. Surfaces its own Admin areas — RBAC &amp; Users, Escalation Configuration, AI Settings &amp; Controls, Notification Center, Audit &amp; Compliance Log (Section 9.6) — as quick-jump pills, built and configured entirely independently of the other two applications.</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9. Shared Platform Services</w:t>
      </w:r>
    </w:p>
    <w:p>
      <w:pPr>
        <w:spacing w:after="160" w:before="0" w:line="276"/>
        <w:jc w:val="left"/>
      </w:pPr>
      <w:r>
        <w:rPr>
          <w:rFonts w:ascii="Inter" w:cs="Inter" w:eastAsia="Inter" w:hAnsi="Inter"/>
          <w:b w:val="false"/>
          <w:bCs w:val="false"/>
          <w:i w:val="false"/>
          <w:iCs w:val="false"/>
          <w:color w:val="111827"/>
          <w:sz w:val="21"/>
          <w:szCs w:val="21"/>
        </w:rPr>
        <w:t xml:space="preserve">Corrected in internal design review: this section covers only what is genuinely shared across all three applications — Project &amp; Master Data Sync, the Integration Cockpit and its Data Sync Cockpit, platform-wide Organisation Settings, and the Executive Page on the common landing page. RBAC, Escalation &amp; Workflow Configuration, AI Settings &amp; Controls, the Notification Center and the Audit &amp; Compliance Log are deliberately not here — each is built and administered independently inside every application, described once as a pattern in Section 9.6 and then applied three times, in Sections 10, 11 and 12.</w:t>
      </w:r>
    </w:p>
    <w:p>
      <w:pPr>
        <w:pStyle w:val="Heading2"/>
        <w:spacing w:after="160" w:before="340"/>
      </w:pPr>
      <w:r>
        <w:rPr>
          <w:rFonts w:ascii="Inter" w:cs="Inter" w:eastAsia="Inter" w:hAnsi="Inter"/>
          <w:b/>
          <w:bCs/>
          <w:color w:val="D4196A"/>
          <w:sz w:val="25"/>
          <w:szCs w:val="25"/>
        </w:rPr>
        <w:t xml:space="preserve">9.1 Project &amp; Master Data Sync</w:t>
      </w:r>
    </w:p>
    <w:p>
      <w:pPr>
        <w:spacing w:after="160" w:before="0" w:line="276"/>
        <w:jc w:val="left"/>
      </w:pPr>
      <w:r>
        <w:rPr>
          <w:rFonts w:ascii="Inter" w:cs="Inter" w:eastAsia="Inter" w:hAnsi="Inter"/>
          <w:b w:val="false"/>
          <w:bCs w:val="false"/>
          <w:i w:val="false"/>
          <w:iCs w:val="false"/>
          <w:color w:val="111827"/>
          <w:sz w:val="21"/>
          <w:szCs w:val="21"/>
        </w:rPr>
        <w:t xml:space="preserve">All three BRDs define their own master-data section (Project Master, User Master, Business Unit, Discipline Master, Categorization Master, Escalation Matrix, Distribution Lists, Report Templates). Confirmed in the design review: Project and User records are managed through Algihaz’s Container, not authored in QMS360 — only Project and Business Unit records are genuinely shared, synced once and made available read-only to all three applications. Every other master listed in the source BRDs (Discipline, Categorisation, Target Benchmarks, Escalation Matrix values, Distribution Lists, Report Templates) is configured independently inside whichever application(s) use it — described where each is used in Sections 10–12, not duplicated here.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100"/>
        <w:gridCol w:w="2800"/>
        <w:gridCol w:w="4460"/>
      </w:tblGrid>
      <w:tr>
        <w:trPr>
          <w:cantSplit/>
          <w:tblHeader/>
        </w:trPr>
        <w:tc>
          <w:tcPr>
            <w:tcW w:type="dxa" w:w="21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Master</w:t>
            </w:r>
          </w:p>
        </w:tc>
        <w:tc>
          <w:tcPr>
            <w:tcW w:type="dxa" w:w="28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Source &amp; Scope</w:t>
            </w:r>
          </w:p>
        </w:tc>
        <w:tc>
          <w:tcPr>
            <w:tcW w:type="dxa" w:w="44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Key Fields (carried forward from source BRDs)</w:t>
            </w:r>
          </w:p>
        </w:tc>
      </w:tr>
      <w:tr>
        <w:trPr>
          <w:cantSplit/>
        </w:trPr>
        <w:tc>
          <w:tcPr>
            <w:tcW w:type="dxa" w:w="2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Project Master</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Synced read-only from Algihaz’s Container (Section 9.2.1) — not created or edited in QMS360; shared by all three applications</w:t>
            </w:r>
          </w:p>
        </w:tc>
        <w:tc>
          <w:tcPr>
            <w:tcW w:type="dxa" w:w="4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Project group, name, code, location, cost centre, target KPI %, QAQC representative, Document Controller, Project Manager, approval hierarchy, distribution list.</w:t>
            </w:r>
          </w:p>
        </w:tc>
      </w:tr>
      <w:tr>
        <w:trPr>
          <w:cantSplit/>
        </w:trPr>
        <w:tc>
          <w:tcPr>
            <w:tcW w:type="dxa" w:w="2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Business Unit Master</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QMS360-native, shared across all 3 applications</w:t>
            </w:r>
          </w:p>
        </w:tc>
        <w:tc>
          <w:tcPr>
            <w:tcW w:type="dxa" w:w="4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 name, parent group, associated projects.</w:t>
            </w:r>
          </w:p>
        </w:tc>
      </w:tr>
      <w:tr>
        <w:trPr>
          <w:cantSplit/>
        </w:trPr>
        <w:tc>
          <w:tcPr>
            <w:tcW w:type="dxa" w:w="2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Username, Project Association &amp; Application Access</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Username/project synced read-only from Algihaz’s Container (Section 9.2.1); the identity/access-mapping table (Section 21.5) additionally confirms which of the three applications each username may open — not authored in QMS360</w:t>
            </w:r>
          </w:p>
        </w:tc>
        <w:tc>
          <w:tcPr>
            <w:tcW w:type="dxa" w:w="4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Username, associated project(s), application-access flags. Platform Role, Workspace Role(s) &amp; scope, email, mobile and SBG/BU are then defined independently inside each application (Section 5, Section 9.6) once the username is confirmed.</w:t>
            </w:r>
          </w:p>
        </w:tc>
      </w:tr>
    </w:tbl>
    <w:p>
      <w:pPr>
        <w:pStyle w:val="Heading2"/>
        <w:spacing w:after="160" w:before="340"/>
      </w:pPr>
      <w:r>
        <w:rPr>
          <w:rFonts w:ascii="Inter" w:cs="Inter" w:eastAsia="Inter" w:hAnsi="Inter"/>
          <w:b/>
          <w:bCs/>
          <w:color w:val="D4196A"/>
          <w:sz w:val="25"/>
          <w:szCs w:val="25"/>
        </w:rPr>
        <w:t xml:space="preserve">9.2 Integration Cockpit</w:t>
      </w:r>
    </w:p>
    <w:p>
      <w:pPr>
        <w:spacing w:after="160" w:before="0" w:line="276"/>
        <w:jc w:val="left"/>
      </w:pPr>
      <w:r>
        <w:rPr>
          <w:rFonts w:ascii="Inter" w:cs="Inter" w:eastAsia="Inter" w:hAnsi="Inter"/>
          <w:b w:val="false"/>
          <w:bCs w:val="false"/>
          <w:i w:val="false"/>
          <w:iCs w:val="false"/>
          <w:color w:val="111827"/>
          <w:sz w:val="21"/>
          <w:szCs w:val="21"/>
        </w:rPr>
        <w:t xml:space="preserve">A single, shared connector framework — used by all three applications — so every system QMS360 needs to talk to is integrated once, governed once, and monitored once, rather than once per application. The most important connector is the first one: the real-time link back to Algihaz’s platform every application depends on. QMS360 does not plan or depend on any ERP integration — the record types each application captures (NCR, RFI, RMI, submittal/drawing status, and similar) are entered directly by their users, exactly as the source BRDs specify, not pulled live from Unifier or another ERP/PMIS system.</w:t>
      </w:r>
    </w:p>
    <w:p>
      <w:pPr>
        <w:pStyle w:val="Heading3"/>
        <w:spacing w:after="120" w:before="240"/>
      </w:pPr>
      <w:r>
        <w:rPr>
          <w:rFonts w:ascii="Inter" w:cs="Inter" w:eastAsia="Inter" w:hAnsi="Inter"/>
          <w:b/>
          <w:bCs/>
          <w:color w:val="732DEB"/>
          <w:sz w:val="22"/>
          <w:szCs w:val="22"/>
        </w:rPr>
        <w:t xml:space="preserve">9.2.1 Platform Username &amp; Project Sync (confirmed architecture)</w:t>
      </w:r>
    </w:p>
    <w:p>
      <w:pPr>
        <w:spacing w:after="160" w:before="0" w:line="276"/>
        <w:jc w:val="left"/>
      </w:pPr>
      <w:r>
        <w:rPr>
          <w:rFonts w:ascii="Inter" w:cs="Inter" w:eastAsia="Inter" w:hAnsi="Inter"/>
          <w:b w:val="false"/>
          <w:bCs w:val="false"/>
          <w:i w:val="false"/>
          <w:iCs w:val="false"/>
          <w:color w:val="111827"/>
          <w:sz w:val="21"/>
          <w:szCs w:val="21"/>
        </w:rPr>
        <w:t xml:space="preserve">This is the pattern Algihaz’s platform engineering team confirmed on the 30-08-2026 architecture call and in the subsequent design review, and it is the connector every other one is modelled on:</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Existence check: </w:t>
      </w:r>
      <w:r>
        <w:rPr>
          <w:rFonts w:ascii="Inter" w:cs="Inter" w:eastAsia="Inter" w:hAnsi="Inter"/>
          <w:b w:val="false"/>
          <w:bCs w:val="false"/>
          <w:i w:val="false"/>
          <w:iCs w:val="false"/>
          <w:color w:val="111827"/>
          <w:sz w:val="21"/>
          <w:szCs w:val="21"/>
        </w:rPr>
        <w:t xml:space="preserve">Given a username (from an Org Admin granting access, Section 7.3, or from a session token, Section 7.1), the Integration Cockpit calls Algihaz’s platform to confirm that username exists. If it does not, the call stops with a clear “not provisioned on platform” result — QMS360 never creates the record itself.</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Project confirmation: </w:t>
      </w:r>
      <w:r>
        <w:rPr>
          <w:rFonts w:ascii="Inter" w:cs="Inter" w:eastAsia="Inter" w:hAnsi="Inter"/>
          <w:b w:val="false"/>
          <w:bCs w:val="false"/>
          <w:i w:val="false"/>
          <w:iCs w:val="false"/>
          <w:color w:val="111827"/>
          <w:sz w:val="21"/>
          <w:szCs w:val="21"/>
        </w:rPr>
        <w:t xml:space="preserve">In the same call, the Cockpit confirms which project name that username is associated with. This is the entire scope of what QMS360 takes from Algihaz’s platform — no role or entitlement data crosses this boundary, since every QMS360 application defines and holds its own roles (Section 3.2).</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Project sync: </w:t>
      </w:r>
      <w:r>
        <w:rPr>
          <w:rFonts w:ascii="Inter" w:cs="Inter" w:eastAsia="Inter" w:hAnsi="Inter"/>
          <w:b w:val="false"/>
          <w:bCs w:val="false"/>
          <w:i w:val="false"/>
          <w:iCs w:val="false"/>
          <w:color w:val="111827"/>
          <w:sz w:val="21"/>
          <w:szCs w:val="21"/>
        </w:rPr>
        <w:t xml:space="preserve">Projects and Business Units are master data owned centrally by the platform. The Cockpit keeps a real-time (event- or short-poll-driven) mirror of the Project Master inside QMS360, so a project created once, centrally, is immediately available to all three applications without being re-created.</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Local layering: </w:t>
      </w:r>
      <w:r>
        <w:rPr>
          <w:rFonts w:ascii="Inter" w:cs="Inter" w:eastAsia="Inter" w:hAnsi="Inter"/>
          <w:b w:val="false"/>
          <w:bCs w:val="false"/>
          <w:i w:val="false"/>
          <w:iCs w:val="false"/>
          <w:color w:val="111827"/>
          <w:sz w:val="21"/>
          <w:szCs w:val="21"/>
        </w:rPr>
        <w:t xml:space="preserve">Everything QMS360 adds on top — Platform Role, Workspace Role, scope, escalation configuration, transactional data — is layered locally against that synced username/project record, independently by each application, never against a QMS360-only copy of identity.</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5560"/>
        <w:gridCol w:w="1200"/>
      </w:tblGrid>
      <w:tr>
        <w:trPr>
          <w:cantSplit/>
          <w:tblHeader/>
        </w:trPr>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Connector Family</w:t>
            </w:r>
          </w:p>
        </w:tc>
        <w:tc>
          <w:tcPr>
            <w:tcW w:type="dxa" w:w="5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Purpose</w:t>
            </w:r>
          </w:p>
        </w:tc>
        <w:tc>
          <w:tcPr>
            <w:tcW w:type="dxa" w:w="1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Goes Live When</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Platform (Username &amp; Project Sync)</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Real-time username existence check and Project/BU master sync (Section 9.2.1) — the foundation every application and every other connector below builds on</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Always on — native, no key needed</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Email (SMTP / Microsoft Graph)</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Outbound report distribution, escalation and notification delivery</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provides a mailbox/SMTP or Graph credential</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AI Provider (Claude / configurable LLM)</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Powers the AI Quality Brief Generator, Lesson Learned rephrasing, and prompt-to-transaction execution — each application’s own AI Settings &amp; Controls (Section 9.6) switches this on independently</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(or VerionAI, on Algihaz’s behalf) provides an LLM API key</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Oracle ADW (Data Warehouse)</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Populates Algihaz’s Oracle Autonomous Data Warehouse with Quality apps data, on a configurable near-real-time or scheduled daily/weekly cadence, alongside Algihaz’s own container-to-ADW pipeline (Section 9.2.2)</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confirms scope/cadence — see Section 9.2.2</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BI / Excel export feed</w:t>
            </w:r>
          </w:p>
        </w:tc>
        <w:tc>
          <w:tcPr>
            <w:tcW w:type="dxa" w:w="5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In-app Excel export and a direct Power BI connection string for ad hoc reporting, independent of the Oracle ADW pipeline above</w:t>
            </w:r>
          </w:p>
        </w:tc>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Built-in — Excel export requires nothing further; Power BI feed requires a workspace connection string</w:t>
            </w:r>
          </w:p>
        </w:tc>
      </w:tr>
    </w:tbl>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Connector health monitor: live status (Connected / Degraded / Failed) per connector with last-successful-sync timestamp — the platform username/project connector included, since every application depends on it operationally, not only at onboarding.</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Field-mapping studio: no-code mapping of an external system’s fields to QMS360 fields, versioned so a mapping change is reviewable and reversible.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Sandbox mode: test a new mapping against sample payloads before it touches production data.</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Credential vault: API keys / OAuth tokens stored encrypted and rotated without redeploying the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Designed to onboard the next application the same way: the same lightweight existence-check-plus-project-sync pattern is what lets a future QMS application (Section 3.2 — the team’s stated 7–8 application cluster) plug into the same platform without re-solving this problem.</w:t>
      </w:r>
    </w:p>
    <w:p>
      <w:pPr>
        <w:pStyle w:val="Heading3"/>
        <w:spacing w:after="120" w:before="240"/>
      </w:pPr>
      <w:r>
        <w:rPr>
          <w:rFonts w:ascii="Inter" w:cs="Inter" w:eastAsia="Inter" w:hAnsi="Inter"/>
          <w:b/>
          <w:bCs/>
          <w:color w:val="732DEB"/>
          <w:sz w:val="22"/>
          <w:szCs w:val="22"/>
        </w:rPr>
        <w:t xml:space="preserve">9.2.2 Oracle ADW Data Warehouse Sync (client-requested)</w:t>
      </w:r>
    </w:p>
    <w:p>
      <w:pPr>
        <w:spacing w:after="160" w:before="0" w:line="276"/>
        <w:jc w:val="left"/>
      </w:pPr>
      <w:r>
        <w:rPr>
          <w:rFonts w:ascii="Inter" w:cs="Inter" w:eastAsia="Inter" w:hAnsi="Inter"/>
          <w:b w:val="false"/>
          <w:bCs w:val="false"/>
          <w:i w:val="false"/>
          <w:iCs w:val="false"/>
          <w:color w:val="111827"/>
          <w:sz w:val="21"/>
          <w:szCs w:val="21"/>
        </w:rPr>
        <w:t xml:space="preserve">Algihaz has asked that Quality apps data be populated into Algihaz’s Oracle Autonomous Data Warehouse (ADW), either in real time or on a time-triggered daily/weekly pipeline. In the design review, Algihaz’s team noted that because QMS360 is built on top of Algihaz’s own Digital container, once that container’s database is synced, data from every application inside it — QMS360 included — may already be populated into Oracle ADW automatically, through Algihaz’s own existing pipeline, with no separate connector needed. Algihaz has confirmed this will be verified and confirmed back to VerionAI.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Two paths, pending Algihaz’s confirmation</w:t>
            </w:r>
          </w:p>
          <w:p>
            <w:pPr>
              <w:spacing w:after="60" w:line="260"/>
            </w:pPr>
            <w:r>
              <w:rPr>
                <w:rFonts w:ascii="Inter" w:cs="Inter" w:eastAsia="Inter" w:hAnsi="Inter"/>
                <w:b/>
                <w:bCs/>
                <w:i w:val="false"/>
                <w:iCs w:val="false"/>
                <w:color w:val="111827"/>
                <w:sz w:val="21"/>
                <w:szCs w:val="21"/>
              </w:rPr>
              <w:t xml:space="preserve">Path A — Algihaz’s own container-to-ADW pipeline (preferred if it covers this data). </w:t>
            </w:r>
            <w:r>
              <w:rPr>
                <w:rFonts w:ascii="Inter" w:cs="Inter" w:eastAsia="Inter" w:hAnsi="Inter"/>
                <w:b w:val="false"/>
                <w:bCs w:val="false"/>
                <w:i w:val="false"/>
                <w:iCs w:val="false"/>
                <w:color w:val="111827"/>
                <w:sz w:val="21"/>
                <w:szCs w:val="21"/>
              </w:rPr>
              <w:t xml:space="preserve">If Algihaz’s existing container-level sync already carries QMS360’s data into Oracle ADW once the database is synced, no additional build is needed from VerionAI for this requirement — QMS360’s data reaches ADW as a by-product of already being hosted inside Algihaz’s platform (Section 3.2). This is the scenario Algihaz’s team described in the design review as “to be confirmed soon.”</w:t>
            </w:r>
          </w:p>
          <w:p>
            <w:pPr>
              <w:spacing w:after="60" w:line="260"/>
            </w:pPr>
            <w:r>
              <w:rPr>
                <w:rFonts w:ascii="Inter" w:cs="Inter" w:eastAsia="Inter" w:hAnsi="Inter"/>
                <w:b/>
                <w:bCs/>
                <w:i w:val="false"/>
                <w:iCs w:val="false"/>
                <w:color w:val="111827"/>
                <w:sz w:val="21"/>
                <w:szCs w:val="21"/>
              </w:rPr>
              <w:t xml:space="preserve">Path B — a native QMS360 Oracle ADW connector (built as a fallback). </w:t>
            </w:r>
            <w:r>
              <w:rPr>
                <w:rFonts w:ascii="Inter" w:cs="Inter" w:eastAsia="Inter" w:hAnsi="Inter"/>
                <w:b w:val="false"/>
                <w:bCs w:val="false"/>
                <w:i w:val="false"/>
                <w:iCs w:val="false"/>
                <w:color w:val="111827"/>
                <w:sz w:val="21"/>
                <w:szCs w:val="21"/>
              </w:rPr>
              <w:t xml:space="preserve">If the container-level pipeline does not cover QMS360’s schema, does not meet Algihaz’s required cadence, or needs field-level mapping the general pipeline does not do, QMS360 also builds its own configurable connector on the Integration Cockpit framework, described below — so the requirement is met either way.</w:t>
            </w:r>
          </w:p>
        </w:tc>
      </w:tr>
    </w:tbl>
    <w:p>
      <w:pPr>
        <w:spacing w:after="12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5060"/>
        <w:gridCol w:w="2100"/>
      </w:tblGrid>
      <w:tr>
        <w:trPr>
          <w:cantSplit/>
          <w:tblHeader/>
        </w:trPr>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Mode (Path B connector)</w:t>
            </w:r>
          </w:p>
        </w:tc>
        <w:tc>
          <w:tcPr>
            <w:tcW w:type="dxa" w:w="50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How it works</w:t>
            </w:r>
          </w:p>
        </w:tc>
        <w:tc>
          <w:tcPr>
            <w:tcW w:type="dxa" w:w="21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When to use it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Scheduled batch (recommended default)</w:t>
            </w:r>
          </w:p>
        </w:tc>
        <w:tc>
          <w:tcPr>
            <w:tcW w:type="dxa" w:w="50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scheduled job (Section 14.1’s Redis/BullMQ queue) extracts new and changed records since the last run, transforms them to the agreed ADW schema, and bulk-loads them into Oracle ADW via Oracle-native tooling (e.g., Oracle Data Integrator or a DBMS_CLOUD bulk load) rather than row-by-row inserts.</w:t>
            </w:r>
          </w:p>
        </w:tc>
        <w:tc>
          <w:tcPr>
            <w:tcW w:type="dxa" w:w="2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Daily (e.g., nightly) or weekly — the standard, low-overhead pattern for populating a data warehouse used for reporting and trend analysis.</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Near-real-time</w:t>
            </w:r>
          </w:p>
        </w:tc>
        <w:tc>
          <w:tcPr>
            <w:tcW w:type="dxa" w:w="50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identical job runs far more frequently — every 5–15 minutes, configurable — using the same queue infrastructure, so the lag between a transaction in QMS360 and its availability in Oracle ADW is minutes rather than a day.</w:t>
            </w:r>
          </w:p>
        </w:tc>
        <w:tc>
          <w:tcPr>
            <w:tcW w:type="dxa" w:w="2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When leadership dashboards or downstream Oracle-side processes need same-hour freshness.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4196A" w:sz="4"/>
              <w:left w:val="single" w:color="D4196A" w:sz="24"/>
              <w:bottom w:val="single" w:color="D4196A" w:sz="4"/>
              <w:right w:val="single" w:color="D4196A" w:sz="4"/>
            </w:tcBorders>
            <w:shd w:fill="F6F7F8" w:color="auto" w:val="clear"/>
            <w:tcMar>
              <w:top w:type="dxa" w:w="160"/>
              <w:left w:type="dxa" w:w="200"/>
              <w:bottom w:type="dxa" w:w="160"/>
              <w:right w:type="dxa" w:w="200"/>
            </w:tcMar>
          </w:tcPr>
          <w:p>
            <w:pPr>
              <w:spacing w:after="80"/>
            </w:pPr>
            <w:r>
              <w:rPr>
                <w:rFonts w:ascii="Inter" w:cs="Inter" w:eastAsia="Inter" w:hAnsi="Inter"/>
                <w:b/>
                <w:bCs/>
                <w:color w:val="D4196A"/>
                <w:sz w:val="20"/>
                <w:szCs w:val="20"/>
              </w:rPr>
              <w:t xml:space="preserve">Decision point for Algihaz: how “real time” does this need to be?</w:t>
            </w:r>
          </w:p>
          <w:p>
            <w:pPr>
              <w:spacing w:after="60" w:line="260"/>
            </w:pPr>
            <w:r>
              <w:rPr>
                <w:rFonts w:ascii="Inter" w:cs="Inter" w:eastAsia="Inter" w:hAnsi="Inter"/>
                <w:color w:val="111827"/>
                <w:sz w:val="19"/>
                <w:szCs w:val="19"/>
              </w:rPr>
              <w:t xml:space="preserve">The two Path B modes above cover “time-triggered daily/weekly” and a genuinely fast “near-real-time” (minutes-level) option. True streaming, sub-minute change-data-capture straight off the database — via a dedicated tool such as Oracle GoldenGate/OCI GoldenGate, or a logical-replication-based CDC pipeline — is a materially different technical approach: it typically carries its own Oracle-side licensing and needs direct coordination with Algihaz’s DBA/data-platform team, independent of the QMS360 build.</w:t>
            </w:r>
          </w:p>
          <w:p>
            <w:pPr>
              <w:spacing w:after="60" w:line="260"/>
            </w:pPr>
            <w:r>
              <w:rPr>
                <w:rFonts w:ascii="Inter" w:cs="Inter" w:eastAsia="Inter" w:hAnsi="Inter"/>
                <w:color w:val="111827"/>
                <w:sz w:val="19"/>
                <w:szCs w:val="19"/>
              </w:rPr>
              <w:t xml:space="preserve">VerionAI’s recommendation is to first confirm whether Path A already satisfies this requirement, since it needs no additional build; if a Path B connector is still needed, VerionAI recommends launching with the near-real-time (minutes-level) mode, moving to true streaming CDC only if a specific downstream process genuinely requires sub-minute freshness.</w:t>
            </w:r>
          </w:p>
        </w:tc>
      </w:tr>
    </w:tbl>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Scope: all three applications’ transactional records (QAQC metrics, Lesson Learned forms, Audit findings/CARs) plus the master data they reference, mapped to Algihaz’s target ADW schema via the same field-mapping studio used for every other connector, if a Path B connector is built.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Monitoring: a Path B sync job appears in the Data Sync Cockpit (Section 9.3) exactly like every other integration — job monitor, error queue, and a reconciliation view comparing QMS360 record counts to what has landed in ADW.</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Either path, Algihaz’s own enterprise BI tools can connect directly to Oracle ADW for cross-application analysis, independent of and in addition to QMS360’s in-app dashboards (Section 19.4).</w:t>
      </w:r>
    </w:p>
    <w:p>
      <w:pPr>
        <w:pStyle w:val="Heading2"/>
        <w:spacing w:after="160" w:before="340"/>
      </w:pPr>
      <w:r>
        <w:rPr>
          <w:rFonts w:ascii="Inter" w:cs="Inter" w:eastAsia="Inter" w:hAnsi="Inter"/>
          <w:b/>
          <w:bCs/>
          <w:color w:val="D4196A"/>
          <w:sz w:val="25"/>
          <w:szCs w:val="25"/>
        </w:rPr>
        <w:t xml:space="preserve">9.3 Data Sync Cockpit</w:t>
      </w:r>
    </w:p>
    <w:p>
      <w:pPr>
        <w:spacing w:after="160" w:before="0" w:line="276"/>
        <w:jc w:val="left"/>
      </w:pPr>
      <w:r>
        <w:rPr>
          <w:rFonts w:ascii="Inter" w:cs="Inter" w:eastAsia="Inter" w:hAnsi="Inter"/>
          <w:b w:val="false"/>
          <w:bCs w:val="false"/>
          <w:i w:val="false"/>
          <w:iCs w:val="false"/>
          <w:color w:val="111827"/>
          <w:sz w:val="21"/>
          <w:szCs w:val="21"/>
        </w:rPr>
        <w:t xml:space="preserve">Where the Integration Cockpit defines how systems connect, the Data Sync Cockpit shows whether they are actually working — the operational monitoring layer for every scheduled or event-driven data exchange on the shared connectors above.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Job monitor: every sync job (e.g., the platform username/project sync, the Oracle ADW export), its schedule, last run, duration and outcome.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Error queue: failed records with the reason for failure, and a one-click retry or manual-fix-and-resubmit action.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Reconciliation view: record counts compared between source system and QMS360 to catch silent drift.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Manual override log: any time an admin manually corrects a synced value, it is flagged and logged so downstream reports do not silently diverge from the source system without a trace.</w:t>
      </w:r>
    </w:p>
    <w:p>
      <w:pPr>
        <w:pStyle w:val="Heading2"/>
        <w:spacing w:after="160" w:before="340"/>
      </w:pPr>
      <w:r>
        <w:rPr>
          <w:rFonts w:ascii="Inter" w:cs="Inter" w:eastAsia="Inter" w:hAnsi="Inter"/>
          <w:b/>
          <w:bCs/>
          <w:color w:val="D4196A"/>
          <w:sz w:val="25"/>
          <w:szCs w:val="25"/>
        </w:rPr>
        <w:t xml:space="preserve">9.4 Organisation Settings</w:t>
      </w:r>
    </w:p>
    <w:p>
      <w:pPr>
        <w:spacing w:after="160" w:before="0" w:line="276"/>
        <w:jc w:val="left"/>
      </w:pPr>
      <w:r>
        <w:rPr>
          <w:rFonts w:ascii="Inter" w:cs="Inter" w:eastAsia="Inter" w:hAnsi="Inter"/>
          <w:b w:val="false"/>
          <w:bCs w:val="false"/>
          <w:i w:val="false"/>
          <w:iCs w:val="false"/>
          <w:color w:val="111827"/>
          <w:sz w:val="21"/>
          <w:szCs w:val="21"/>
        </w:rPr>
        <w:t xml:space="preserve">Platform-wide settings that apply the same way to all three applications and to the common landing page — genuinely shared because they describe the one organisation, not any one application’s business logic.</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Branding: logo, primary colour, and white-label support built in, ready to use if the platform is ever extended to a sister company.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Security policy: password rules, MFA requirement, session timeout, IP allow-listing (optional) — mirrors what is already enforced at the Algihaz Platform level (Section 7.6).</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Locale: default language and timezone, working week &amp; public holiday calendar (used by every application’s own SLA/escalation calculations), plus the Arabic/English bilingual toggle if and once Algihaz confirms that Change Request (Section 20).</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Allowed email domain(s) for the organisation.</w:t>
      </w:r>
    </w:p>
    <w:p>
      <w:pPr>
        <w:pStyle w:val="Heading2"/>
        <w:spacing w:after="160" w:before="340"/>
      </w:pPr>
      <w:r>
        <w:rPr>
          <w:rFonts w:ascii="Inter" w:cs="Inter" w:eastAsia="Inter" w:hAnsi="Inter"/>
          <w:b/>
          <w:bCs/>
          <w:color w:val="D4196A"/>
          <w:sz w:val="25"/>
          <w:szCs w:val="25"/>
        </w:rPr>
        <w:t xml:space="preserve">9.5 Common Landing Page Reporting — Executive Page</w:t>
      </w:r>
    </w:p>
    <w:p>
      <w:pPr>
        <w:spacing w:after="160" w:before="0" w:line="276"/>
        <w:jc w:val="left"/>
      </w:pPr>
      <w:r>
        <w:rPr>
          <w:rFonts w:ascii="Inter" w:cs="Inter" w:eastAsia="Inter" w:hAnsi="Inter"/>
          <w:b w:val="false"/>
          <w:bCs w:val="false"/>
          <w:i w:val="false"/>
          <w:iCs w:val="false"/>
          <w:color w:val="111827"/>
          <w:sz w:val="21"/>
          <w:szCs w:val="21"/>
        </w:rPr>
        <w:t xml:space="preserve">The Executive Page on the common landing page (Section 3.3) gives BU Heads, the Quality Manager and Executive Viewers one consolidated view of quality, lessons learned and audit KPIs, without opening all three applications separately. This is a read-only reporting surface, not a shared admin layer: it is fed by each application publishing its own summary data into the shared schema (Section 15), rather than the Executive Page querying any application’s own transactional tables directly — so nothing about how an application is configured is exposed here, and no application depends operationally on this page to function. See the full report inventory in Section 19.</w:t>
      </w:r>
    </w:p>
    <w:p>
      <w:pPr>
        <w:pStyle w:val="Heading3"/>
        <w:spacing w:after="120" w:before="240"/>
      </w:pPr>
      <w:r>
        <w:rPr>
          <w:rFonts w:ascii="Inter" w:cs="Inter" w:eastAsia="Inter" w:hAnsi="Inter"/>
          <w:b/>
          <w:bCs/>
          <w:color w:val="732DEB"/>
          <w:sz w:val="22"/>
          <w:szCs w:val="22"/>
        </w:rPr>
        <w:t xml:space="preserve">9.5.1 Report &amp; Export Delivery Model — New in this design</w:t>
      </w:r>
    </w:p>
    <w:p>
      <w:pPr>
        <w:spacing w:after="160" w:before="0" w:line="276"/>
        <w:jc w:val="left"/>
      </w:pPr>
      <w:r>
        <w:rPr>
          <w:rFonts w:ascii="Inter" w:cs="Inter" w:eastAsia="Inter" w:hAnsi="Inter"/>
          <w:b w:val="false"/>
          <w:bCs w:val="false"/>
          <w:i w:val="false"/>
          <w:iCs w:val="false"/>
          <w:color w:val="111827"/>
          <w:sz w:val="21"/>
          <w:szCs w:val="21"/>
        </w:rPr>
        <w:t xml:space="preserve">None of the three source BRDs specify how a manually-triggered export is delivered, or whether a single export has a data-volume limit — Algihaz raised this as a new question on review of v4.0. VerionAI’s proposed design, flagged as a Change Request beyond BRD scope (Section 22.3), applies identically whether the export is run from inside one application or from the Executive Page: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Direct download for the normal case. </w:t>
      </w:r>
      <w:r>
        <w:rPr>
          <w:rFonts w:ascii="Inter" w:cs="Inter" w:eastAsia="Inter" w:hAnsi="Inter"/>
          <w:b w:val="false"/>
          <w:bCs w:val="false"/>
          <w:i w:val="false"/>
          <w:iCs w:val="false"/>
          <w:color w:val="111827"/>
          <w:sz w:val="21"/>
          <w:szCs w:val="21"/>
        </w:rPr>
        <w:t xml:space="preserve">A typical export — a single project’s monthly report, a filtered dashboard view, one audit’s findings — generates synchronously the moment the user clicks Export, and downloads straight to the browser, exactly as the BRDs describe.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Emailed link for a large export. </w:t>
      </w:r>
      <w:r>
        <w:rPr>
          <w:rFonts w:ascii="Inter" w:cs="Inter" w:eastAsia="Inter" w:hAnsi="Inter"/>
          <w:b w:val="false"/>
          <w:bCs w:val="false"/>
          <w:i w:val="false"/>
          <w:iCs w:val="false"/>
          <w:color w:val="111827"/>
          <w:sz w:val="21"/>
          <w:szCs w:val="21"/>
        </w:rPr>
        <w:t xml:space="preserve">An export that would exceed a configurable threshold — recommended default: more than 6 months of data, or more than roughly 10,000 rows, whichever comes first — generates as a background job instead of holding the browser open; the system emails the requesting user a secure, time-limited download link once it is ready, rather than risking a browser timeout on a multi-year, all-project pull.</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One export flow, decided automatically. </w:t>
      </w:r>
      <w:r>
        <w:rPr>
          <w:rFonts w:ascii="Inter" w:cs="Inter" w:eastAsia="Inter" w:hAnsi="Inter"/>
          <w:b w:val="false"/>
          <w:bCs w:val="false"/>
          <w:i w:val="false"/>
          <w:iCs w:val="false"/>
          <w:color w:val="111827"/>
          <w:sz w:val="21"/>
          <w:szCs w:val="21"/>
        </w:rPr>
        <w:t xml:space="preserve">A user never chooses a delivery mode themselves — the system decides based on the requested date range and row count, and always tells the user upfront which path applies (e.g., “This export covers 14 months across 40 projects and will be emailed to you once ready”) rather than silently capping or truncating data without saying so.</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Threshold is configurable, not hardcoded. </w:t>
      </w:r>
      <w:r>
        <w:rPr>
          <w:rFonts w:ascii="Inter" w:cs="Inter" w:eastAsia="Inter" w:hAnsi="Inter"/>
          <w:b w:val="false"/>
          <w:bCs w:val="false"/>
          <w:i w:val="false"/>
          <w:iCs w:val="false"/>
          <w:color w:val="111827"/>
          <w:sz w:val="21"/>
          <w:szCs w:val="21"/>
        </w:rPr>
        <w:t xml:space="preserve">The exact cutoff (date range and/or row count) lives in Organisation Settings (Section 9.4); VerionAI recommends confirming the two numbers above with Algihaz’s Digital Team once realistic report sizes are known from actual project volumes.</w:t>
      </w:r>
    </w:p>
    <w:p>
      <w:pPr>
        <w:pStyle w:val="Heading2"/>
        <w:spacing w:after="160" w:before="340"/>
      </w:pPr>
      <w:r>
        <w:rPr>
          <w:rFonts w:ascii="Inter" w:cs="Inter" w:eastAsia="Inter" w:hAnsi="Inter"/>
          <w:b/>
          <w:bCs/>
          <w:color w:val="D4196A"/>
          <w:sz w:val="25"/>
          <w:szCs w:val="25"/>
        </w:rPr>
        <w:t xml:space="preserve">9.6 Per-Workspace Administration — What Every Application Builds Independently</w:t>
      </w:r>
    </w:p>
    <w:p>
      <w:pPr>
        <w:spacing w:after="160" w:before="0" w:line="276"/>
        <w:jc w:val="left"/>
      </w:pPr>
      <w:r>
        <w:rPr>
          <w:rFonts w:ascii="Inter" w:cs="Inter" w:eastAsia="Inter" w:hAnsi="Inter"/>
          <w:b w:val="false"/>
          <w:bCs w:val="false"/>
          <w:i w:val="false"/>
          <w:iCs w:val="false"/>
          <w:color w:val="111827"/>
          <w:sz w:val="21"/>
          <w:szCs w:val="21"/>
        </w:rPr>
        <w:t xml:space="preserve">This is the pattern each of the three applications implements on its own, with its own screens, its own data and its own Org Admin — there is no cross-application configuration screen for any of the five items below, and configuring one application never touches another. Sections 10.5, 11.6 and 12.4 apply this pattern to each specific application; this section defines it once so it is not repeated three times in full.</w:t>
      </w:r>
    </w:p>
    <w:p>
      <w:pPr>
        <w:pStyle w:val="Heading3"/>
        <w:spacing w:after="120" w:before="240"/>
      </w:pPr>
      <w:r>
        <w:rPr>
          <w:rFonts w:ascii="Inter" w:cs="Inter" w:eastAsia="Inter" w:hAnsi="Inter"/>
          <w:b/>
          <w:bCs/>
          <w:color w:val="732DEB"/>
          <w:sz w:val="22"/>
          <w:szCs w:val="22"/>
        </w:rPr>
        <w:t xml:space="preserve">9.6.1 RBAC &amp; User Management (per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User directory: every username with access to this specific application, its Platform Role, its Workspace Role(s) and scope (BU/Project), access status (Not Requested / Active / Deactivated), and last access.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Access queue: every pending grant of a role to a username the identity/access-mapping table confirms may open this application (Section 21.5), awaiting this application’s Org Admin decision (Section 7.3).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Role builder: add any role, with any combination of rights, built from the same permission primitives used by the system default roles (Data Entry, Submit, Approve/Reject, View-Own-Scope, View-All, Configure Masters, Manage Integrations, Manage AI Settings, Export, Delegate) — the defaults in Section 5 are a starting point, not a ceiling, and apply only within this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Permission matrix editor: visual grid of Role × Capability, with change history, scoped to this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Delegation register: every active and historical delegation of approval authority within this application (Section 7.4), with one-click revoke.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Bulk role assignment: CSV/Excel upload to grant roles, within this application, to a batch of already-provisioned platform usernames for initial rollout, with validation before commit.</w:t>
      </w:r>
    </w:p>
    <w:p>
      <w:pPr>
        <w:pStyle w:val="Heading3"/>
        <w:spacing w:after="120" w:before="240"/>
      </w:pPr>
      <w:r>
        <w:rPr>
          <w:rFonts w:ascii="Inter" w:cs="Inter" w:eastAsia="Inter" w:hAnsi="Inter"/>
          <w:b/>
          <w:bCs/>
          <w:color w:val="732DEB"/>
          <w:sz w:val="22"/>
          <w:szCs w:val="22"/>
        </w:rPr>
        <w:t xml:space="preserve">9.6.2 Escalation &amp; Workflow Configuration (per application)</w:t>
      </w:r>
    </w:p>
    <w:p>
      <w:pPr>
        <w:spacing w:after="160" w:before="0" w:line="276"/>
        <w:jc w:val="left"/>
      </w:pPr>
      <w:r>
        <w:rPr>
          <w:rFonts w:ascii="Inter" w:cs="Inter" w:eastAsia="Inter" w:hAnsi="Inter"/>
          <w:b w:val="false"/>
          <w:bCs w:val="false"/>
          <w:i w:val="false"/>
          <w:iCs w:val="false"/>
          <w:color w:val="111827"/>
          <w:sz w:val="21"/>
          <w:szCs w:val="21"/>
        </w:rPr>
        <w:t xml:space="preserve">Each application’s own Settings → Escalation Configuration screen, editing that application’s own rule set from the shared escalation pattern described in Section 13 — SLA day-counts, recipient roles, and repeat cadence, without a code change and without affecting the other two applications.</w:t>
      </w:r>
    </w:p>
    <w:p>
      <w:pPr>
        <w:pStyle w:val="Heading3"/>
        <w:spacing w:after="120" w:before="240"/>
      </w:pPr>
      <w:r>
        <w:rPr>
          <w:rFonts w:ascii="Inter" w:cs="Inter" w:eastAsia="Inter" w:hAnsi="Inter"/>
          <w:b/>
          <w:bCs/>
          <w:color w:val="732DEB"/>
          <w:sz w:val="22"/>
          <w:szCs w:val="22"/>
        </w:rPr>
        <w:t xml:space="preserve">9.6.3 AI Settings &amp; Controls (per application, where the application has an AI feature)</w:t>
      </w:r>
    </w:p>
    <w:p>
      <w:pPr>
        <w:spacing w:after="160" w:before="0" w:line="276"/>
        <w:jc w:val="left"/>
      </w:pPr>
      <w:r>
        <w:rPr>
          <w:rFonts w:ascii="Inter" w:cs="Inter" w:eastAsia="Inter" w:hAnsi="Inter"/>
          <w:b w:val="false"/>
          <w:bCs w:val="false"/>
          <w:i w:val="false"/>
          <w:iCs w:val="false"/>
          <w:color w:val="111827"/>
          <w:sz w:val="21"/>
          <w:szCs w:val="21"/>
        </w:rPr>
        <w:t xml:space="preserve">Both the QAQC BRD (AI Quality Brief Generator) and the Lesson Learned BRD (AI rephrasing of Description, Root Cause, Correction, Corrective Action) require AI assistance with mandatory human review before submission — each of those two applications has its own AI Settings &amp; Controls screen. A shared AI orchestration client (Section 14.5) avoids rebuilding the LLM-provider integration per application, but every control below is configured independently — turning AI on for Lesson Learned does not turn it on for QA/QC.</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6760"/>
      </w:tblGrid>
      <w:tr>
        <w:trPr>
          <w:cantSplit/>
          <w:tblHeader/>
        </w:trPr>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Control</w:t>
            </w:r>
          </w:p>
        </w:tc>
        <w:tc>
          <w:tcPr>
            <w:tcW w:type="dxa" w:w="6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Description</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Feature toggles</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Independent on/off switch per AI-assisted feature in this application (e.g., Quality Assessment Brief drafting, or Lesson Learned rephrasing and prompt-to-transaction entry).</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Human-in-the-loop enforcement</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Non-negotiable rule: an AI draft — or an AI-assembled transaction — can never be submitted as-is — the user must explicitly Accept, Edit, or Reject it. This is enforced in the API layer, not just the UI.</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Model / provider configuration</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Select and swap the underlying LLM provider and model version without a code change.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Data governance guardrails</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Configure what data is sent to the AI provider (e.g., strip personal data, restrict to the specific field’s text) and retention of prompts/responses.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AI interaction audit log</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AI suggestion or prompt-driven transaction in this application, whether it was accepted, edited or rejected, and by whom — permanently logged in this application’s own Audit &amp; Compliance Log (Section 9.6.5). A timed-out or failed call is logged too, not silently dropped.</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Timeout &amp; graceful fallback</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AI call is bounded by a hard timeout (default 10 seconds, configurable). If the model does not respond in time or the provider errors, the field (or the prompt entry box) falls back to plain manual/form entry immediately and the user sees a “Retry AI Draft” action rather than a blocked form — an AI outage never prevents a submission.</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Org-level API key &amp; quota controls</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An LLM provider (e.g., Anthropic, OpenAI) API key is assigned at the organisation level — without one assigned, this application’s AI features simply do not activate. Once assigned, this application’s Org Admin can set usage quotas independent of the per-feature toggles above.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Usage &amp; cost dashboard</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Volume of AI calls in this application per month, for cost governance.</w:t>
            </w:r>
          </w:p>
        </w:tc>
      </w:tr>
    </w:tbl>
    <w:p>
      <w:pPr>
        <w:spacing w:after="160" w:before="0" w:line="276"/>
        <w:jc w:val="left"/>
      </w:pPr>
      <w:r>
        <w:rPr>
          <w:rFonts w:ascii="Inter" w:cs="Inter" w:eastAsia="Inter" w:hAnsi="Inter"/>
          <w:b w:val="false"/>
          <w:bCs w:val="false"/>
          <w:i w:val="false"/>
          <w:iCs w:val="false"/>
          <w:color w:val="111827"/>
          <w:sz w:val="21"/>
          <w:szCs w:val="21"/>
        </w:rPr>
        <w:t xml:space="preserve">Alongside standard screen-based entry, a user can type a single natural-language prompt to create a master-data record or execute a transaction in this application — e.g., “log a Lesson Learned for the formwork rework on Project Alpha, root cause was late drawing approval.” This is additive to the screens, not a replacement for them: the assembled record always goes through the same Accept / Edit / Reject review as any other AI-assisted draft before it is submitted; nothing is ever auto-submitted from a prompt. A worked example, as requested by Algihaz, is given in the Lesson Learned application’s own section (Section 11.6).</w:t>
      </w:r>
    </w:p>
    <w:p>
      <w:pPr>
        <w:pStyle w:val="Heading3"/>
        <w:spacing w:after="120" w:before="240"/>
      </w:pPr>
      <w:r>
        <w:rPr>
          <w:rFonts w:ascii="Inter" w:cs="Inter" w:eastAsia="Inter" w:hAnsi="Inter"/>
          <w:b/>
          <w:bCs/>
          <w:color w:val="732DEB"/>
          <w:sz w:val="22"/>
          <w:szCs w:val="22"/>
        </w:rPr>
        <w:t xml:space="preserve">9.6.4 Notification Center (per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Channels: in-app notification bell and email are fully built and live for all users from day one; push notification becomes available once Algihaz’s own future mobile retrofit (Section 14.4) exists to receive it; SMS is an optional add-on channel, enabled when Algihaz connects an SMS gateway.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Template library: every system notification this application sends (approval request, escalation, submission reminder, AI draft ready, delegation activated) has an editable template with merge fields.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Digest scheduling: fortnightly document-status distribution and monthly report distribution run on a schedule, not on every micro-update — matching the explicit “should NOT send immediately upon every individual verification” rule from the source BRD.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User preferences: each user controls which non-critical notifications they receive from this application, by channel; critical items (escalations, security alerts) cannot be muted.</w:t>
      </w:r>
    </w:p>
    <w:p>
      <w:pPr>
        <w:pStyle w:val="Heading3"/>
        <w:spacing w:after="120" w:before="240"/>
      </w:pPr>
      <w:r>
        <w:rPr>
          <w:rFonts w:ascii="Inter" w:cs="Inter" w:eastAsia="Inter" w:hAnsi="Inter"/>
          <w:b/>
          <w:bCs/>
          <w:color w:val="732DEB"/>
          <w:sz w:val="22"/>
          <w:szCs w:val="22"/>
        </w:rPr>
        <w:t xml:space="preserve">9.6.5 Audit &amp; Compliance Log (per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Immutable, append-only log of every state-changing action inside this application only: logins, approvals, delegations, role changes, master-data edits, AI interactions, and every transaction — there is no cross-application audit log.</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Filterable and exportable (PDF/Excel/CSV) for ISO 9001:2015 audit evidence and for Algihaz’s own internal audit team to inspect this specific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Configurable retention policy aligned to Algihaz’s records-retention requirements and Saudi PDPL.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4196A" w:sz="4"/>
              <w:left w:val="single" w:color="D4196A" w:sz="24"/>
              <w:bottom w:val="single" w:color="D4196A" w:sz="4"/>
              <w:right w:val="single" w:color="D4196A" w:sz="4"/>
            </w:tcBorders>
            <w:shd w:fill="F6F7F8" w:color="auto" w:val="clear"/>
            <w:tcMar>
              <w:top w:type="dxa" w:w="160"/>
              <w:left w:type="dxa" w:w="200"/>
              <w:bottom w:type="dxa" w:w="160"/>
              <w:right w:type="dxa" w:w="200"/>
            </w:tcMar>
          </w:tcPr>
          <w:p>
            <w:pPr>
              <w:spacing w:after="80"/>
            </w:pPr>
            <w:r>
              <w:rPr>
                <w:rFonts w:ascii="Inter" w:cs="Inter" w:eastAsia="Inter" w:hAnsi="Inter"/>
                <w:b/>
                <w:bCs/>
                <w:color w:val="D4196A"/>
                <w:sz w:val="20"/>
                <w:szCs w:val="20"/>
              </w:rPr>
              <w:t xml:space="preserve">Build-effort note, raised in internal design review</w:t>
            </w:r>
          </w:p>
          <w:p>
            <w:pPr>
              <w:spacing w:after="60" w:line="260"/>
            </w:pPr>
            <w:r>
              <w:rPr>
                <w:rFonts w:ascii="Inter" w:cs="Inter" w:eastAsia="Inter" w:hAnsi="Inter"/>
                <w:color w:val="111827"/>
                <w:sz w:val="19"/>
                <w:szCs w:val="19"/>
              </w:rPr>
              <w:t xml:space="preserve">Because these five items are built and administered independently three times rather than once as a shared admin core, this is materially more build effort than a single shared RBAC/escalation/AI-settings/notifications/audit-log implementation would be. This is a deliberate architecture decision, not an oversight — see Section 23 for the full internal review and its effort implications.</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10. Workspace 1 — QA/QC &amp; Document Governance Report</w:t>
      </w:r>
    </w:p>
    <w:p>
      <w:pPr>
        <w:spacing w:after="60" w:before="0"/>
      </w:pPr>
      <w:r>
        <w:rPr>
          <w:rFonts w:ascii="Inter" w:cs="Inter" w:eastAsia="Inter" w:hAnsi="Inter"/>
          <w:b/>
          <w:bCs/>
          <w:color w:val="732DEB"/>
          <w:spacing w:val="20"/>
          <w:sz w:val="16"/>
          <w:szCs w:val="16"/>
        </w:rPr>
        <w:t xml:space="preserve">SOURCE: SOW-QMS-V4, V6.0</w:t>
      </w:r>
    </w:p>
    <w:p>
      <w:pPr>
        <w:spacing w:after="160" w:before="0" w:line="276"/>
        <w:jc w:val="left"/>
      </w:pPr>
      <w:r>
        <w:rPr>
          <w:rFonts w:ascii="Inter" w:cs="Inter" w:eastAsia="Inter" w:hAnsi="Inter"/>
          <w:b w:val="false"/>
          <w:bCs w:val="false"/>
          <w:i w:val="false"/>
          <w:iCs w:val="false"/>
          <w:color w:val="111827"/>
          <w:sz w:val="21"/>
          <w:szCs w:val="21"/>
        </w:rPr>
        <w:t xml:space="preserve">Digitises the monthly QAQC report and the Daily Document Governance Log that today are built by hand in Excel. Full field-level specification (every field, UI control and validation rule) is carried forward unchanged from SOW-QMS-V4 Sections 6–11; this section summarises the workflow, calculation logic and screens for design validation.</w:t>
      </w:r>
    </w:p>
    <w:p>
      <w:pPr>
        <w:pStyle w:val="Heading2"/>
        <w:spacing w:after="160" w:before="340"/>
      </w:pPr>
      <w:r>
        <w:rPr>
          <w:rFonts w:ascii="Inter" w:cs="Inter" w:eastAsia="Inter" w:hAnsi="Inter"/>
          <w:b/>
          <w:bCs/>
          <w:color w:val="D4196A"/>
          <w:sz w:val="25"/>
          <w:szCs w:val="25"/>
        </w:rPr>
        <w:t xml:space="preserve">10.1 Modules in this Workspace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6760"/>
      </w:tblGrid>
      <w:tr>
        <w:trPr>
          <w:cantSplit/>
          <w:tblHeader/>
        </w:trPr>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Module</w:t>
            </w:r>
          </w:p>
        </w:tc>
        <w:tc>
          <w:tcPr>
            <w:tcW w:type="dxa" w:w="6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What it captures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QAQC Metrics</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External/Internal NCR, RFI and RMI counts — issued, closed, ageing (0–15 / 15–45 / &gt;45 days) — with month-over-month auto-calculated closure rate and variance.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Project Quality Index (PQI)</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System-calculated composite index across the four metric categories — entirely read-only, never manually entered.</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QTBT (Quality Toolbox Talks)</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Count, attendance and duration of toolbox talks, with auto-accumulated totals.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Material Inspection</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MIRN counts, OSD (Overage/Shortage/Damage), and status distribution (Approved, On Hold, Rejected, Hazardous, Handle-with-Care), validated to reconcile to the total.</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Customer Satisfaction Survey</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Six 1–5 rated service dimensions plus Yes/No/Partially outcome questions and free-text feedback, per project.</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Daily Document Governance Log</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Submittals &amp; drawings by discipline and status (Approved/Resubmit/Rejected/Under Review), review-time tracking, pending-days matrix by entity (Client/Algihaz/Supplier), and correspondence counts.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Quality Assessment Brief</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Free-text monthly narrative with an AI-generated first draft the QAQC Representative must accept, edit, or reject before submission.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Zero-denominator safeguard on every KPI</w:t>
            </w:r>
          </w:p>
          <w:p>
            <w:pPr>
              <w:spacing w:after="60" w:line="260"/>
            </w:pPr>
            <w:r>
              <w:rPr>
                <w:rFonts w:ascii="Inter" w:cs="Inter" w:eastAsia="Inter" w:hAnsi="Inter"/>
                <w:color w:val="111827"/>
                <w:sz w:val="19"/>
                <w:szCs w:val="19"/>
              </w:rPr>
              <w:t xml:space="preserve">Closure Rate, PQI and every other ratio-based metric are calculated fields, never raw input — and every one of them has an explicit, defined answer for its zero-denominator case, carried forward exactly from the source BRD: for example, Closure Rate = 100% when both Issued and Closed are 0 for an active project (SOW-QMS-V4, Section 6.1.7), not a division error and not a default 0%. No KPI in the platform is permitted to divide by zero, error, or silently fall back to an unreviewed default — every such case is an explicit, stated business rule.</w:t>
            </w:r>
          </w:p>
        </w:tc>
      </w:tr>
    </w:tbl>
    <w:p>
      <w:pPr>
        <w:pStyle w:val="Heading2"/>
        <w:spacing w:after="160" w:before="340"/>
      </w:pPr>
      <w:r>
        <w:rPr>
          <w:rFonts w:ascii="Inter" w:cs="Inter" w:eastAsia="Inter" w:hAnsi="Inter"/>
          <w:b/>
          <w:bCs/>
          <w:color w:val="D4196A"/>
          <w:sz w:val="25"/>
          <w:szCs w:val="25"/>
        </w:rPr>
        <w:t xml:space="preserve">10.2 Workflow</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800"/>
        <w:gridCol w:w="7560"/>
      </w:tblGrid>
      <w:tr>
        <w:trPr>
          <w:cantSplit/>
          <w:tblHeader/>
        </w:trPr>
        <w:tc>
          <w:tcPr>
            <w:tcW w:type="dxa" w:w="18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Stage</w:t>
            </w:r>
          </w:p>
        </w:tc>
        <w:tc>
          <w:tcPr>
            <w:tcW w:type="dxa" w:w="7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What happens</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Entry</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QAQC Representative / Document Controller selects project and reporting period; prior-month figures and project master data auto-fill; current-period figures are entered manually, exactly as the source BRD specifies — QMS360 does not plan or depend on any ERP integration for this data.</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Auto-calculation</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Closure rates, cumulative totals, variance and PQI compute in real time, read-only, exactly per the formulas in SOW-QMS-V4 Section 6.1.7–6.1.8.</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AI-assisted brief</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Quality Assessment Brief offers an AI-drafted summary (month-over-month variance, negative-variance categories, open critical NCRs &gt;45 days, top/bottom performing category) which the representative reviews before submission.</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4. Submit → Approve</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Draft → Submitted → Approved / Sent Back with comments, by the Approver/Reviewer role.</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Distribute</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On approval, the system auto-generates the PDF/dashboard and distributes on the configured cadence — monthly for the QAQC report, fortnightly for the Document Governance log — never on every micro-update.</w:t>
            </w:r>
          </w:p>
        </w:tc>
      </w:tr>
    </w:tbl>
    <w:p>
      <w:pPr>
        <w:pStyle w:val="Heading2"/>
        <w:spacing w:after="160" w:before="340"/>
      </w:pPr>
      <w:r>
        <w:rPr>
          <w:rFonts w:ascii="Inter" w:cs="Inter" w:eastAsia="Inter" w:hAnsi="Inter"/>
          <w:b/>
          <w:bCs/>
          <w:color w:val="D4196A"/>
          <w:sz w:val="25"/>
          <w:szCs w:val="25"/>
        </w:rPr>
        <w:t xml:space="preserve">10.3 Escalation Summary (full matrix in Section 13)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Performance escalation: closure rate below target for 2 consecutive months → Quality member (L1); 3 months → Project Head (L2); 4 months → BU/Department Head (L3).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Approval-delay escalation: report unapproved 2 days → reminder to pending approver, repeating daily (P2); unapproved 5 days → escalated to QAQC Director, repeating daily until approved (P1).</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Missing-submission alerts: Document Controller misses the 11:00 AM daily deadline → automated alert, escalating to QAQC Director if still missing the next day; QAQC Representative misses the monthly 7th-of-month deadline → same escalation pattern.</w:t>
      </w:r>
    </w:p>
    <w:p>
      <w:pPr>
        <w:pStyle w:val="Heading2"/>
        <w:spacing w:after="160" w:before="340"/>
      </w:pPr>
      <w:r>
        <w:rPr>
          <w:rFonts w:ascii="Inter" w:cs="Inter" w:eastAsia="Inter" w:hAnsi="Inter"/>
          <w:b/>
          <w:bCs/>
          <w:color w:val="D4196A"/>
          <w:sz w:val="25"/>
          <w:szCs w:val="25"/>
        </w:rPr>
        <w:t xml:space="preserve">10.4 Key Screens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Project &amp; Period Selector</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QAQC Metrics entry form (per category)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Material Inspection entry form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QTBT entry form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Customer Satisfaction Survey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Daily Document Governance Log entry grid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Quality Assessment Brief editor with AI suggestion panel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Approval inbox</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Main Dashboard (all-project KPIs, filterable by Project Group / Name / Month / Category) &amp; Distribution-layout dashboard</w:t>
      </w:r>
    </w:p>
    <w:p>
      <w:pPr>
        <w:pStyle w:val="Heading2"/>
        <w:spacing w:after="160" w:before="340"/>
      </w:pPr>
      <w:r>
        <w:rPr>
          <w:rFonts w:ascii="Inter" w:cs="Inter" w:eastAsia="Inter" w:hAnsi="Inter"/>
          <w:b/>
          <w:bCs/>
          <w:color w:val="D4196A"/>
          <w:sz w:val="25"/>
          <w:szCs w:val="25"/>
        </w:rPr>
        <w:t xml:space="preserve">10.5 Workspace Administration</w:t>
      </w:r>
    </w:p>
    <w:p>
      <w:pPr>
        <w:spacing w:after="160" w:before="0" w:line="276"/>
        <w:jc w:val="left"/>
      </w:pPr>
      <w:r>
        <w:rPr>
          <w:rFonts w:ascii="Inter" w:cs="Inter" w:eastAsia="Inter" w:hAnsi="Inter"/>
          <w:b w:val="false"/>
          <w:bCs w:val="false"/>
          <w:i w:val="false"/>
          <w:iCs w:val="false"/>
          <w:color w:val="111827"/>
          <w:sz w:val="21"/>
          <w:szCs w:val="21"/>
        </w:rPr>
        <w:t xml:space="preserve">This application has its own independent RBAC &amp; User Management, Escalation Configuration, AI Settings &amp; Controls (Quality Assessment Brief drafting and prompt-to-transaction entry), Notification Center and Audit &amp; Compliance Log — the generic pattern is defined once in Section 9.6 and applied here without modification. Nothing here is shared with, or configurable from, Lesson Learned or QMS Audit.</w:t>
      </w:r>
    </w:p>
    <w:p>
      <w:pPr>
        <w:pStyle w:val="Heading1"/>
        <w:pBdr>
          <w:bottom w:val="single" w:color="D4196A" w:sz="10" w:space="6"/>
        </w:pBdr>
        <w:spacing w:after="220" w:before="480"/>
      </w:pPr>
      <w:r>
        <w:rPr>
          <w:rFonts w:ascii="Inter" w:cs="Inter" w:eastAsia="Inter" w:hAnsi="Inter"/>
          <w:b/>
          <w:bCs/>
          <w:color w:val="111827"/>
          <w:sz w:val="32"/>
          <w:szCs w:val="32"/>
        </w:rPr>
        <w:t xml:space="preserve">11. Workspace 2 — Lesson Learned Management</w:t>
      </w:r>
    </w:p>
    <w:p>
      <w:pPr>
        <w:spacing w:after="60" w:before="0"/>
      </w:pPr>
      <w:r>
        <w:rPr>
          <w:rFonts w:ascii="Inter" w:cs="Inter" w:eastAsia="Inter" w:hAnsi="Inter"/>
          <w:b/>
          <w:bCs/>
          <w:color w:val="732DEB"/>
          <w:spacing w:val="20"/>
          <w:sz w:val="16"/>
          <w:szCs w:val="16"/>
        </w:rPr>
        <w:t xml:space="preserve">SOURCE: LESSON LEARNED FORM-SOW-V2, V2.0</w:t>
      </w:r>
    </w:p>
    <w:p>
      <w:pPr>
        <w:spacing w:after="160" w:before="0" w:line="276"/>
        <w:jc w:val="left"/>
      </w:pPr>
      <w:r>
        <w:rPr>
          <w:rFonts w:ascii="Inter" w:cs="Inter" w:eastAsia="Inter" w:hAnsi="Inter"/>
          <w:b w:val="false"/>
          <w:bCs w:val="false"/>
          <w:i w:val="false"/>
          <w:iCs w:val="false"/>
          <w:color w:val="111827"/>
          <w:sz w:val="21"/>
          <w:szCs w:val="21"/>
        </w:rPr>
        <w:t xml:space="preserve">Turns the Lesson Learned form into a searchable, trackable knowledge base instead of an email-and-spreadsheet exercise. Full field-level specification is carried forward unchanged from the source BRD Sections 6–7; this section summarises the workflow, AI behaviour and screens.</w:t>
      </w:r>
    </w:p>
    <w:p>
      <w:pPr>
        <w:pStyle w:val="Heading2"/>
        <w:spacing w:after="160" w:before="340"/>
      </w:pPr>
      <w:r>
        <w:rPr>
          <w:rFonts w:ascii="Inter" w:cs="Inter" w:eastAsia="Inter" w:hAnsi="Inter"/>
          <w:b/>
          <w:bCs/>
          <w:color w:val="D4196A"/>
          <w:sz w:val="25"/>
          <w:szCs w:val="25"/>
        </w:rPr>
        <w:t xml:space="preserve">11.1 What it captures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Project, system-generated (non-duplicable) reference number, title, discipline, categorisation, issue category (Minor/Moderate/Major) and impact (Positive/Negative) — all from configurable masters.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System-captured (not user-typed) date and GPS location, closing the “forgeable metadata” gap identified in the BRD.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Description, Root Cause, Correction and Corrective Action — each with an AI rephrasing suggestion into clear, grammatically correct, professional language, which the Form Creator must Accept, Edit, or Reject before submission.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New/Repeated-issue flag, with repeat count and location if repeated — building the cross-project pattern data the BRD calls out as the main value of a centralised database.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Before/After photo evidence — up to 5 images per category, captured directly from device camera or storage.</w:t>
      </w:r>
    </w:p>
    <w:p>
      <w:pPr>
        <w:pStyle w:val="Heading2"/>
        <w:spacing w:after="160" w:before="340"/>
      </w:pPr>
      <w:r>
        <w:rPr>
          <w:rFonts w:ascii="Inter" w:cs="Inter" w:eastAsia="Inter" w:hAnsi="Inter"/>
          <w:b/>
          <w:bCs/>
          <w:color w:val="D4196A"/>
          <w:sz w:val="25"/>
          <w:szCs w:val="25"/>
        </w:rPr>
        <w:t xml:space="preserve">11.2 Workflow</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800"/>
        <w:gridCol w:w="7560"/>
      </w:tblGrid>
      <w:tr>
        <w:trPr>
          <w:cantSplit/>
          <w:tblHeader/>
        </w:trPr>
        <w:tc>
          <w:tcPr>
            <w:tcW w:type="dxa" w:w="18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Stage</w:t>
            </w:r>
          </w:p>
        </w:tc>
        <w:tc>
          <w:tcPr>
            <w:tcW w:type="dxa" w:w="7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What happens</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Form Creation</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Form Creator opens a new form; reference number auto-generates; core details entered with AI rephrasing assist; before/after photos attached.</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Form Submission</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System auto-captures the creator’s designation, name and signature from the User Master; submission triggers an email/push notification to the Form Approver.</w:t>
            </w:r>
          </w:p>
        </w:tc>
      </w:tr>
      <w:tr>
        <w:trPr>
          <w:cantSplit/>
        </w:trPr>
        <w:tc>
          <w:tcPr>
            <w:tcW w:type="dxa" w:w="1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Form Approval</w:t>
            </w:r>
          </w:p>
        </w:tc>
        <w:tc>
          <w:tcPr>
            <w:tcW w:type="dxa" w:w="7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Approver reviews, and either approves or sends the form back with mandatory remarks; the cycle repeats until approved. Approval likewise auto-captures the approver’s designation, name, signature and date.</w:t>
            </w:r>
          </w:p>
        </w:tc>
      </w:tr>
    </w:tbl>
    <w:p>
      <w:pPr>
        <w:pStyle w:val="Heading2"/>
        <w:spacing w:after="160" w:before="340"/>
      </w:pPr>
      <w:r>
        <w:rPr>
          <w:rFonts w:ascii="Inter" w:cs="Inter" w:eastAsia="Inter" w:hAnsi="Inter"/>
          <w:b/>
          <w:bCs/>
          <w:color w:val="D4196A"/>
          <w:sz w:val="25"/>
          <w:szCs w:val="25"/>
        </w:rPr>
        <w:t xml:space="preserve">11.3 Escalation Summary (full matrix in Section 13)</w:t>
      </w:r>
    </w:p>
    <w:p>
      <w:pPr>
        <w:spacing w:after="160" w:before="0" w:line="276"/>
        <w:jc w:val="left"/>
      </w:pPr>
      <w:r>
        <w:rPr>
          <w:rFonts w:ascii="Inter" w:cs="Inter" w:eastAsia="Inter" w:hAnsi="Inter"/>
          <w:b w:val="false"/>
          <w:bCs w:val="false"/>
          <w:i w:val="false"/>
          <w:iCs w:val="false"/>
          <w:color w:val="111827"/>
          <w:sz w:val="21"/>
          <w:szCs w:val="21"/>
        </w:rPr>
        <w:t xml:space="preserve">Per Algihaz’s clarification, the SLA before P1 triggers is not a flat 2 days for every issue — the highest-severity combination is faster, and every other combination gets a longer runway before the same P1 escalation fires:</w:t>
      </w:r>
    </w:p>
    <w:tbl>
      <w:tblPr>
        <w:tblW w:type="dxa" w:w="8760"/>
        <w:tblBorders>
          <w:top w:val="single" w:color="E5E7EB" w:sz="4"/>
          <w:left w:val="single" w:color="E5E7EB" w:sz="4"/>
          <w:bottom w:val="single" w:color="E5E7EB" w:sz="4"/>
          <w:right w:val="single" w:color="E5E7EB" w:sz="4"/>
          <w:insideH w:val="single" w:color="E5E7EB" w:sz="4"/>
          <w:insideV w:val="single" w:color="E5E7EB" w:sz="4"/>
        </w:tblBorders>
      </w:tblPr>
      <w:tblGrid>
        <w:gridCol w:w="2900"/>
        <w:gridCol w:w="2900"/>
        <w:gridCol w:w="2960"/>
      </w:tblGrid>
      <w:tr>
        <w:trPr>
          <w:cantSplit/>
          <w:tblHeader/>
        </w:trPr>
        <w:tc>
          <w:tcPr>
            <w:tcW w:type="dxa" w:w="2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Issue Category</w:t>
            </w:r>
          </w:p>
        </w:tc>
        <w:tc>
          <w:tcPr>
            <w:tcW w:type="dxa" w:w="2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Impact</w:t>
            </w:r>
          </w:p>
        </w:tc>
        <w:tc>
          <w:tcPr>
            <w:tcW w:type="dxa" w:w="29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SLA to P1</w:t>
            </w:r>
          </w:p>
        </w:tc>
      </w:tr>
      <w:tr>
        <w:trPr>
          <w:cantSplit/>
        </w:trPr>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Major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Negative</w:t>
            </w:r>
          </w:p>
        </w:tc>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days</w:t>
            </w:r>
          </w:p>
        </w:tc>
      </w:tr>
      <w:tr>
        <w:trPr>
          <w:cantSplit/>
        </w:trPr>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Major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Positive</w:t>
            </w:r>
          </w:p>
        </w:tc>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days</w:t>
            </w:r>
          </w:p>
        </w:tc>
      </w:tr>
      <w:tr>
        <w:trPr>
          <w:cantSplit/>
        </w:trPr>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Moderate</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Negative</w:t>
            </w:r>
          </w:p>
        </w:tc>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days</w:t>
            </w:r>
          </w:p>
        </w:tc>
      </w:tr>
      <w:tr>
        <w:trPr>
          <w:cantSplit/>
        </w:trPr>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Moderate</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Positive</w:t>
            </w:r>
          </w:p>
        </w:tc>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days</w:t>
            </w:r>
          </w:p>
        </w:tc>
      </w:tr>
      <w:tr>
        <w:trPr>
          <w:cantSplit/>
        </w:trPr>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Minor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Negative</w:t>
            </w:r>
          </w:p>
        </w:tc>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days</w:t>
            </w:r>
          </w:p>
        </w:tc>
      </w:tr>
      <w:tr>
        <w:trPr>
          <w:cantSplit/>
        </w:trPr>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Minor</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Positive</w:t>
            </w:r>
          </w:p>
        </w:tc>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5 days</w:t>
            </w:r>
          </w:p>
        </w:tc>
      </w:tr>
    </w:tbl>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P1 triggers to the Approver (CC Form Creator) once the applicable SLA above elapses unresolved.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If P1 remains unresolved for 3 further days, it escalates to L1 (Project Manager, CC Form Creator &amp; Approver).</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If L1 remains unresolved for 3 further days, it escalates to L2 (BU Head/Director, CC Project Director, Form Creator &amp; Approver, repeating every 2 days until closed).</w:t>
      </w:r>
    </w:p>
    <w:p>
      <w:pPr>
        <w:pStyle w:val="Heading2"/>
        <w:spacing w:after="160" w:before="340"/>
      </w:pPr>
      <w:r>
        <w:rPr>
          <w:rFonts w:ascii="Inter" w:cs="Inter" w:eastAsia="Inter" w:hAnsi="Inter"/>
          <w:b/>
          <w:bCs/>
          <w:color w:val="D4196A"/>
          <w:sz w:val="25"/>
          <w:szCs w:val="25"/>
        </w:rPr>
        <w:t xml:space="preserve">11.4 Mobile &amp; Offline Capability (Scope Clarification)</w:t>
      </w:r>
    </w:p>
    <w:p>
      <w:pPr>
        <w:spacing w:after="160" w:before="0" w:line="276"/>
        <w:jc w:val="left"/>
      </w:pPr>
      <w:r>
        <w:rPr>
          <w:rFonts w:ascii="Inter" w:cs="Inter" w:eastAsia="Inter" w:hAnsi="Inter"/>
          <w:b w:val="false"/>
          <w:bCs w:val="false"/>
          <w:i w:val="false"/>
          <w:iCs w:val="false"/>
          <w:color w:val="111827"/>
          <w:sz w:val="21"/>
          <w:szCs w:val="21"/>
        </w:rPr>
        <w:t xml:space="preserve">The source BRD (FR-18) asks for a mobile app that keeps working with no signal at all — form entry cached locally, GPS/timestamp captured at the moment of entry, and an automatic sync once connectivity returns. VerionAI builds this application as an installable Progressive Web App: Projects, Business Units, Disciplines and Categorisation masters are cached locally (IndexedDB) so dropdowns remain usable with no signal, and the app can be added to a device home screen. What is out of VerionAI’s current scope (Section 4.3) is true offline transaction capture — creating or editing a Lesson Learned form itself with zero signal and queuing it for background sync — and deep native/container packaging; those remain Algihaz’s own future retrofit, built on the same QMS360 APIs. Over a normal web connection, today’s web application already captures GPS/timestamp and photo evidence exactly as specified; see Section 22.1 for the full scope discussion and Section 14.4 for what the API layer already does to make that future retrofit straightforward rather than a rebuild.</w:t>
      </w:r>
    </w:p>
    <w:p>
      <w:pPr>
        <w:pStyle w:val="Heading2"/>
        <w:spacing w:after="160" w:before="340"/>
      </w:pPr>
      <w:r>
        <w:rPr>
          <w:rFonts w:ascii="Inter" w:cs="Inter" w:eastAsia="Inter" w:hAnsi="Inter"/>
          <w:b/>
          <w:bCs/>
          <w:color w:val="D4196A"/>
          <w:sz w:val="25"/>
          <w:szCs w:val="25"/>
        </w:rPr>
        <w:t xml:space="preserve">11.5 Key Screens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New Lesson Learned form (guided, dropdown-first entry)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AI rephrasing review panel (Accept / Edit / Reject)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Photo capture &amp; annotation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Submission &amp; signature capture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Approver inbox (approve / send back with remarks)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Lesson Learned Log (searchable, filterable knowledge base)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Escalation Summary report</w:t>
      </w:r>
    </w:p>
    <w:p>
      <w:pPr>
        <w:pStyle w:val="Heading2"/>
        <w:spacing w:after="160" w:before="340"/>
      </w:pPr>
      <w:r>
        <w:rPr>
          <w:rFonts w:ascii="Inter" w:cs="Inter" w:eastAsia="Inter" w:hAnsi="Inter"/>
          <w:b/>
          <w:bCs/>
          <w:color w:val="D4196A"/>
          <w:sz w:val="25"/>
          <w:szCs w:val="25"/>
        </w:rPr>
        <w:t xml:space="preserve">11.6 Workspace Administration</w:t>
      </w:r>
    </w:p>
    <w:p>
      <w:pPr>
        <w:spacing w:after="160" w:before="0" w:line="276"/>
        <w:jc w:val="left"/>
      </w:pPr>
      <w:r>
        <w:rPr>
          <w:rFonts w:ascii="Inter" w:cs="Inter" w:eastAsia="Inter" w:hAnsi="Inter"/>
          <w:b w:val="false"/>
          <w:bCs w:val="false"/>
          <w:i w:val="false"/>
          <w:iCs w:val="false"/>
          <w:color w:val="111827"/>
          <w:sz w:val="21"/>
          <w:szCs w:val="21"/>
        </w:rPr>
        <w:t xml:space="preserve">This application has its own independent RBAC &amp; User Management, Escalation Configuration, AI Settings &amp; Controls, Notification Center and Audit &amp; Compliance Log — the generic pattern is defined once in Section 9.6 and applied here without modification. Its AI Settings additionally govern this application’s Prompt-to-Transaction capability (Section 9.6.3), worked through below exactly as requested by Algihaz.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Prompt-to-Transaction worked example</w:t>
            </w:r>
          </w:p>
          <w:p>
            <w:pPr>
              <w:spacing w:after="60" w:line="260"/>
            </w:pPr>
            <w:r>
              <w:rPr>
                <w:rFonts w:ascii="Inter" w:cs="Inter" w:eastAsia="Inter" w:hAnsi="Inter"/>
                <w:b/>
                <w:bCs/>
                <w:i w:val="false"/>
                <w:iCs w:val="false"/>
                <w:color w:val="111827"/>
                <w:sz w:val="21"/>
                <w:szCs w:val="21"/>
              </w:rPr>
              <w:t xml:space="preserve">1. User types a prompt. </w:t>
            </w:r>
            <w:r>
              <w:rPr>
                <w:rFonts w:ascii="Inter" w:cs="Inter" w:eastAsia="Inter" w:hAnsi="Inter"/>
                <w:b w:val="false"/>
                <w:bCs w:val="false"/>
                <w:i w:val="false"/>
                <w:iCs w:val="false"/>
                <w:color w:val="111827"/>
                <w:sz w:val="21"/>
                <w:szCs w:val="21"/>
              </w:rPr>
              <w:t xml:space="preserve">Instead of opening the standard form, a Form Creator types: “Log a lesson learned for the formwork rework on Project Alpha — root cause was late drawing approval, moderate severity, negative impact.”</w:t>
            </w:r>
          </w:p>
          <w:p>
            <w:pPr>
              <w:spacing w:after="60" w:line="260"/>
            </w:pPr>
            <w:r>
              <w:rPr>
                <w:rFonts w:ascii="Inter" w:cs="Inter" w:eastAsia="Inter" w:hAnsi="Inter"/>
                <w:b/>
                <w:bCs/>
                <w:i w:val="false"/>
                <w:iCs w:val="false"/>
                <w:color w:val="111827"/>
                <w:sz w:val="21"/>
                <w:szCs w:val="21"/>
              </w:rPr>
              <w:t xml:space="preserve">2. QMS360 extracts the fields it can. </w:t>
            </w:r>
            <w:r>
              <w:rPr>
                <w:rFonts w:ascii="Inter" w:cs="Inter" w:eastAsia="Inter" w:hAnsi="Inter"/>
                <w:b w:val="false"/>
                <w:bCs w:val="false"/>
                <w:i w:val="false"/>
                <w:iCs w:val="false"/>
                <w:color w:val="111827"/>
                <w:sz w:val="21"/>
                <w:szCs w:val="21"/>
              </w:rPr>
              <w:t xml:space="preserve">Project → Project Alpha (matched against the synced Project Master); Issue Category → Moderate; Impact → Negative; Root Cause (draft) → “Late drawing approval”; Description (draft) → an AI-rephrased version of the prompt’s framework-rework narrative — each field validated against the same rules the standard form uses.</w:t>
            </w:r>
          </w:p>
          <w:p>
            <w:pPr>
              <w:spacing w:after="60" w:line="260"/>
            </w:pPr>
            <w:r>
              <w:rPr>
                <w:rFonts w:ascii="Inter" w:cs="Inter" w:eastAsia="Inter" w:hAnsi="Inter"/>
                <w:b/>
                <w:bCs/>
                <w:i w:val="false"/>
                <w:iCs w:val="false"/>
                <w:color w:val="111827"/>
                <w:sz w:val="21"/>
                <w:szCs w:val="21"/>
              </w:rPr>
              <w:t xml:space="preserve">3. QMS360 asks for what it could not determine. </w:t>
            </w:r>
            <w:r>
              <w:rPr>
                <w:rFonts w:ascii="Inter" w:cs="Inter" w:eastAsia="Inter" w:hAnsi="Inter"/>
                <w:b w:val="false"/>
                <w:bCs w:val="false"/>
                <w:i w:val="false"/>
                <w:iCs w:val="false"/>
                <w:color w:val="111827"/>
                <w:sz w:val="21"/>
                <w:szCs w:val="21"/>
              </w:rPr>
              <w:t xml:space="preserve">The Discipline field has no value in the prompt and has no single default, so the system asks: “Which discipline does this fall under?” and offers the configured discipline list as a pick — it does not guess or leave the field blank.</w:t>
            </w:r>
          </w:p>
          <w:p>
            <w:pPr>
              <w:spacing w:after="60" w:line="260"/>
            </w:pPr>
            <w:r>
              <w:rPr>
                <w:rFonts w:ascii="Inter" w:cs="Inter" w:eastAsia="Inter" w:hAnsi="Inter"/>
                <w:b/>
                <w:bCs/>
                <w:i w:val="false"/>
                <w:iCs w:val="false"/>
                <w:color w:val="111827"/>
                <w:sz w:val="21"/>
                <w:szCs w:val="21"/>
              </w:rPr>
              <w:t xml:space="preserve">4. Review, not auto-submit. </w:t>
            </w:r>
            <w:r>
              <w:rPr>
                <w:rFonts w:ascii="Inter" w:cs="Inter" w:eastAsia="Inter" w:hAnsi="Inter"/>
                <w:b w:val="false"/>
                <w:bCs w:val="false"/>
                <w:i w:val="false"/>
                <w:iCs w:val="false"/>
                <w:color w:val="111827"/>
                <w:sz w:val="21"/>
                <w:szCs w:val="21"/>
              </w:rPr>
              <w:t xml:space="preserve">The assembled form opens in the ordinary Accept / Edit / Reject review screen (Section 9.6.3), pre-filled and clearly marked as AI-assembled, with every field still editable — nothing is created until the Form Creator submits it themselves.</w:t>
            </w:r>
          </w:p>
          <w:p>
            <w:pPr>
              <w:spacing w:after="60" w:line="260"/>
            </w:pPr>
            <w:r>
              <w:rPr>
                <w:rFonts w:ascii="Inter" w:cs="Inter" w:eastAsia="Inter" w:hAnsi="Inter"/>
                <w:b/>
                <w:bCs/>
                <w:i w:val="false"/>
                <w:iCs w:val="false"/>
                <w:color w:val="111827"/>
                <w:sz w:val="21"/>
                <w:szCs w:val="21"/>
              </w:rPr>
              <w:t xml:space="preserve">5. Logged like any other AI interaction. </w:t>
            </w:r>
            <w:r>
              <w:rPr>
                <w:rFonts w:ascii="Inter" w:cs="Inter" w:eastAsia="Inter" w:hAnsi="Inter"/>
                <w:b w:val="false"/>
                <w:bCs w:val="false"/>
                <w:i w:val="false"/>
                <w:iCs w:val="false"/>
                <w:color w:val="111827"/>
                <w:sz w:val="21"/>
                <w:szCs w:val="21"/>
              </w:rPr>
              <w:t xml:space="preserve">The prompt, the extracted fields, the clarifying question and answer, and the final submitted record are all written to this application’s own AI interaction audit log (Section 9.6.5), exactly as an AI-rephrased field would be.</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12. Workspace 3 — QMS Audit Management</w:t>
      </w:r>
    </w:p>
    <w:p>
      <w:pPr>
        <w:spacing w:after="60" w:before="0"/>
      </w:pPr>
      <w:r>
        <w:rPr>
          <w:rFonts w:ascii="Inter" w:cs="Inter" w:eastAsia="Inter" w:hAnsi="Inter"/>
          <w:b/>
          <w:bCs/>
          <w:color w:val="732DEB"/>
          <w:spacing w:val="20"/>
          <w:sz w:val="16"/>
          <w:szCs w:val="16"/>
        </w:rPr>
        <w:t xml:space="preserve">SOURCE: QMS-SOW-V2, V2.0</w:t>
      </w:r>
    </w:p>
    <w:p>
      <w:pPr>
        <w:spacing w:after="160" w:before="0" w:line="276"/>
        <w:jc w:val="left"/>
      </w:pPr>
      <w:r>
        <w:rPr>
          <w:rFonts w:ascii="Inter" w:cs="Inter" w:eastAsia="Inter" w:hAnsi="Inter"/>
          <w:b w:val="false"/>
          <w:bCs w:val="false"/>
          <w:i w:val="false"/>
          <w:iCs w:val="false"/>
          <w:color w:val="111827"/>
          <w:sz w:val="21"/>
          <w:szCs w:val="21"/>
        </w:rPr>
        <w:t xml:space="preserve">Digitises the full ISO 9001:2015 internal audit lifecycle end-to-end — scheduling, execution, findings, corrective action and closure. Full field-level specification is carried forward unchanged from the source BRD Sections 7–9; this section summarises the three-phase workflow, escalation and screens.</w:t>
      </w:r>
    </w:p>
    <w:p>
      <w:pPr>
        <w:pStyle w:val="Heading2"/>
        <w:spacing w:after="160" w:before="340"/>
      </w:pPr>
      <w:r>
        <w:rPr>
          <w:rFonts w:ascii="Inter" w:cs="Inter" w:eastAsia="Inter" w:hAnsi="Inter"/>
          <w:b/>
          <w:bCs/>
          <w:color w:val="D4196A"/>
          <w:sz w:val="25"/>
          <w:szCs w:val="25"/>
        </w:rPr>
        <w:t xml:space="preserve">12.1 Three-Phase Lifecycle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400"/>
        <w:gridCol w:w="2860"/>
        <w:gridCol w:w="5100"/>
      </w:tblGrid>
      <w:tr>
        <w:trPr>
          <w:cantSplit/>
          <w:tblHeader/>
        </w:trPr>
        <w:tc>
          <w:tcPr>
            <w:tcW w:type="dxa" w:w="1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Phase</w:t>
            </w:r>
          </w:p>
        </w:tc>
        <w:tc>
          <w:tcPr>
            <w:tcW w:type="dxa" w:w="28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Stages</w:t>
            </w:r>
          </w:p>
        </w:tc>
        <w:tc>
          <w:tcPr>
            <w:tcW w:type="dxa" w:w="51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Summary</w:t>
            </w:r>
          </w:p>
        </w:tc>
      </w:tr>
      <w:tr>
        <w:trPr>
          <w:cantSplit/>
        </w:trPr>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 Pre-Audit</w:t>
            </w:r>
          </w:p>
        </w:tc>
        <w:tc>
          <w:tcPr>
            <w:tcW w:type="dxa" w:w="2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Scheduling &amp; Approval → Feasibility &amp; Plan Preparation → Team Assignment</w:t>
            </w:r>
          </w:p>
        </w:tc>
        <w:tc>
          <w:tcPr>
            <w:tcW w:type="dxa" w:w="5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Program Manager builds the annual schedule; Director/CEO approves or sends back for revision; on approval the system auto-generates and distributes the memo; feasibility is confirmed and the Audit Plan (scope, criteria, date, location) is prepared and shared with Process/Product Owners.</w:t>
            </w:r>
          </w:p>
        </w:tc>
      </w:tr>
      <w:tr>
        <w:trPr>
          <w:cantSplit/>
        </w:trPr>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 Audit Execution</w:t>
            </w:r>
          </w:p>
        </w:tc>
        <w:tc>
          <w:tcPr>
            <w:tcW w:type="dxa" w:w="2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Opening Meeting → Evidence Collection → Findings &amp; NC Evaluation → Closing Meeting</w:t>
            </w:r>
          </w:p>
        </w:tc>
        <w:tc>
          <w:tcPr>
            <w:tcW w:type="dxa" w:w="5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Opening meeting minutes are logged; evidence (documents, photos, interviews) is collected on-site through the installable Progressive Web App, with checklist and reference data cached for no-signal viewing; true no-signal capture and submission of new evidence is part of Algihaz’s future mobile retrofit of the same APIs (Section 14.4, Section 22.1); findings are classified as Conformity / Observation / Minor NC / Major NC; closing meeting minutes are logged.</w:t>
            </w:r>
          </w:p>
        </w:tc>
      </w:tr>
      <w:tr>
        <w:trPr>
          <w:cantSplit/>
        </w:trPr>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 Post-Audit</w:t>
            </w:r>
          </w:p>
        </w:tc>
        <w:tc>
          <w:tcPr>
            <w:tcW w:type="dxa" w:w="28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Report → CAR Workflow → Verification &amp; Closure</w:t>
            </w:r>
          </w:p>
        </w:tc>
        <w:tc>
          <w:tcPr>
            <w:tcW w:type="dxa" w:w="51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System auto-generates the audit report from all captured data; each NC is auto-assigned a Corrective Action Report (CAR) to its Process/Product Owner with root cause, correction and corrective action fields; the auditor verifies effectiveness and formally closes the audit, or schedules a follow-up if not effective.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Decision needed from Algihaz — Finding-to-CAR cardinality</w:t>
            </w:r>
          </w:p>
          <w:p>
            <w:pPr>
              <w:spacing w:after="60" w:line="260"/>
            </w:pPr>
            <w:r>
              <w:rPr>
                <w:rFonts w:ascii="Inter" w:cs="Inter" w:eastAsia="Inter" w:hAnsi="Inter"/>
                <w:color w:val="111827"/>
                <w:sz w:val="19"/>
                <w:szCs w:val="19"/>
              </w:rPr>
              <w:t xml:space="preserve">The source Audit BRD assumes one Corrective Action Report per finding, owned by a single Process/Product Owner. In practice, a single finding can implicate more than one department (for example, a documentation NC that spans both a project team and a procurement function).</w:t>
            </w:r>
          </w:p>
          <w:p>
            <w:pPr>
              <w:spacing w:after="60" w:line="260"/>
            </w:pPr>
            <w:r>
              <w:rPr>
                <w:rFonts w:ascii="Inter" w:cs="Inter" w:eastAsia="Inter" w:hAnsi="Inter"/>
                <w:b/>
                <w:bCs/>
                <w:i w:val="false"/>
                <w:iCs w:val="false"/>
                <w:color w:val="111827"/>
                <w:sz w:val="21"/>
                <w:szCs w:val="21"/>
              </w:rPr>
              <w:t xml:space="preserve">Recommended default in this design: </w:t>
            </w:r>
            <w:r>
              <w:rPr>
                <w:rFonts w:ascii="Inter" w:cs="Inter" w:eastAsia="Inter" w:hAnsi="Inter"/>
                <w:b w:val="false"/>
                <w:bCs w:val="false"/>
                <w:i w:val="false"/>
                <w:iCs w:val="false"/>
                <w:color w:val="111827"/>
                <w:sz w:val="21"/>
                <w:szCs w:val="21"/>
              </w:rPr>
              <w:t xml:space="preserve">an Audit Finding can spawn one CAR per responsible department, each independently assigned, tracked and closed — so a multi-department finding is not forced onto one owner or silently narrowed to whichever department the auditor picks first. This is a workflow enhancement beyond the original BRD baseline, not a defect fix, so it is presented here for explicit Algihaz sign-off rather than assumed. If Algihaz prefers to keep the original one-finding-one-CAR model, the platform supports that just as directly — this is a configuration choice, not an architectural constraint.</w:t>
            </w:r>
          </w:p>
        </w:tc>
      </w:tr>
    </w:tbl>
    <w:p>
      <w:pPr>
        <w:pStyle w:val="Heading2"/>
        <w:spacing w:after="160" w:before="340"/>
      </w:pPr>
      <w:r>
        <w:rPr>
          <w:rFonts w:ascii="Inter" w:cs="Inter" w:eastAsia="Inter" w:hAnsi="Inter"/>
          <w:b/>
          <w:bCs/>
          <w:color w:val="D4196A"/>
          <w:sz w:val="25"/>
          <w:szCs w:val="25"/>
        </w:rPr>
        <w:t xml:space="preserve">12.2 Escalation Matrix (Priority + Level)</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200"/>
        <w:gridCol w:w="2700"/>
        <w:gridCol w:w="1560"/>
        <w:gridCol w:w="3900"/>
      </w:tblGrid>
      <w:tr>
        <w:trPr>
          <w:cantSplit/>
          <w:tblHeader/>
        </w:trPr>
        <w:tc>
          <w:tcPr>
            <w:tcW w:type="dxa" w:w="1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Priority</w:t>
            </w:r>
          </w:p>
        </w:tc>
        <w:tc>
          <w:tcPr>
            <w:tcW w:type="dxa" w:w="27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Risk Combination</w:t>
            </w:r>
          </w:p>
        </w:tc>
        <w:tc>
          <w:tcPr>
            <w:tcW w:type="dxa" w:w="1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SLA</w:t>
            </w:r>
          </w:p>
        </w:tc>
        <w:tc>
          <w:tcPr>
            <w:tcW w:type="dxa" w:w="3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On Breach</w:t>
            </w:r>
          </w:p>
        </w:tc>
      </w:tr>
      <w:tr>
        <w:trPr>
          <w:cantSplit/>
        </w:trPr>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P1</w:t>
            </w:r>
          </w:p>
        </w:tc>
        <w:tc>
          <w:tcPr>
            <w:tcW w:type="dxa" w:w="2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Major + High</w:t>
            </w:r>
          </w:p>
        </w:tc>
        <w:tc>
          <w:tcPr>
            <w:tcW w:type="dxa" w:w="1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days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Escalates automatically per the level matrix below</w:t>
            </w:r>
          </w:p>
        </w:tc>
      </w:tr>
      <w:tr>
        <w:trPr>
          <w:cantSplit/>
        </w:trPr>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P2</w:t>
            </w:r>
          </w:p>
        </w:tc>
        <w:tc>
          <w:tcPr>
            <w:tcW w:type="dxa" w:w="2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Major + Medium</w:t>
            </w:r>
          </w:p>
        </w:tc>
        <w:tc>
          <w:tcPr>
            <w:tcW w:type="dxa" w:w="1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days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Auto-upgrades to P1 if still unresolved</w:t>
            </w:r>
          </w:p>
        </w:tc>
      </w:tr>
      <w:tr>
        <w:trPr>
          <w:cantSplit/>
        </w:trPr>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P3</w:t>
            </w:r>
          </w:p>
        </w:tc>
        <w:tc>
          <w:tcPr>
            <w:tcW w:type="dxa" w:w="2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Major + Low</w:t>
            </w:r>
          </w:p>
        </w:tc>
        <w:tc>
          <w:tcPr>
            <w:tcW w:type="dxa" w:w="1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days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Auto-upgrades to P2</w:t>
            </w:r>
          </w:p>
        </w:tc>
      </w:tr>
      <w:tr>
        <w:trPr>
          <w:cantSplit/>
        </w:trPr>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P4</w:t>
            </w:r>
          </w:p>
        </w:tc>
        <w:tc>
          <w:tcPr>
            <w:tcW w:type="dxa" w:w="2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Minor + High</w:t>
            </w:r>
          </w:p>
        </w:tc>
        <w:tc>
          <w:tcPr>
            <w:tcW w:type="dxa" w:w="1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days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Auto-upgrades to P3</w:t>
            </w:r>
          </w:p>
        </w:tc>
      </w:tr>
      <w:tr>
        <w:trPr>
          <w:cantSplit/>
        </w:trPr>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P5</w:t>
            </w:r>
          </w:p>
        </w:tc>
        <w:tc>
          <w:tcPr>
            <w:tcW w:type="dxa" w:w="2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Minor + Medium</w:t>
            </w:r>
          </w:p>
        </w:tc>
        <w:tc>
          <w:tcPr>
            <w:tcW w:type="dxa" w:w="1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days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Auto-upgrades to P4</w:t>
            </w:r>
          </w:p>
        </w:tc>
      </w:tr>
      <w:tr>
        <w:trPr>
          <w:cantSplit/>
        </w:trPr>
        <w:tc>
          <w:tcPr>
            <w:tcW w:type="dxa" w:w="1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P6</w:t>
            </w:r>
          </w:p>
        </w:tc>
        <w:tc>
          <w:tcPr>
            <w:tcW w:type="dxa" w:w="2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Minor + Low</w:t>
            </w:r>
          </w:p>
        </w:tc>
        <w:tc>
          <w:tcPr>
            <w:tcW w:type="dxa" w:w="1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days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Auto-upgrades to P5</w:t>
            </w:r>
          </w:p>
        </w:tc>
      </w:tr>
    </w:tbl>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L1: triggered when P1 remains unresolved for 3 days, or P6 for 14 days — escalated to BU Head/Director, Project Manager and Functional Head, repeating every 2 days until closure.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L2: management intervention escalation to BU Head/Director when L1 remains unresolved.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Extension request: the Process/Product Owner may request an extension with the Audit Lead’s approval — the standard escalation clock only re-applies once the approved extension elapses.</w:t>
      </w:r>
    </w:p>
    <w:p>
      <w:pPr>
        <w:pStyle w:val="Heading2"/>
        <w:spacing w:after="160" w:before="340"/>
      </w:pPr>
      <w:r>
        <w:rPr>
          <w:rFonts w:ascii="Inter" w:cs="Inter" w:eastAsia="Inter" w:hAnsi="Inter"/>
          <w:b/>
          <w:bCs/>
          <w:color w:val="D4196A"/>
          <w:sz w:val="25"/>
          <w:szCs w:val="25"/>
        </w:rPr>
        <w:t xml:space="preserve">12.3 Key Screens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Annual Audit Schedule builder (calendar/grid)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Director/CEO Approval dashboard (Approve / Send Back)</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Audit Plan builder</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Opening &amp; Closing Meeting minute-taker</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On-site Evidence &amp; Checklist executor (installable, GPS-tagged, IndexedDB reference caching)</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Findings &amp; NC classifier</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Auto-generated Audit Report preview</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CAR workflow (Process/Product Owner submission → Auditor accept/reject)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Findings Log (cross-project, filterable)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Audit Dashboard (open vs closed, ageing, escalation status)</w:t>
      </w:r>
    </w:p>
    <w:p>
      <w:pPr>
        <w:pStyle w:val="Heading2"/>
        <w:spacing w:after="160" w:before="340"/>
      </w:pPr>
      <w:r>
        <w:rPr>
          <w:rFonts w:ascii="Inter" w:cs="Inter" w:eastAsia="Inter" w:hAnsi="Inter"/>
          <w:b/>
          <w:bCs/>
          <w:color w:val="D4196A"/>
          <w:sz w:val="25"/>
          <w:szCs w:val="25"/>
        </w:rPr>
        <w:t xml:space="preserve">12.4 Workspace Administration</w:t>
      </w:r>
    </w:p>
    <w:p>
      <w:pPr>
        <w:spacing w:after="160" w:before="0" w:line="276"/>
        <w:jc w:val="left"/>
      </w:pPr>
      <w:r>
        <w:rPr>
          <w:rFonts w:ascii="Inter" w:cs="Inter" w:eastAsia="Inter" w:hAnsi="Inter"/>
          <w:b w:val="false"/>
          <w:bCs w:val="false"/>
          <w:i w:val="false"/>
          <w:iCs w:val="false"/>
          <w:color w:val="111827"/>
          <w:sz w:val="21"/>
          <w:szCs w:val="21"/>
        </w:rPr>
        <w:t xml:space="preserve">This application has its own independent RBAC &amp; User Management, Escalation Configuration, Notification Center and Audit &amp; Compliance Log — the generic pattern is defined once in Section 9.6 and applied here without modification. This application does not currently have an AI-assisted drafting feature, so it has no AI Settings &amp; Controls screen of its own.</w:t>
      </w:r>
    </w:p>
    <w:p>
      <w:pPr>
        <w:pStyle w:val="Heading1"/>
        <w:pBdr>
          <w:bottom w:val="single" w:color="D4196A" w:sz="10" w:space="6"/>
        </w:pBdr>
        <w:spacing w:after="220" w:before="480"/>
      </w:pPr>
      <w:r>
        <w:rPr>
          <w:rFonts w:ascii="Inter" w:cs="Inter" w:eastAsia="Inter" w:hAnsi="Inter"/>
          <w:b/>
          <w:bCs/>
          <w:color w:val="111827"/>
          <w:sz w:val="32"/>
          <w:szCs w:val="32"/>
        </w:rPr>
        <w:t xml:space="preserve">13. Escalation &amp; SLA Pattern (Independently Configured per Workspace)</w:t>
      </w:r>
    </w:p>
    <w:p>
      <w:pPr>
        <w:spacing w:after="160" w:before="0" w:line="276"/>
        <w:jc w:val="left"/>
      </w:pPr>
      <w:r>
        <w:rPr>
          <w:rFonts w:ascii="Inter" w:cs="Inter" w:eastAsia="Inter" w:hAnsi="Inter"/>
          <w:b w:val="false"/>
          <w:bCs w:val="false"/>
          <w:i w:val="false"/>
          <w:iCs w:val="false"/>
          <w:color w:val="111827"/>
          <w:sz w:val="21"/>
          <w:szCs w:val="21"/>
        </w:rPr>
        <w:t xml:space="preserve">Each source BRD defines its own escalation matrix, but the underlying pattern is identical: something crosses a threshold, a clock starts, and if the clock runs out before action is taken, the issue is automatically pushed to the next person up. Rather than hand-build this timer/reconciliation logic three times, it is written once as a shared library — but this is a code-reuse decision only, not a shared configuration surface. There is no cross-application escalation settings screen: each application owns its own rule set, edited from its own Settings (Section 9.6.2), and Algihaz can change one application’s escalation behaviour without touching the other two.</w:t>
      </w:r>
    </w:p>
    <w:p>
      <w:pPr>
        <w:pStyle w:val="Heading2"/>
        <w:spacing w:after="160" w:before="340"/>
      </w:pPr>
      <w:r>
        <w:rPr>
          <w:rFonts w:ascii="Inter" w:cs="Inter" w:eastAsia="Inter" w:hAnsi="Inter"/>
          <w:b/>
          <w:bCs/>
          <w:color w:val="D4196A"/>
          <w:sz w:val="25"/>
          <w:szCs w:val="25"/>
        </w:rPr>
        <w:t xml:space="preserve">13.1 How the engine works</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Trigger: </w:t>
      </w:r>
      <w:r>
        <w:rPr>
          <w:rFonts w:ascii="Inter" w:cs="Inter" w:eastAsia="Inter" w:hAnsi="Inter"/>
          <w:b w:val="false"/>
          <w:bCs w:val="false"/>
          <w:i w:val="false"/>
          <w:iCs w:val="false"/>
          <w:color w:val="111827"/>
          <w:sz w:val="21"/>
          <w:szCs w:val="21"/>
        </w:rPr>
        <w:t xml:space="preserve">a record enters a state the rule set watches — a report submitted for approval, a report never submitted by its deadline, a performance metric under target, an audit finding raised, a CAR issued.</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Clock: </w:t>
      </w:r>
      <w:r>
        <w:rPr>
          <w:rFonts w:ascii="Inter" w:cs="Inter" w:eastAsia="Inter" w:hAnsi="Inter"/>
          <w:b w:val="false"/>
          <w:bCs w:val="false"/>
          <w:i w:val="false"/>
          <w:iCs w:val="false"/>
          <w:color w:val="111827"/>
          <w:sz w:val="21"/>
          <w:szCs w:val="21"/>
        </w:rPr>
        <w:t xml:space="preserve">the engine starts an SLA clock in working days, using the organisation’s configured working-week and holiday calendar.</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Reminder(s): </w:t>
      </w:r>
      <w:r>
        <w:rPr>
          <w:rFonts w:ascii="Inter" w:cs="Inter" w:eastAsia="Inter" w:hAnsi="Inter"/>
          <w:b w:val="false"/>
          <w:bCs w:val="false"/>
          <w:i w:val="false"/>
          <w:iCs w:val="false"/>
          <w:color w:val="111827"/>
          <w:sz w:val="21"/>
          <w:szCs w:val="21"/>
        </w:rPr>
        <w:t xml:space="preserve">one or more reminders fire to the responsible party before the SLA is breached (configurable).</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Breach → escalation: </w:t>
      </w:r>
      <w:r>
        <w:rPr>
          <w:rFonts w:ascii="Inter" w:cs="Inter" w:eastAsia="Inter" w:hAnsi="Inter"/>
          <w:b w:val="false"/>
          <w:bCs w:val="false"/>
          <w:i w:val="false"/>
          <w:iCs w:val="false"/>
          <w:color w:val="111827"/>
          <w:sz w:val="21"/>
          <w:szCs w:val="21"/>
        </w:rPr>
        <w:t xml:space="preserve">if the SLA lapses, the engine notifies the next role up per the configured level (L1/L2/L3, or P1–P6, depending on workspace), and keeps repeating on the configured cadence until the item is closed.</w:t>
      </w:r>
    </w:p>
    <w:p>
      <w:pPr>
        <w:pStyle w:val="ListParagraph"/>
        <w:numPr>
          <w:ilvl w:val="0"/>
          <w:numId w:val="3"/>
        </w:numPr>
        <w:spacing w:after="100" w:line="268"/>
      </w:pPr>
      <w:r>
        <w:rPr>
          <w:rFonts w:ascii="Inter" w:cs="Inter" w:eastAsia="Inter" w:hAnsi="Inter"/>
          <w:b w:val="false"/>
          <w:bCs w:val="false"/>
          <w:i w:val="false"/>
          <w:iCs w:val="false"/>
          <w:color w:val="111827"/>
          <w:sz w:val="21"/>
          <w:szCs w:val="21"/>
        </w:rPr>
        <w:t xml:space="preserve">Resolution: </w:t>
      </w:r>
      <w:r>
        <w:rPr>
          <w:rFonts w:ascii="Inter" w:cs="Inter" w:eastAsia="Inter" w:hAnsi="Inter"/>
          <w:b w:val="false"/>
          <w:bCs w:val="false"/>
          <w:i w:val="false"/>
          <w:iCs w:val="false"/>
          <w:color w:val="111827"/>
          <w:sz w:val="21"/>
          <w:szCs w:val="21"/>
        </w:rPr>
        <w:t xml:space="preserve">the clock and any escalation state clear the moment the underlying item is approved/closed — never requiring manual reset.</w:t>
      </w:r>
    </w:p>
    <w:p>
      <w:pPr>
        <w:pStyle w:val="Heading2"/>
        <w:spacing w:after="160" w:before="340"/>
      </w:pPr>
      <w:r>
        <w:rPr>
          <w:rFonts w:ascii="Inter" w:cs="Inter" w:eastAsia="Inter" w:hAnsi="Inter"/>
          <w:b/>
          <w:bCs/>
          <w:color w:val="D4196A"/>
          <w:sz w:val="25"/>
          <w:szCs w:val="25"/>
        </w:rPr>
        <w:t xml:space="preserve">13.2 Configured Rule Sets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4160"/>
        <w:gridCol w:w="2800"/>
      </w:tblGrid>
      <w:tr>
        <w:trPr>
          <w:cantSplit/>
          <w:tblHeader/>
        </w:trPr>
        <w:tc>
          <w:tcPr>
            <w:tcW w:type="dxa" w:w="2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Workspace</w:t>
            </w:r>
          </w:p>
        </w:tc>
        <w:tc>
          <w:tcPr>
            <w:tcW w:type="dxa" w:w="41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Trigger Types</w:t>
            </w:r>
          </w:p>
        </w:tc>
        <w:tc>
          <w:tcPr>
            <w:tcW w:type="dxa" w:w="28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Escalation Depth</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 QA/QC &amp; Doc. Governance</w:t>
            </w:r>
          </w:p>
        </w:tc>
        <w:tc>
          <w:tcPr>
            <w:tcW w:type="dxa" w:w="4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Performance (closure rate below target), approval delay, missing daily/monthly submission</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3-level performance escalation (L1→L3) + 2-level approval-delay escalation (P2→P1)</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2 — Lesson Learned</w:t>
            </w:r>
          </w:p>
        </w:tc>
        <w:tc>
          <w:tcPr>
            <w:tcW w:type="dxa" w:w="4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Priority-weighted issue severity + impact (P1), approval delay</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1 priority level (P1) + 2 escalation levels (L1→L2)</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3 — QMS Audit</w:t>
            </w:r>
          </w:p>
        </w:tc>
        <w:tc>
          <w:tcPr>
            <w:tcW w:type="dxa" w:w="4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NC severity × risk (P1–P6), audit approval delay</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6 priority levels (P1–P6) + 2 escalation levels (L1→L2), with an auditor-approved extension mechanism</w:t>
            </w:r>
          </w:p>
        </w:tc>
      </w:tr>
    </w:tbl>
    <w:p>
      <w:pPr>
        <w:spacing w:after="160" w:before="0" w:line="276"/>
        <w:jc w:val="left"/>
      </w:pPr>
      <w:r>
        <w:rPr>
          <w:rFonts w:ascii="Inter" w:cs="Inter" w:eastAsia="Inter" w:hAnsi="Inter"/>
          <w:b w:val="false"/>
          <w:bCs w:val="false"/>
          <w:i w:val="false"/>
          <w:iCs w:val="false"/>
          <w:color w:val="111827"/>
          <w:sz w:val="21"/>
          <w:szCs w:val="21"/>
        </w:rPr>
        <w:t xml:space="preserve">Each rule set — including SLA day-counts, recipient roles, and repeat cadence — is editable by that application’s own Org Admin under its Settings → Escalation Matrix Configuration, without a code change and without affecting the other two applications.</w:t>
      </w:r>
    </w:p>
    <w:p>
      <w:pPr>
        <w:pStyle w:val="Heading2"/>
        <w:spacing w:after="160" w:before="340"/>
      </w:pPr>
      <w:r>
        <w:rPr>
          <w:rFonts w:ascii="Inter" w:cs="Inter" w:eastAsia="Inter" w:hAnsi="Inter"/>
          <w:b/>
          <w:bCs/>
          <w:color w:val="D4196A"/>
          <w:sz w:val="25"/>
          <w:szCs w:val="25"/>
        </w:rPr>
        <w:t xml:space="preserve">13.3 Reliability &amp; Recalculation Rules</w:t>
      </w:r>
    </w:p>
    <w:p>
      <w:pPr>
        <w:spacing w:after="160" w:before="0" w:line="276"/>
        <w:jc w:val="left"/>
      </w:pPr>
      <w:r>
        <w:rPr>
          <w:rFonts w:ascii="Inter" w:cs="Inter" w:eastAsia="Inter" w:hAnsi="Inter"/>
          <w:b w:val="false"/>
          <w:bCs w:val="false"/>
          <w:i w:val="false"/>
          <w:iCs w:val="false"/>
          <w:color w:val="111827"/>
          <w:sz w:val="21"/>
          <w:szCs w:val="21"/>
        </w:rPr>
        <w:t xml:space="preserve">An escalation engine that quietly misses a breach is worse than having none — it creates false confidence that everything is on track. Two rules make that failure mode structurally unlikely rather than merely improbable: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Independent reconciliation sweep. </w:t>
      </w:r>
      <w:r>
        <w:rPr>
          <w:rFonts w:ascii="Inter" w:cs="Inter" w:eastAsia="Inter" w:hAnsi="Inter"/>
          <w:b w:val="false"/>
          <w:bCs w:val="false"/>
          <w:i w:val="false"/>
          <w:iCs w:val="false"/>
          <w:color w:val="111827"/>
          <w:sz w:val="21"/>
          <w:szCs w:val="21"/>
        </w:rPr>
        <w:t xml:space="preserve">SLA clocks are not only driven by the event queue (Section 14.1) — a scheduled sweep runs every 15–30 minutes and independently re-evaluates every open SLA clock against wall-clock time. If the application environment was idle, restarted, or a queued job was dropped, the sweep catches any escalation that should have fired and fires it immediately on the next cycle. This is a deliberate defence against exactly the kind of silent miss a purely event-driven design is vulnerable to.</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Dynamic recalculation on change. </w:t>
      </w:r>
      <w:r>
        <w:rPr>
          <w:rFonts w:ascii="Inter" w:cs="Inter" w:eastAsia="Inter" w:hAnsi="Inter"/>
          <w:b w:val="false"/>
          <w:bCs w:val="false"/>
          <w:i w:val="false"/>
          <w:iCs w:val="false"/>
          <w:color w:val="111827"/>
          <w:sz w:val="21"/>
          <w:szCs w:val="21"/>
        </w:rPr>
        <w:t xml:space="preserve">If an Org Admin edits the working calendar (adds a holiday, changes the working week) or approves an extension on a specific CAR, report, or finding, the affected SLA clock recalculates its remaining time immediately — the engine never keeps counting down against an assumption that has since changed underneath it.</w:t>
      </w:r>
    </w:p>
    <w:p>
      <w:pPr>
        <w:pStyle w:val="Heading1"/>
        <w:pBdr>
          <w:bottom w:val="single" w:color="D4196A" w:sz="10" w:space="6"/>
        </w:pBdr>
        <w:spacing w:after="220" w:before="480"/>
      </w:pPr>
      <w:r>
        <w:rPr>
          <w:rFonts w:ascii="Inter" w:cs="Inter" w:eastAsia="Inter" w:hAnsi="Inter"/>
          <w:b/>
          <w:bCs/>
          <w:color w:val="111827"/>
          <w:sz w:val="32"/>
          <w:szCs w:val="32"/>
        </w:rPr>
        <w:t xml:space="preserve">14. Technical Architecture</w:t>
      </w:r>
    </w:p>
    <w:p>
      <w:pPr>
        <w:spacing w:after="160" w:before="0" w:line="276"/>
        <w:jc w:val="left"/>
      </w:pPr>
      <w:r>
        <w:rPr>
          <w:rFonts w:ascii="Inter" w:cs="Inter" w:eastAsia="Inter" w:hAnsi="Inter"/>
          <w:b w:val="false"/>
          <w:bCs w:val="false"/>
          <w:i w:val="false"/>
          <w:iCs w:val="false"/>
          <w:color w:val="111827"/>
          <w:sz w:val="21"/>
          <w:szCs w:val="21"/>
        </w:rPr>
        <w:t xml:space="preserve">Corrected in internal design review: this is three independently-built applications, not one shared admin core with three front ends. Each application is its own backend domain module with its own database schema — its own RBAC, workflow/escalation configuration, AI Settings, notifications and audit log tables — built from a shared starter library (auth middleware, UI component kit, the escalation-timer library, the AI orchestration client) so common plumbing is not hand-built three times, without pulling the three applications’ own data or configuration into one shared schema. A small shared schema holds only what is genuinely common: the synced Project/BU Master, the identity/access-mapping table, and Integration Cockpit connector configuration (Section 15). Presenting three separate applications on Algihaz’s platform is therefore also a genuine backend separation, not only a front-end and entitlement decision — each application can be configured, and in principle deployed, on its own schedule.</w:t>
      </w:r>
    </w:p>
    <w:p>
      <w:pPr>
        <w:pBdr>
          <w:top w:val="single" w:color="E5E7EB" w:sz="4" w:space="4"/>
          <w:bottom w:val="single" w:color="E5E7EB" w:sz="4" w:space="4"/>
          <w:left w:val="single" w:color="E5E7EB" w:sz="4" w:space="4"/>
          <w:right w:val="single" w:color="E5E7EB" w:sz="4" w:space="4"/>
        </w:pBdr>
        <w:spacing w:after="80" w:before="160"/>
        <w:jc w:val="center"/>
      </w:pPr>
      <w:r>
        <w:drawing>
          <wp:inline distT="0" distB="0" distL="0" distR="0">
            <wp:extent cx="58293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895725"/>
                    </a:xfrm>
                    <a:prstGeom prst="rect">
                      <a:avLst/>
                    </a:prstGeom>
                  </pic:spPr>
                </pic:pic>
              </a:graphicData>
            </a:graphic>
          </wp:inline>
        </w:drawing>
      </w:r>
    </w:p>
    <w:p>
      <w:pPr>
        <w:spacing w:after="240"/>
        <w:jc w:val="center"/>
      </w:pPr>
      <w:r>
        <w:rPr>
          <w:rFonts w:ascii="Inter" w:cs="Inter" w:eastAsia="Inter" w:hAnsi="Inter"/>
          <w:i/>
          <w:iCs/>
          <w:color w:val="6B7280"/>
          <w:sz w:val="17"/>
          <w:szCs w:val="17"/>
        </w:rPr>
        <w:t xml:space="preserve">Figure 2 — QMS360 Reference Technical Architecture</w:t>
      </w:r>
    </w:p>
    <w:p>
      <w:pPr>
        <w:pStyle w:val="Heading2"/>
        <w:spacing w:after="160" w:before="340"/>
      </w:pPr>
      <w:r>
        <w:rPr>
          <w:rFonts w:ascii="Inter" w:cs="Inter" w:eastAsia="Inter" w:hAnsi="Inter"/>
          <w:b/>
          <w:bCs/>
          <w:color w:val="D4196A"/>
          <w:sz w:val="25"/>
          <w:szCs w:val="25"/>
        </w:rPr>
        <w:t xml:space="preserve">14.1 Technology Stack</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700"/>
        <w:gridCol w:w="3760"/>
        <w:gridCol w:w="3900"/>
      </w:tblGrid>
      <w:tr>
        <w:trPr>
          <w:cantSplit/>
          <w:tblHeader/>
        </w:trPr>
        <w:tc>
          <w:tcPr>
            <w:tcW w:type="dxa" w:w="17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Layer</w:t>
            </w:r>
          </w:p>
        </w:tc>
        <w:tc>
          <w:tcPr>
            <w:tcW w:type="dxa" w:w="3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Recommended Technology</w:t>
            </w:r>
          </w:p>
        </w:tc>
        <w:tc>
          <w:tcPr>
            <w:tcW w:type="dxa" w:w="3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Why</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Frontend</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React 18 + TypeScript, Tailwind CSS, shadcn/ui component primitives; TanStack Query for server-state caching and optimistic updates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Matches the design-token system already defined in the VerionAI Brand Identity Guidelines (colour, radius, spacing); TanStack Query gives every screen consistent caching, background refresh and offline resilience out of the box rather than ad hoc per-screen state handling.</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Mobile</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Installable Progressive Web App, in scope for all three applications (Section 14.4) — IndexedDB caches reference/master data for offline viewing; deeper native/offline transaction capability is Algihaz’s own future retrofit, built on the same APIs (Section 22.1)</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Delivers real offline-viewing value and installability without a separate native codebase; a future deeper retrofit is additive, not a rebuild.</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Backend</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Node.js + TypeScript (Express or Fastify); three independent domain codebases (Workspace 1 / 2 / 3), each importing a shared internal library (auth middleware, escalation-timer engine, AI orchestration client, UI kit) rather than sharing one admin module</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Same language front-to-back speeds up delivery; genuine separation between applications, with common plumbing built once as a library, not a shared service.</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 validation &amp; types</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single shared schema package (e.g., Zod) defining every field’s type and validation rule once, imported by both the frontend forms and the backend API routes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 business rule defined once cannot silently drift between what the form allows and what the API accepts — the same rule set is enforced on both sides from a single source.</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Database</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PostgreSQL — one instance holding four schemas: one per application (its own RBAC, workflow/escalation configuration, AI Settings, notifications, audit log and transactional tables) plus one shared schema (Project/BU Master cache, identity/access-mapping table, Integration Cockpit connector configuration) (Section 15)</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Relational integrity for master data, RBAC, and financially-adjacent KPI calculations; native row-level security for org/project scoping; four schemas in one instance gives each application genuine data isolation while still allowing one shared instance to administer and back up.</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Object storage</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S3-compatible object storage (evidence photos, PDFs, exports)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Cheap, versioned, signed-URL access control, keeps binary data out of the primary database.</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Cache &amp; queues</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Redis + BullMQ, plus a scheduled reconciliation sweep (Section 13.3)</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Session cache and all background jobs — escalation clocks, scheduled report generation, notification delivery, sync retries — with the sweep as a second, independent guarantee that no job is silently lost.</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AI layer</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Claude API (or a configurable LLM endpoint) behind each application’s own AI Settings &amp; Controls module (Section 9.6.3), with a hard call timeout and fallback</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Powers AI Quality Brief drafting and Lesson Learned rephrasing with a swappable provider, bounded latency, and full audit logging.</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Auth</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 independent login system — QMS360 validates the JWT session issued by Algihaz’s existing platform on every request (Section 7.2)</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Removes an entire authentication system from QMS360’s build and attack surface; password policy, MFA and any future SSO change once, at the platform, and are inherited automatically.</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Hosting (development &amp; UAT)</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Replit for the application code; an external managed PostgreSQL instance (e.g., Supabase or Neon) provisioned with the four-schema layout above, reachable from Replit from day one of development (Section 14.6) — not Replit’s own built-in database</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VerionAI’s fast path from design to a working, client-testable build during development and UAT, on a database layout that carries unchanged into production.</w:t>
            </w:r>
          </w:p>
        </w:tc>
      </w:tr>
      <w:tr>
        <w:trPr>
          <w:cantSplit/>
        </w:trPr>
        <w:tc>
          <w:tcPr>
            <w:tcW w:type="dxa" w:w="17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Hosting (production)</w:t>
            </w:r>
          </w:p>
        </w:tc>
        <w:tc>
          <w:tcPr>
            <w:tcW w:type="dxa" w:w="3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Algihaz’s existing application platform/container and its existing PostgreSQL instance — the same ones already hosting Algihaz’s other applications</w:t>
            </w:r>
          </w:p>
        </w:tc>
        <w:tc>
          <w:tcPr>
            <w:tcW w:type="dxa" w:w="3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The application code is fully containerised (Docker), so moving from the Replit build environment to Algihaz’s platform is a deployment step; the four-schema layout is created in Algihaz’s own instance via a one-time SQL script (Section 14.6), not a database migration.</w:t>
            </w:r>
          </w:p>
        </w:tc>
      </w:tr>
    </w:tbl>
    <w:p>
      <w:pPr>
        <w:pStyle w:val="Heading2"/>
        <w:spacing w:after="160" w:before="340"/>
      </w:pPr>
      <w:r>
        <w:rPr>
          <w:rFonts w:ascii="Inter" w:cs="Inter" w:eastAsia="Inter" w:hAnsi="Inter"/>
          <w:b/>
          <w:bCs/>
          <w:color w:val="D4196A"/>
          <w:sz w:val="25"/>
          <w:szCs w:val="25"/>
        </w:rPr>
        <w:t xml:space="preserve">14.2 Multi-Tenancy &amp; Scalability</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Organisation-scoped data model: </w:t>
      </w:r>
      <w:r>
        <w:rPr>
          <w:rFonts w:ascii="Inter" w:cs="Inter" w:eastAsia="Inter" w:hAnsi="Inter"/>
          <w:b w:val="false"/>
          <w:bCs w:val="false"/>
          <w:i w:val="false"/>
          <w:iCs w:val="false"/>
          <w:color w:val="111827"/>
          <w:sz w:val="21"/>
          <w:szCs w:val="21"/>
        </w:rPr>
        <w:t xml:space="preserve">every table carries an organisation_id and, where relevant, a project_id/business_unit_id. The application runs as a single organisation for Algihaz, but the schema is multi-tenant-ready from day one — a second Algihaz group entity, or a second VerionAI client, is additive configuration, not new architecture.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Stateless application tier: </w:t>
      </w:r>
      <w:r>
        <w:rPr>
          <w:rFonts w:ascii="Inter" w:cs="Inter" w:eastAsia="Inter" w:hAnsi="Inter"/>
          <w:b w:val="false"/>
          <w:bCs w:val="false"/>
          <w:i w:val="false"/>
          <w:iCs w:val="false"/>
          <w:color w:val="111827"/>
          <w:sz w:val="21"/>
          <w:szCs w:val="21"/>
        </w:rPr>
        <w:t xml:space="preserve">app servers hold no session state locally (sessions live in Redis), so the platform scales horizontally behind a load balancer as usage grows.</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Background-job isolation: </w:t>
      </w:r>
      <w:r>
        <w:rPr>
          <w:rFonts w:ascii="Inter" w:cs="Inter" w:eastAsia="Inter" w:hAnsi="Inter"/>
          <w:b w:val="false"/>
          <w:bCs w:val="false"/>
          <w:i w:val="false"/>
          <w:iCs w:val="false"/>
          <w:color w:val="111827"/>
          <w:sz w:val="21"/>
          <w:szCs w:val="21"/>
        </w:rPr>
        <w:t xml:space="preserve">report generation, escalation processing, notification delivery and integration syncs run as queued jobs, never inline in a user’s request — so a slow report export never slows down someone else’s form submission.</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Caching &amp; CDN: </w:t>
      </w:r>
      <w:r>
        <w:rPr>
          <w:rFonts w:ascii="Inter" w:cs="Inter" w:eastAsia="Inter" w:hAnsi="Inter"/>
          <w:b w:val="false"/>
          <w:bCs w:val="false"/>
          <w:i w:val="false"/>
          <w:iCs w:val="false"/>
          <w:color w:val="111827"/>
          <w:sz w:val="21"/>
          <w:szCs w:val="21"/>
        </w:rPr>
        <w:t xml:space="preserve">static assets and dashboard aggregates are cached; live transactional data is not — keeping dashboards accurate without sacrificing load time.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Designed capacity: </w:t>
      </w:r>
      <w:r>
        <w:rPr>
          <w:rFonts w:ascii="Inter" w:cs="Inter" w:eastAsia="Inter" w:hAnsi="Inter"/>
          <w:b w:val="false"/>
          <w:bCs w:val="false"/>
          <w:i w:val="false"/>
          <w:iCs w:val="false"/>
          <w:color w:val="111827"/>
          <w:sz w:val="21"/>
          <w:szCs w:val="21"/>
        </w:rPr>
        <w:t xml:space="preserve">the application is sized for hundreds of concurrent users across Algihaz’s projects at go-live; the stateless/queued design scales to several thousand concurrent users without an architecture change, only additional compute.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Designed for a growing application cluster: </w:t>
      </w:r>
      <w:r>
        <w:rPr>
          <w:rFonts w:ascii="Inter" w:cs="Inter" w:eastAsia="Inter" w:hAnsi="Inter"/>
          <w:b w:val="false"/>
          <w:bCs w:val="false"/>
          <w:i w:val="false"/>
          <w:iCs w:val="false"/>
          <w:color w:val="111827"/>
          <w:sz w:val="21"/>
          <w:szCs w:val="21"/>
        </w:rPr>
        <w:t xml:space="preserve">per Algihaz’s own platform team’s stated direction, QMS360’s three applications are the first of an expected 7–8 application QMS cluster on Algihaz’s platform (Section 3.2). Each already follows the same pattern — its own schema, its own RBAC/escalation/AI Settings, built from the same shared internal library and the same platform username/project sync (Section 9.2.1) — so each future application is a new schema and a new codebase built from that same library, administered entirely on its own, not a new platform and not a rearchitecture.</w:t>
      </w:r>
    </w:p>
    <w:p>
      <w:pPr>
        <w:pStyle w:val="Heading2"/>
        <w:spacing w:after="160" w:before="340"/>
      </w:pPr>
      <w:r>
        <w:rPr>
          <w:rFonts w:ascii="Inter" w:cs="Inter" w:eastAsia="Inter" w:hAnsi="Inter"/>
          <w:b/>
          <w:bCs/>
          <w:color w:val="D4196A"/>
          <w:sz w:val="25"/>
          <w:szCs w:val="25"/>
        </w:rPr>
        <w:t xml:space="preserve">14.3 Security Architecture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6760"/>
      </w:tblGrid>
      <w:tr>
        <w:trPr>
          <w:cantSplit/>
          <w:tblHeader/>
        </w:trPr>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Control</w:t>
            </w:r>
          </w:p>
        </w:tc>
        <w:tc>
          <w:tcPr>
            <w:tcW w:type="dxa" w:w="67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Implementation</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Encryption</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TLS 1.2+ in transit; AES-256 at rest for database and object storage.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Authorisation enforcement</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request first validates the existing Algihaz Platform’s session token and confirms the username/project (Section 7.2), then that application’s own RBAC is checked at the API layer (never only in the UI), plus PostgreSQL row-level security scoping records to a user’s organisation/project/BU.</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immutability</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Each application’s own Audit &amp; Compliance Log (Section 9.6.5) is append-only; no role — including Super Admin — can edit or delete a logged entry.</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Secrets management</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API keys, integration credentials and signing keys stored in an encrypted secrets vault, never in application code or environment files committed to source control.</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Input validation</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field enforces the exact validation/calculation rules defined in the source BRDs at the API layer, not only client-side, so a direct API call cannot bypass business rules.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Deletion &amp; referential integrity</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Nothing is physically deleted. Every deletable record carries a status/deleted-at marker instead of being removed, so audit history is always preserved. Uniqueness rules (reference numbers, project codes, and similar) apply only among active records — via partial/filtered unique indexes — so a soft-deleted draft never blocks its reference number from being reused, and never produces a false “already exists” error.</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Calculation safety</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ratio-based calculation (Section 10.1’s zero-denominator safeguard, and its equivalents elsewhere) is guarded at the database and API layer, not left to the frontend — a direct API call gets the same protected result a form submission would.</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OWASP alignment</w:t>
            </w:r>
          </w:p>
        </w:tc>
        <w:tc>
          <w:tcPr>
            <w:tcW w:type="dxa" w:w="67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Standard protections against injection, broken auth, and access-control failures (OWASP ASVS Level 2 baseline) built in from the first release, not retrofitted.</w:t>
            </w:r>
          </w:p>
        </w:tc>
      </w:tr>
    </w:tbl>
    <w:p>
      <w:pPr>
        <w:pStyle w:val="Heading2"/>
        <w:spacing w:after="160" w:before="340"/>
      </w:pPr>
      <w:r>
        <w:rPr>
          <w:rFonts w:ascii="Inter" w:cs="Inter" w:eastAsia="Inter" w:hAnsi="Inter"/>
          <w:b/>
          <w:bCs/>
          <w:color w:val="D4196A"/>
          <w:sz w:val="25"/>
          <w:szCs w:val="25"/>
        </w:rPr>
        <w:t xml:space="preserve">14.4 Mobile Scope &amp; Future Retrofit Readiness</w:t>
      </w:r>
    </w:p>
    <w:p>
      <w:pPr>
        <w:spacing w:after="160" w:before="0" w:line="276"/>
        <w:jc w:val="left"/>
      </w:pPr>
      <w:r>
        <w:rPr>
          <w:rFonts w:ascii="Inter" w:cs="Inter" w:eastAsia="Inter" w:hAnsi="Inter"/>
          <w:b w:val="false"/>
          <w:bCs w:val="false"/>
          <w:i w:val="false"/>
          <w:iCs w:val="false"/>
          <w:color w:val="111827"/>
          <w:sz w:val="21"/>
          <w:szCs w:val="21"/>
        </w:rPr>
        <w:t xml:space="preserve">VerionAI’s current build is an installable Progressive Web App — every screen in this document, across all three applications, works correctly from a desktop or mobile browser, with camera and GPS access through standard browser APIs, and Projects/Business Units/Disciplines/Categorisation masters are cached locally (IndexedDB) so the app installs to a device home screen and remains viewable with no signal. The Lesson Learned (FR-18) and QMS Audit BRDs additionally describe a mobile app that keeps working with no signal at all for creating and editing records, not just viewing reference data — caching new entries locally and syncing once connectivity returns. That deeper capability, plus deep packaging inside Algihaz’s own container, is outside VerionAI’s current scope (Section 4.3) — Algihaz’s own future retrofit, whenever it chooses to pursue it, built on top of the same QMS360 APIs described in this document. See Section 22.1 for the full scope discussion.</w:t>
      </w:r>
    </w:p>
    <w:p>
      <w:pPr>
        <w:spacing w:after="160" w:before="0" w:line="276"/>
        <w:jc w:val="left"/>
      </w:pPr>
      <w:r>
        <w:rPr>
          <w:rFonts w:ascii="Inter" w:cs="Inter" w:eastAsia="Inter" w:hAnsi="Inter"/>
          <w:b w:val="false"/>
          <w:bCs w:val="false"/>
          <w:i w:val="false"/>
          <w:iCs w:val="false"/>
          <w:color w:val="111827"/>
          <w:sz w:val="21"/>
          <w:szCs w:val="21"/>
        </w:rPr>
        <w:t xml:space="preserve">To make that future retrofit an additive project rather than a rebuild, the web application’s API layer is deliberately designed with the following properties — properties the Progressive Web App itself already uses for its own IndexedDB-backed reference-data caching, and that a future deeper mobile client would reuse for full offline transaction capture: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Idempotent submission. </w:t>
      </w:r>
      <w:r>
        <w:rPr>
          <w:rFonts w:ascii="Inter" w:cs="Inter" w:eastAsia="Inter" w:hAnsi="Inter"/>
          <w:b w:val="false"/>
          <w:bCs w:val="false"/>
          <w:i w:val="false"/>
          <w:iCs w:val="false"/>
          <w:color w:val="111827"/>
          <w:sz w:val="21"/>
          <w:szCs w:val="21"/>
        </w:rPr>
        <w:t xml:space="preserve">Every record-creation endpoint accepts a client-generated reference ID, so a mobile client retrying a queued submission after reconnecting can never create a duplicate record.</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Client-suppliable capture metadata. </w:t>
      </w:r>
      <w:r>
        <w:rPr>
          <w:rFonts w:ascii="Inter" w:cs="Inter" w:eastAsia="Inter" w:hAnsi="Inter"/>
          <w:b w:val="false"/>
          <w:bCs w:val="false"/>
          <w:i w:val="false"/>
          <w:iCs w:val="false"/>
          <w:color w:val="111827"/>
          <w:sz w:val="21"/>
          <w:szCs w:val="21"/>
        </w:rPr>
        <w:t xml:space="preserve">Timestamp and GPS coordinates can be supplied by the calling client at the moment of capture, not only stamped by the server on receipt — so a future offline mobile client can record the true moment of capture and sync it later without losing that fidelity.</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Reference-data snapshot endpoint. </w:t>
      </w:r>
      <w:r>
        <w:rPr>
          <w:rFonts w:ascii="Inter" w:cs="Inter" w:eastAsia="Inter" w:hAnsi="Inter"/>
          <w:b w:val="false"/>
          <w:bCs w:val="false"/>
          <w:i w:val="false"/>
          <w:iCs w:val="false"/>
          <w:color w:val="111827"/>
          <w:sz w:val="21"/>
          <w:szCs w:val="21"/>
        </w:rPr>
        <w:t xml:space="preserve">A single endpoint returns the current Projects, Business Units, Disciplines and Categorisation masters a client needs to populate its own dropdowns, with a “changed since” parameter so a future offline client can keep a local copy current without re-downloading everything.</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Evidence upload contract. </w:t>
      </w:r>
      <w:r>
        <w:rPr>
          <w:rFonts w:ascii="Inter" w:cs="Inter" w:eastAsia="Inter" w:hAnsi="Inter"/>
          <w:b w:val="false"/>
          <w:bCs w:val="false"/>
          <w:i w:val="false"/>
          <w:iCs w:val="false"/>
          <w:color w:val="111827"/>
          <w:sz w:val="21"/>
          <w:szCs w:val="21"/>
        </w:rPr>
        <w:t xml:space="preserve">Photo/video/document upload accepts a stable client-side reference, so a future offline client can queue file uploads locally and attach them to the right record once connectivity returns (Section 14.7 covers the size/compression rules that apply, whichever client performs the upload).</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Conflict handling designed once, in the API. </w:t>
      </w:r>
      <w:r>
        <w:rPr>
          <w:rFonts w:ascii="Inter" w:cs="Inter" w:eastAsia="Inter" w:hAnsi="Inter"/>
          <w:b w:val="false"/>
          <w:bCs w:val="false"/>
          <w:i w:val="false"/>
          <w:iCs w:val="false"/>
          <w:color w:val="111827"/>
          <w:sz w:val="21"/>
          <w:szCs w:val="21"/>
        </w:rPr>
        <w:t xml:space="preserve">If more than one user’s edits to the same record collide — whether from a slow web connection or, later, a queued offline mobile submission — the platform does not silently overwrite one with the other. Each submission syncs as its own version, field-level differences merge automatically where they do not collide, and any field genuinely edited by both is flagged for the record owner to reconcile; the losing edit is retained in the record’s history, never discarded.</w:t>
      </w:r>
    </w:p>
    <w:p>
      <w:pPr>
        <w:pStyle w:val="Heading2"/>
        <w:spacing w:after="160" w:before="340"/>
      </w:pPr>
      <w:r>
        <w:rPr>
          <w:rFonts w:ascii="Inter" w:cs="Inter" w:eastAsia="Inter" w:hAnsi="Inter"/>
          <w:b/>
          <w:bCs/>
          <w:color w:val="D4196A"/>
          <w:sz w:val="25"/>
          <w:szCs w:val="25"/>
        </w:rPr>
        <w:t xml:space="preserve">14.5 AI / LLM Integration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 single AI orchestration client library is shared code, imported independently by each of the two applications with an AI feature — it is not a shared running service or a shared AI Settings screen (Section 9.6.3); each application configures and governs its own AI features entirely on its own.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Every AI call is synchronous to the user’s review step (draft now, review now) — never auto-submitted — enforcing human-in-the-loop by design, not policy alone.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Every AI call is bounded by a hard timeout (default 10 seconds); on timeout or provider error, the field falls back to manual entry immediately with a “Retry AI Draft” action, so an AI outage never blocks a submission (Section 9.6.3).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Prompts and responses are logged with a reference to the record they relate to, in that application’s own AI interaction audit log, satisfying the audit requirement in both source BRDs — including timed-out or failed calls, which are logged rather than dropped.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provider is abstracted behind an interface so Algihaz can change LLM vendor without touching either application’s code.</w:t>
      </w:r>
    </w:p>
    <w:p>
      <w:pPr>
        <w:pStyle w:val="Heading2"/>
        <w:spacing w:after="160" w:before="340"/>
      </w:pPr>
      <w:r>
        <w:rPr>
          <w:rFonts w:ascii="Inter" w:cs="Inter" w:eastAsia="Inter" w:hAnsi="Inter"/>
          <w:b/>
          <w:bCs/>
          <w:color w:val="D4196A"/>
          <w:sz w:val="25"/>
          <w:szCs w:val="25"/>
        </w:rPr>
        <w:t xml:space="preserve">14.6 Build &amp; Deployment Approach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Database strategy, resolved in internal design review</w:t>
            </w:r>
          </w:p>
          <w:p>
            <w:pPr>
              <w:spacing w:after="60" w:line="260"/>
            </w:pPr>
            <w:r>
              <w:rPr>
                <w:rFonts w:ascii="Inter" w:cs="Inter" w:eastAsia="Inter" w:hAnsi="Inter"/>
                <w:color w:val="111827"/>
                <w:sz w:val="19"/>
                <w:szCs w:val="19"/>
              </w:rPr>
              <w:t xml:space="preserve">Replit’s own built-in database is not used, precisely because it cannot be handed a set of pre-existing schemas to build against, and Replit-provisioned databases are not the ones Algihaz will run in production. Instead, from day one of development, the team provisions an external managed PostgreSQL instance (e.g., Supabase or Neon), reachable from Replit, with the four-schema layout from Section 14.1 (one schema per application, plus one shared schema) created on it from the start.</w:t>
            </w:r>
          </w:p>
          <w:p>
            <w:pPr>
              <w:spacing w:after="60" w:line="260"/>
            </w:pPr>
            <w:r>
              <w:rPr>
                <w:rFonts w:ascii="Inter" w:cs="Inter" w:eastAsia="Inter" w:hAnsi="Inter"/>
                <w:color w:val="111827"/>
                <w:sz w:val="19"/>
                <w:szCs w:val="19"/>
              </w:rPr>
              <w:t xml:space="preserve">Because development is built against that exact schema layout from day one, going to production is a schema-creation exercise, not a data-model change: at deployment, VerionAI hands Algihaz’s IT/Platform Team a single SQL script that creates the same four schemas inside Algihaz’s own existing PostgreSQL instance, plus the per-schema database roles/credentials each application connects with. Each application’s backend is then pointed at Algihaz’s instance with its own schema-scoped connection string (via search_path or an equivalent per-schema role) — no application code change, and no second production database to keep in sync.</w:t>
            </w:r>
          </w:p>
        </w:tc>
      </w:tr>
    </w:tbl>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Repository structure: three independent backend domain codebases (Workspace 1 / 2 / 3), each with its own /server tree and its own migration set against its own schema, plus /shared-lib (the auth middleware, escalation-timer engine, AI orchestration client and UI kit imported by all three, per Section 14) and /client (React) per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 complete relational schema per application (e.g., Prisma schema / migration set per schema) covering every entity in Section 15 that belongs to it, including the soft-delete and active-scoped-uniqueness rules from Section 14.3 and the 1:N Audit Finding → CAR relationship from Section 12, pending the decision flagged there; plus one small migration set for the shared schema (Project/BU Master cache, identity/access-mapping table, Integration Cockpit connector configuration).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An automated seed script per application populating a working demo/UAT environment with sample Business Units, Projects, a default Admin account and representative sample records — so User Acceptance Testing starts against a realistic, populated system on day one rather than an empty database.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Environment separation from day one: Dev and UAT run on Replit against the externally-provisioned four-schema database described above; Production runs on Algihaz’s existing application platform and existing PostgreSQL instance from go-live, using the schema-creation script above, not a later migration.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CI checks (type-check, lint, migration dry-run per schema) run on every push before a deployment is promoted to UAT, and again before the same artifact is deployed into Algihaz’s production platform.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architecture’s only Replit-specific dependency is the development/UAT application-hosting layer itself — the application code, object storage and cache are all portable, and the database has never been Replit’s own built-in instance at any point, so there is no database migration step to get to production, only schema creation on Algihaz’s existing instance.</w:t>
      </w:r>
    </w:p>
    <w:p>
      <w:pPr>
        <w:pStyle w:val="Heading2"/>
        <w:spacing w:after="160" w:before="340"/>
      </w:pPr>
      <w:r>
        <w:rPr>
          <w:rFonts w:ascii="Inter" w:cs="Inter" w:eastAsia="Inter" w:hAnsi="Inter"/>
          <w:b/>
          <w:bCs/>
          <w:color w:val="D4196A"/>
          <w:sz w:val="25"/>
          <w:szCs w:val="25"/>
        </w:rPr>
        <w:t xml:space="preserve">14.7 Evidence &amp; Attachment Handling (Images, Videos, Documents) — New in this design</w:t>
      </w:r>
    </w:p>
    <w:p>
      <w:pPr>
        <w:spacing w:after="160" w:before="0" w:line="276"/>
        <w:jc w:val="left"/>
      </w:pPr>
      <w:r>
        <w:rPr>
          <w:rFonts w:ascii="Inter" w:cs="Inter" w:eastAsia="Inter" w:hAnsi="Inter"/>
          <w:b w:val="false"/>
          <w:bCs w:val="false"/>
          <w:i w:val="false"/>
          <w:iCs w:val="false"/>
          <w:color w:val="111827"/>
          <w:sz w:val="21"/>
          <w:szCs w:val="21"/>
        </w:rPr>
        <w:t xml:space="preserve">None of the three source BRDs specify a compression technique, a file-size ceiling, or the exact behaviour when a storage upload fails — Algihaz raised these as new questions on review of v4.0. This section is VerionAI’s proposed design for all three, flagged as a Change Request beyond BRD scope (Section 22.2).</w:t>
      </w:r>
    </w:p>
    <w:tbl>
      <w:tblPr>
        <w:tblW w:type="dxa" w:w="976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2200"/>
        <w:gridCol w:w="2900"/>
        <w:gridCol w:w="2460"/>
      </w:tblGrid>
      <w:tr>
        <w:trPr>
          <w:cantSplit/>
          <w:tblHeader/>
        </w:trPr>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Evidence Type</w:t>
            </w:r>
          </w:p>
        </w:tc>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Used In</w:t>
            </w:r>
          </w:p>
        </w:tc>
        <w:tc>
          <w:tcPr>
            <w:tcW w:type="dxa" w:w="2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Client-side handling before upload</w:t>
            </w:r>
          </w:p>
        </w:tc>
        <w:tc>
          <w:tcPr>
            <w:tcW w:type="dxa" w:w="24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Recommended limit (to confirm with Algihaz)</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Photos (before/after, site evidence)</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Lesson Learned, QMS Audit</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Resized client-side to a maximum of 1920×1080 JPEG before upload — a material size reduction with no visible quality loss on-screen</w:t>
            </w:r>
          </w:p>
        </w:tc>
        <w:tc>
          <w:tcPr>
            <w:tcW w:type="dxa" w:w="2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Max ~8 MB per photo after compression; up to 5 photos per Lesson Learned before/after category (BRD FR-11); Audit evidence photos uncapped in count, each individually size-capped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Videos (site evidence)</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 Audit</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No client-side transcoding is attempted in-browser (video compression in a browser is unreliable and slow); validated against the size/duration limit the instant a file is selected, before upload begins</w:t>
            </w:r>
          </w:p>
        </w:tc>
        <w:tc>
          <w:tcPr>
            <w:tcW w:type="dxa" w:w="2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Max 200 MB and 3 minutes per clip — both configurable in Organisation Settings without a code change</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Documents / PDFs (submittal proofs, checklists, MOM)</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QMS Audit, Document Governance</w:t>
            </w:r>
          </w:p>
        </w:tc>
        <w:tc>
          <w:tcPr>
            <w:tcW w:type="dxa" w:w="2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Validated for file type and size only; no compression applied</w:t>
            </w:r>
          </w:p>
        </w:tc>
        <w:tc>
          <w:tcPr>
            <w:tcW w:type="dxa" w:w="24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Max 25 MB per file</w:t>
            </w:r>
          </w:p>
        </w:tc>
      </w:tr>
    </w:tbl>
    <w:p>
      <w:pPr>
        <w:pStyle w:val="ListParagraph"/>
        <w:numPr>
          <w:ilvl w:val="0"/>
          <w:numId w:val="2"/>
        </w:numPr>
        <w:spacing w:after="90" w:line="268"/>
      </w:pPr>
      <w:r>
        <w:rPr>
          <w:rFonts w:ascii="Inter" w:cs="Inter" w:eastAsia="Inter" w:hAnsi="Inter"/>
          <w:b/>
          <w:bCs/>
          <w:i w:val="false"/>
          <w:iCs w:val="false"/>
          <w:color w:val="111827"/>
          <w:sz w:val="21"/>
          <w:szCs w:val="21"/>
        </w:rPr>
        <w:t xml:space="preserve">Upfront, client-side validation. </w:t>
      </w:r>
      <w:r>
        <w:rPr>
          <w:rFonts w:ascii="Inter" w:cs="Inter" w:eastAsia="Inter" w:hAnsi="Inter"/>
          <w:b w:val="false"/>
          <w:bCs w:val="false"/>
          <w:i w:val="false"/>
          <w:iCs w:val="false"/>
          <w:color w:val="111827"/>
          <w:sz w:val="21"/>
          <w:szCs w:val="21"/>
        </w:rPr>
        <w:t xml:space="preserve">Every file picker checks type and size against the limits above the instant a file is selected — an oversized or unsupported file is rejected immediately with a clear inline message (e.g., “This video is 240 MB; the limit is 200 MB”), before a single byte is sent, so a user on a slow connection never waits through a doomed upload.</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No silent success on a storage failure. </w:t>
      </w:r>
      <w:r>
        <w:rPr>
          <w:rFonts w:ascii="Inter" w:cs="Inter" w:eastAsia="Inter" w:hAnsi="Inter"/>
          <w:b w:val="false"/>
          <w:bCs w:val="false"/>
          <w:i w:val="false"/>
          <w:iCs w:val="false"/>
          <w:color w:val="111827"/>
          <w:sz w:val="21"/>
          <w:szCs w:val="21"/>
        </w:rPr>
        <w:t xml:space="preserve">The backend only writes a record’s attachment reference after S3 confirms the object is actually stored — never optimistically before that confirmation. If the upload itself fails (a network interruption, a storage outage), that specific attachment shows a visible “Upload failed — Retry” state, and the parent record cannot be submitted while any attachment is still failed or still uploading — never a record that looks complete while its evidence never actually reached storage.</w:t>
      </w:r>
    </w:p>
    <w:p>
      <w:pPr>
        <w:pStyle w:val="ListParagraph"/>
        <w:numPr>
          <w:ilvl w:val="0"/>
          <w:numId w:val="2"/>
        </w:numPr>
        <w:spacing w:after="90" w:line="268"/>
      </w:pPr>
      <w:r>
        <w:rPr>
          <w:rFonts w:ascii="Inter" w:cs="Inter" w:eastAsia="Inter" w:hAnsi="Inter"/>
          <w:b/>
          <w:bCs/>
          <w:i w:val="false"/>
          <w:iCs w:val="false"/>
          <w:color w:val="111827"/>
          <w:sz w:val="21"/>
          <w:szCs w:val="21"/>
        </w:rPr>
        <w:t xml:space="preserve">Configurable, not hardcoded. </w:t>
      </w:r>
      <w:r>
        <w:rPr>
          <w:rFonts w:ascii="Inter" w:cs="Inter" w:eastAsia="Inter" w:hAnsi="Inter"/>
          <w:b w:val="false"/>
          <w:bCs w:val="false"/>
          <w:i w:val="false"/>
          <w:iCs w:val="false"/>
          <w:color w:val="111827"/>
          <w:sz w:val="21"/>
          <w:szCs w:val="21"/>
        </w:rPr>
        <w:t xml:space="preserve">Every limit above (resolution, size, duration, count) is set in Organisation Settings, so Algihaz can tighten or loosen it without a code change once real-world usage patterns are known.</w:t>
      </w:r>
    </w:p>
    <w:p>
      <w:pPr>
        <w:pStyle w:val="Heading1"/>
        <w:pBdr>
          <w:bottom w:val="single" w:color="D4196A" w:sz="10" w:space="6"/>
        </w:pBdr>
        <w:spacing w:after="220" w:before="480"/>
      </w:pPr>
      <w:r>
        <w:rPr>
          <w:rFonts w:ascii="Inter" w:cs="Inter" w:eastAsia="Inter" w:hAnsi="Inter"/>
          <w:b/>
          <w:bCs/>
          <w:color w:val="111827"/>
          <w:sz w:val="32"/>
          <w:szCs w:val="32"/>
        </w:rPr>
        <w:t xml:space="preserve">15. Data Model Overview</w:t>
      </w:r>
    </w:p>
    <w:p>
      <w:pPr>
        <w:spacing w:after="160" w:before="0" w:line="276"/>
        <w:jc w:val="left"/>
      </w:pPr>
      <w:r>
        <w:rPr>
          <w:rFonts w:ascii="Inter" w:cs="Inter" w:eastAsia="Inter" w:hAnsi="Inter"/>
          <w:b w:val="false"/>
          <w:bCs w:val="false"/>
          <w:i w:val="false"/>
          <w:iCs w:val="false"/>
          <w:color w:val="111827"/>
          <w:sz w:val="21"/>
          <w:szCs w:val="21"/>
        </w:rPr>
        <w:t xml:space="preserve">A high-level view of the core entities and how they relate. Field-level detail for each workspace-specific record type is carried forward from the respective source BRD; this section shows how everything ties back to the shared identity, access and configuration layer.</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900"/>
        <w:gridCol w:w="1400"/>
        <w:gridCol w:w="2800"/>
        <w:gridCol w:w="3260"/>
      </w:tblGrid>
      <w:tr>
        <w:trPr>
          <w:cantSplit/>
          <w:tblHeader/>
        </w:trPr>
        <w:tc>
          <w:tcPr>
            <w:tcW w:type="dxa" w:w="1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Entity Group</w:t>
            </w:r>
          </w:p>
        </w:tc>
        <w:tc>
          <w:tcPr>
            <w:tcW w:type="dxa" w:w="1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Schema</w:t>
            </w:r>
          </w:p>
        </w:tc>
        <w:tc>
          <w:tcPr>
            <w:tcW w:type="dxa" w:w="28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Key Entities</w:t>
            </w:r>
          </w:p>
        </w:tc>
        <w:tc>
          <w:tcPr>
            <w:tcW w:type="dxa" w:w="32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Relationships</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 Identity &amp; Master Data</w:t>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 schema</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Organization, Username (synced), ApplicationAccess, Project (synced), BusinessUnit</w:t>
            </w:r>
          </w:p>
        </w:tc>
        <w:tc>
          <w:tcPr>
            <w:tcW w:type="dxa" w:w="32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Only the Username, its Project association and its per-application access flags are mirrored in real time from the existing Algihaz Platform / identity-mapping table (Section 9.2.1, Section 21.5). Project and BusinessUnit are likewise synced/shared. Nothing else lives in this schema.</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 1 — Identity, Access &amp; Records</w:t>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Workspace 1 schema</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PlatformRole, WorkspaceRole, Permission, Delegation, EscalationRule, Notification, AuditLogEntry, AISuggestionLog; QAQCMetricEntry, MaterialInspectionEntry, QTBTEntry, CustomerSatisfactionEntry, DocumentGovernanceLogEntry, QualityAssessmentBrief, DisciplineMaster, TargetBenchmark, DistributionList, ReportTemplate</w:t>
            </w:r>
          </w:p>
        </w:tc>
        <w:tc>
          <w:tcPr>
            <w:tcW w:type="dxa" w:w="32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RBAC, escalation, notification and audit table here is scoped to this application only. Records reference the shared Project table by id; PQI is derived, not stored as raw input.</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 2 — Identity, Access &amp; Records</w:t>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Workspace 2 schema</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PlatformRole, WorkspaceRole, Permission, Delegation, EscalationRule, Notification, AuditLogEntry, AISuggestionLog; LessonLearnedForm, LessonLearnedPhoto, DisciplineMaster, CategorisationMaster, DistributionList</w:t>
            </w:r>
          </w:p>
        </w:tc>
        <w:tc>
          <w:tcPr>
            <w:tcW w:type="dxa" w:w="32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Its own independent copies of the same RBAC/escalation/notification/audit table shapes as App 1 — no cross-schema foreign keys to App 1 or App 3. A form references a Project (shared schema), a Creator (User) and an Approver (User) within this schema.</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 3 — Identity, Access &amp; Records</w:t>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Workspace 3 schema</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PlatformRole, WorkspaceRole, Permission, Delegation, EscalationRule, Notification, AuditLogEntry; AuditSchedule, AuditPlan, Audit, AuditFinding, CorrectiveActionReport, CategorisationMaster</w:t>
            </w:r>
          </w:p>
        </w:tc>
        <w:tc>
          <w:tcPr>
            <w:tcW w:type="dxa" w:w="32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AuditSchedule → Audit(s) → AuditFinding(s) → CorrectiveActionReport(s), one-to-many at every arrow — including Finding → CAR, so one finding can carry a separate CAR per responsible department (Section 12, pending Algihaz’s confirmation). No AI Settings/AISuggestionLog table — this application has no AI feature (Section 12.4).</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Integration &amp; Reporting</w:t>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Shared schema</w:t>
            </w:r>
          </w:p>
        </w:tc>
        <w:tc>
          <w:tcPr>
            <w:tcW w:type="dxa" w:w="28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IntegrationConnector, SyncJob, and one read-only summary view per application (feeding the Executive Page, Section 9.5)</w:t>
            </w:r>
          </w:p>
        </w:tc>
        <w:tc>
          <w:tcPr>
            <w:tcW w:type="dxa" w:w="32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IntegrationConnector/SyncJob serve the shared Integration Cockpit (Section 9.2). Each application’s summary view is populated by that application publishing its own aggregates — the Executive Page reads only these views, never an application’s own transactional tables directly, so no cross-schema query dependency exists at runtime.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Deletion model</w:t>
            </w:r>
          </w:p>
          <w:p>
            <w:pPr>
              <w:spacing w:after="60" w:line="260"/>
            </w:pPr>
            <w:r>
              <w:rPr>
                <w:rFonts w:ascii="Inter" w:cs="Inter" w:eastAsia="Inter" w:hAnsi="Inter"/>
                <w:color w:val="111827"/>
                <w:sz w:val="19"/>
                <w:szCs w:val="19"/>
              </w:rPr>
              <w:t xml:space="preserve">No entity in this model is ever physically deleted by a normal user action — every deletable record (a draft form, a duplicate master-data entry, a mistakenly created project) carries a status/soft-delete marker instead. This keeps each application’s own Audit &amp; Compliance Log (Section 9.6.5) complete and means uniqueness constraints — reference numbers, project codes, and similar — are defined only over active records, so a soft-deleted duplicate can never block a legitimate new record from reusing that value.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Four schemas, one instance — corrected in internal design review</w:t>
            </w:r>
          </w:p>
          <w:p>
            <w:pPr>
              <w:spacing w:after="60" w:line="260"/>
            </w:pPr>
            <w:r>
              <w:rPr>
                <w:rFonts w:ascii="Inter" w:cs="Inter" w:eastAsia="Inter" w:hAnsi="Inter"/>
                <w:color w:val="111827"/>
                <w:sz w:val="19"/>
                <w:szCs w:val="19"/>
              </w:rPr>
              <w:t xml:space="preserve">Each application’s tables live in their own schema and do not reference or exchange data with another application’s schema directly — corrected from an earlier single-shared-schema design, to match the confirmed architecture that RBAC, escalation, notifications and the audit log are independently built and owned per application (Section 9.6). Only the shared schema above — Project/BU Master, the identity/access-mapping table, Integration Cockpit configuration, and each application’s published summary view — is common ground. The Executive Page (Section 9.5) is possible without a separate integration step because it reads those published summary views, not because the three applications’ own tables sit in one schema.</w:t>
            </w:r>
          </w:p>
          <w:p>
            <w:pPr>
              <w:spacing w:after="60" w:line="260"/>
            </w:pPr>
            <w:r>
              <w:rPr>
                <w:rFonts w:ascii="Inter" w:cs="Inter" w:eastAsia="Inter" w:hAnsi="Inter"/>
                <w:color w:val="111827"/>
                <w:sz w:val="19"/>
                <w:szCs w:val="19"/>
              </w:rPr>
              <w:t xml:space="preserve">Combined with the platform username/project sync pattern (Section 9.2.1), this same four-schema pattern is what lets the data model absorb the team’s planned 7–8 application QMS cluster as additional schemas built from the same shared internal library (Section 14), not as one shared schema growing without bound.</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16. Non-Functional Requirements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7160"/>
      </w:tblGrid>
      <w:tr>
        <w:trPr>
          <w:cantSplit/>
          <w:tblHeader/>
        </w:trPr>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Category</w:t>
            </w:r>
          </w:p>
        </w:tc>
        <w:tc>
          <w:tcPr>
            <w:tcW w:type="dxa" w:w="71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Requirement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Performance</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P95 page load under 2 seconds on standard broadband; P95 API response under 400ms for read operations.</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Availability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99.5% uptime target at go-live, moving to 99.9% once on dedicated cloud infrastructure.</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Scalability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Stateless, horizontally-scalable application tier (Section 14.2); sized for hundreds of concurrent users at go-live, thousands without architectural change.</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Security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TLS 1.2+, AES-256 at rest, RBAC + row-level security, OWASP ASVS Level 2 baseline, encrypted secrets vault.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Compliance</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Built to support ISO 9001:2015 audit-trail requirements and Saudi Personal Data Protection Law (PDPL); data residency configurable by hosting region.</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Accessibility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WCAG 2.1 AA target for the web application.</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Browser support</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Latest two versions of Chrome, Edge, Safari and Firefox.</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Device support</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Installable Progressive Web App across desktop, tablet and mobile browsers (Chrome/Safari, current + prior major version), with IndexedDB-cached reference data for offline viewing. Deeper native/offline transaction capability is Algihaz’s own future mobile retrofit (Section 14.4), not part of this build.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Localisation</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English UI at go-live. Full Arabic bilingual support with right-to-left layout mirroring is a proposed enhancement — not requested in any source BRD — pending Algihaz’s confirmation as a Change Request (Section 20) before it is built.</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Observability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Centralised application logging, error tracking, and uptime monitoring with alerting to the Org Admin.</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Data integrity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Every calculated field (closure rate, PQI, variance and every other ratio-based KPI) is system-derived and read-only — never directly editable — with an explicit, defined rule for its zero-denominator case (Section 10.1), eliminating both the “broken formula” risk and the “silent wrong default” risk.</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Deletion &amp; referential integrity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Soft-delete only, with uniqueness enforced over active records (Sections 14.3, 15) — a deleted record never blocks reuse of its own reference number and never disappears from the audit trail.</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Escalation reliability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Event-driven triggers plus an independent 15–30 minute reconciliation sweep (Section 13.3), so an SLA breach is never missed because of an environment restart or idle period.</w:t>
            </w:r>
          </w:p>
        </w:tc>
      </w:tr>
      <w:tr>
        <w:trPr>
          <w:cantSplit/>
        </w:trPr>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Backup &amp; recovery</w:t>
            </w:r>
          </w:p>
        </w:tc>
        <w:tc>
          <w:tcPr>
            <w:tcW w:type="dxa" w:w="71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Automated daily database backups with point-in-time recovery; documented RTO/RPO targets agreed with Algihaz IT before go-live.</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17. Standard Enterprise Feature Checklist</w:t>
      </w:r>
    </w:p>
    <w:p>
      <w:pPr>
        <w:spacing w:after="160" w:before="0" w:line="276"/>
        <w:jc w:val="left"/>
      </w:pPr>
      <w:r>
        <w:rPr>
          <w:rFonts w:ascii="Inter" w:cs="Inter" w:eastAsia="Inter" w:hAnsi="Inter"/>
          <w:b w:val="false"/>
          <w:bCs w:val="false"/>
          <w:i w:val="false"/>
          <w:iCs w:val="false"/>
          <w:color w:val="111827"/>
          <w:sz w:val="21"/>
          <w:szCs w:val="21"/>
        </w:rPr>
        <w:t xml:space="preserve">Features expected of an enterprise-grade platform, layered on top of the three BRDs, organised by why they matter.</w:t>
      </w:r>
    </w:p>
    <w:p>
      <w:pPr>
        <w:pStyle w:val="Heading2"/>
        <w:spacing w:after="160" w:before="340"/>
      </w:pPr>
      <w:r>
        <w:rPr>
          <w:rFonts w:ascii="Inter" w:cs="Inter" w:eastAsia="Inter" w:hAnsi="Inter"/>
          <w:b/>
          <w:bCs/>
          <w:color w:val="D4196A"/>
          <w:sz w:val="25"/>
          <w:szCs w:val="25"/>
        </w:rPr>
        <w:t xml:space="preserve">17.1 Productivity &amp; Usability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Global cross-workspace search (projects, audits, NCRs, lessons learned, users).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In-app guided tour / contextual tooltips for first-time users of each workspace.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Configurable dashboards with drill-down from summary KPI to project-level detail.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Bulk Excel template download/upload as an alternative to manual form-filling (per the QAQC BRD) — extended as a pattern available to any high-volume data-entry screen.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AI-native prompt-to-transaction entry as an alternative to screen-based data entry, with the standard screens always available as a fallback (Section 9.6.3).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Dark / light theme.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Help Center with searchable documentation and support contact.</w:t>
      </w:r>
    </w:p>
    <w:p>
      <w:pPr>
        <w:pStyle w:val="Heading2"/>
        <w:spacing w:after="160" w:before="340"/>
      </w:pPr>
      <w:r>
        <w:rPr>
          <w:rFonts w:ascii="Inter" w:cs="Inter" w:eastAsia="Inter" w:hAnsi="Inter"/>
          <w:b/>
          <w:bCs/>
          <w:color w:val="D4196A"/>
          <w:sz w:val="25"/>
          <w:szCs w:val="25"/>
        </w:rPr>
        <w:t xml:space="preserve">17.2 Governance &amp; Control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Configurable, no-code approval workflows (Draft → Submitted → Approved / Sent Back, everywhere in the platform).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Delegation of authority for leave coverage (Section 7.4).</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Admin “view as” / impersonation for support, always logged and visibly banner-flagged to the admin using it.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Full immutable audit trail on every record, kept independently by each application (Section 9.6.5).</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System-wide status/health page for administrators.</w:t>
      </w:r>
    </w:p>
    <w:p>
      <w:pPr>
        <w:pStyle w:val="Heading2"/>
        <w:spacing w:after="160" w:before="340"/>
      </w:pPr>
      <w:r>
        <w:rPr>
          <w:rFonts w:ascii="Inter" w:cs="Inter" w:eastAsia="Inter" w:hAnsi="Inter"/>
          <w:b/>
          <w:bCs/>
          <w:color w:val="D4196A"/>
          <w:sz w:val="25"/>
          <w:szCs w:val="25"/>
        </w:rPr>
        <w:t xml:space="preserve">17.3 Data &amp; Reporting</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Export to PDF and Excel from every report and dashboard.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Scheduled, digest-style report distribution by email (not per-transaction).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Versioned, locked report and dashboard templates post-approval, so a template cannot silently drift after sign-off.</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API access and outbound webhooks for approved third-party consumption (e.g., a BI tool) via the Integration Cockpit.</w:t>
      </w:r>
    </w:p>
    <w:p>
      <w:pPr>
        <w:pStyle w:val="Heading2"/>
        <w:spacing w:after="160" w:before="340"/>
      </w:pPr>
      <w:r>
        <w:rPr>
          <w:rFonts w:ascii="Inter" w:cs="Inter" w:eastAsia="Inter" w:hAnsi="Inter"/>
          <w:b/>
          <w:bCs/>
          <w:color w:val="D4196A"/>
          <w:sz w:val="25"/>
          <w:szCs w:val="25"/>
        </w:rPr>
        <w:t xml:space="preserve">17.4 Mobile &amp; Field Operations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Installable Progressive Web App, usable from any mobile browser, with camera and GPS access for evidence capture (Lesson Learned, Audit evidence) through standard browser APIs, and IndexedDB-cached reference data for offline viewing.</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Deeper native/offline transaction capture and automatic background sync is Algihaz’s own future mobile retrofit of the same APIs (Section 14.4, Section 22.1) — out of current build scope.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Push notifications for approvals, escalations and reminders, once that future mobile retrofit exists to receive them; in-app and email notifications are fully built and live today, independently per application (Section 9.6.4).</w:t>
      </w:r>
    </w:p>
    <w:p>
      <w:pPr>
        <w:pStyle w:val="Heading2"/>
        <w:spacing w:after="160" w:before="340"/>
      </w:pPr>
      <w:r>
        <w:rPr>
          <w:rFonts w:ascii="Inter" w:cs="Inter" w:eastAsia="Inter" w:hAnsi="Inter"/>
          <w:b/>
          <w:bCs/>
          <w:color w:val="D4196A"/>
          <w:sz w:val="25"/>
          <w:szCs w:val="25"/>
        </w:rPr>
        <w:t xml:space="preserve">17.5 Internationalisation &amp; Accessibility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English UI at go-live; full Arabic bilingual UI with right-to-left layout is a proposed enhancement pending Algihaz’s confirmation as a Change Request (Section 20), not requested in any source BRD.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WCAG 2.1 AA accessibility target.</w:t>
      </w:r>
    </w:p>
    <w:p>
      <w:pPr>
        <w:pStyle w:val="Heading2"/>
        <w:spacing w:after="160" w:before="340"/>
      </w:pPr>
      <w:r>
        <w:rPr>
          <w:rFonts w:ascii="Inter" w:cs="Inter" w:eastAsia="Inter" w:hAnsi="Inter"/>
          <w:b/>
          <w:bCs/>
          <w:color w:val="D4196A"/>
          <w:sz w:val="25"/>
          <w:szCs w:val="25"/>
        </w:rPr>
        <w:t xml:space="preserve">17.6 Trust, Privacy &amp; Continuity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Saudi PDPL-aligned data handling and configurable data residency.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Automated backups with a documented recovery point/time objective.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Encrypted secrets and credential vault for every integration.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AI usage governance and audit logging, independently per application that has an AI feature (Section 9.6.3).</w:t>
      </w:r>
    </w:p>
    <w:p>
      <w:pPr>
        <w:pStyle w:val="Heading1"/>
        <w:pBdr>
          <w:bottom w:val="single" w:color="D4196A" w:sz="10" w:space="6"/>
        </w:pBdr>
        <w:spacing w:after="220" w:before="480"/>
      </w:pPr>
      <w:r>
        <w:rPr>
          <w:rFonts w:ascii="Inter" w:cs="Inter" w:eastAsia="Inter" w:hAnsi="Inter"/>
          <w:b/>
          <w:bCs/>
          <w:color w:val="111827"/>
          <w:sz w:val="32"/>
          <w:szCs w:val="32"/>
        </w:rPr>
        <w:t xml:space="preserve">18. RBAC Permission Matrix</w:t>
      </w:r>
    </w:p>
    <w:p>
      <w:pPr>
        <w:spacing w:after="160" w:before="0" w:line="276"/>
        <w:jc w:val="left"/>
      </w:pPr>
      <w:r>
        <w:rPr>
          <w:rFonts w:ascii="Inter" w:cs="Inter" w:eastAsia="Inter" w:hAnsi="Inter"/>
          <w:b w:val="false"/>
          <w:bCs w:val="false"/>
          <w:i w:val="false"/>
          <w:iCs w:val="false"/>
          <w:color w:val="111827"/>
          <w:sz w:val="21"/>
          <w:szCs w:val="21"/>
        </w:rPr>
        <w:t xml:space="preserve">A summary of what each system default role can do, expressed against seven capability primitives. A user’s actual permissions are the union of their Platform Role (Table 18.1) and each Workspace Role they hold (Table 18.2) — for example, an Employee with no workspace role can sign in to an application, but sees no functional screens until a workspace role is granted there.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6B7280" w:sz="4"/>
              <w:left w:val="single" w:color="6B7280" w:sz="24"/>
              <w:bottom w:val="single" w:color="6B7280" w:sz="4"/>
              <w:right w:val="single" w:color="6B7280" w:sz="4"/>
            </w:tcBorders>
            <w:shd w:fill="F6F7F8" w:color="auto" w:val="clear"/>
            <w:tcMar>
              <w:top w:type="dxa" w:w="160"/>
              <w:left w:type="dxa" w:w="200"/>
              <w:bottom w:type="dxa" w:w="160"/>
              <w:right w:type="dxa" w:w="200"/>
            </w:tcMar>
          </w:tcPr>
          <w:p>
            <w:pPr>
              <w:spacing w:after="80"/>
            </w:pPr>
            <w:r>
              <w:rPr>
                <w:rFonts w:ascii="Inter" w:cs="Inter" w:eastAsia="Inter" w:hAnsi="Inter"/>
                <w:b/>
                <w:bCs/>
                <w:color w:val="6B7280"/>
                <w:sz w:val="20"/>
                <w:szCs w:val="20"/>
              </w:rPr>
              <w:t xml:space="preserve">Legend</w:t>
            </w:r>
          </w:p>
          <w:p>
            <w:pPr>
              <w:spacing w:after="60" w:line="260"/>
            </w:pPr>
            <w:r>
              <w:rPr>
                <w:rFonts w:ascii="Inter" w:cs="Inter" w:eastAsia="Inter" w:hAnsi="Inter"/>
                <w:b/>
                <w:bCs/>
                <w:i w:val="false"/>
                <w:iCs w:val="false"/>
                <w:color w:val="111827"/>
                <w:sz w:val="21"/>
                <w:szCs w:val="21"/>
              </w:rPr>
              <w:t xml:space="preserve">Full</w:t>
            </w:r>
            <w:r>
              <w:rPr>
                <w:rFonts w:ascii="Inter" w:cs="Inter" w:eastAsia="Inter" w:hAnsi="Inter"/>
                <w:b w:val="false"/>
                <w:bCs w:val="false"/>
                <w:i w:val="false"/>
                <w:iCs w:val="false"/>
                <w:color w:val="6B7280"/>
                <w:sz w:val="21"/>
                <w:szCs w:val="21"/>
              </w:rPr>
              <w:t xml:space="preserve"> — unrestricted for this capability   ·   </w:t>
            </w:r>
            <w:r>
              <w:rPr>
                <w:rFonts w:ascii="Inter" w:cs="Inter" w:eastAsia="Inter" w:hAnsi="Inter"/>
                <w:b/>
                <w:bCs/>
                <w:i w:val="false"/>
                <w:iCs w:val="false"/>
                <w:color w:val="111827"/>
                <w:sz w:val="21"/>
                <w:szCs w:val="21"/>
              </w:rPr>
              <w:t xml:space="preserve">Own</w:t>
            </w:r>
            <w:r>
              <w:rPr>
                <w:rFonts w:ascii="Inter" w:cs="Inter" w:eastAsia="Inter" w:hAnsi="Inter"/>
                <w:b w:val="false"/>
                <w:bCs w:val="false"/>
                <w:i w:val="false"/>
                <w:iCs w:val="false"/>
                <w:color w:val="6B7280"/>
                <w:sz w:val="21"/>
                <w:szCs w:val="21"/>
              </w:rPr>
              <w:t xml:space="preserve"> — limited to the user’s assigned Business Unit / Project / records   ·   </w:t>
            </w:r>
            <w:r>
              <w:rPr>
                <w:rFonts w:ascii="Inter" w:cs="Inter" w:eastAsia="Inter" w:hAnsi="Inter"/>
                <w:b/>
                <w:bCs/>
                <w:i w:val="false"/>
                <w:iCs w:val="false"/>
                <w:color w:val="111827"/>
                <w:sz w:val="21"/>
                <w:szCs w:val="21"/>
              </w:rPr>
              <w:t xml:space="preserve">Select</w:t>
            </w:r>
            <w:r>
              <w:rPr>
                <w:rFonts w:ascii="Inter" w:cs="Inter" w:eastAsia="Inter" w:hAnsi="Inter"/>
                <w:b w:val="false"/>
                <w:bCs w:val="false"/>
                <w:i w:val="false"/>
                <w:iCs w:val="false"/>
                <w:color w:val="6B7280"/>
                <w:sz w:val="21"/>
                <w:szCs w:val="21"/>
              </w:rPr>
              <w:t xml:space="preserve"> — limited to specific approval types routed to this role   ·   </w:t>
            </w:r>
            <w:r>
              <w:rPr>
                <w:rFonts w:ascii="Inter" w:cs="Inter" w:eastAsia="Inter" w:hAnsi="Inter"/>
                <w:b/>
                <w:bCs/>
                <w:i w:val="false"/>
                <w:iCs w:val="false"/>
                <w:color w:val="111827"/>
                <w:sz w:val="21"/>
                <w:szCs w:val="21"/>
              </w:rPr>
              <w:t xml:space="preserve">—</w:t>
            </w:r>
            <w:r>
              <w:rPr>
                <w:rFonts w:ascii="Inter" w:cs="Inter" w:eastAsia="Inter" w:hAnsi="Inter"/>
                <w:b w:val="false"/>
                <w:bCs w:val="false"/>
                <w:i w:val="false"/>
                <w:iCs w:val="false"/>
                <w:color w:val="6B7280"/>
                <w:sz w:val="21"/>
                <w:szCs w:val="21"/>
              </w:rPr>
              <w:t xml:space="preserve"> — not available to this role</w:t>
            </w:r>
          </w:p>
        </w:tc>
      </w:tr>
    </w:tbl>
    <w:p>
      <w:pPr>
        <w:pStyle w:val="Heading2"/>
        <w:spacing w:after="160" w:before="340"/>
      </w:pPr>
      <w:r>
        <w:rPr>
          <w:rFonts w:ascii="Inter" w:cs="Inter" w:eastAsia="Inter" w:hAnsi="Inter"/>
          <w:b/>
          <w:bCs/>
          <w:color w:val="D4196A"/>
          <w:sz w:val="25"/>
          <w:szCs w:val="25"/>
        </w:rPr>
        <w:t xml:space="preserve">18.1 Platform (Global) Roles</w:t>
      </w:r>
    </w:p>
    <w:tbl>
      <w:tblPr>
        <w:tblW w:type="dxa" w:w="9361"/>
        <w:tblBorders>
          <w:top w:val="single" w:color="E5E7EB" w:sz="4"/>
          <w:left w:val="single" w:color="E5E7EB" w:sz="4"/>
          <w:bottom w:val="single" w:color="E5E7EB" w:sz="4"/>
          <w:right w:val="single" w:color="E5E7EB" w:sz="4"/>
          <w:insideH w:val="single" w:color="E5E7EB" w:sz="4"/>
          <w:insideV w:val="single" w:color="E5E7EB" w:sz="4"/>
        </w:tblBorders>
      </w:tblPr>
      <w:tblGrid>
        <w:gridCol w:w="1900"/>
        <w:gridCol w:w="1123"/>
        <w:gridCol w:w="1023"/>
        <w:gridCol w:w="1123"/>
        <w:gridCol w:w="1023"/>
        <w:gridCol w:w="1023"/>
        <w:gridCol w:w="1123"/>
        <w:gridCol w:w="1023"/>
      </w:tblGrid>
      <w:tr>
        <w:trPr>
          <w:cantSplit/>
          <w:tblHeader/>
        </w:trPr>
        <w:tc>
          <w:tcPr>
            <w:tcW w:type="dxa" w:w="19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Role</w:t>
            </w:r>
          </w:p>
        </w:tc>
        <w:tc>
          <w:tcPr>
            <w:tcW w:type="dxa" w:w="11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Create/ Edit</w:t>
            </w:r>
          </w:p>
        </w:tc>
        <w:tc>
          <w:tcPr>
            <w:tcW w:type="dxa" w:w="10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Submit</w:t>
            </w:r>
          </w:p>
        </w:tc>
        <w:tc>
          <w:tcPr>
            <w:tcW w:type="dxa" w:w="11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Approve/ Reject</w:t>
            </w:r>
          </w:p>
        </w:tc>
        <w:tc>
          <w:tcPr>
            <w:tcW w:type="dxa" w:w="10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View Own</w:t>
            </w:r>
          </w:p>
        </w:tc>
        <w:tc>
          <w:tcPr>
            <w:tcW w:type="dxa" w:w="10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View All</w:t>
            </w:r>
          </w:p>
        </w:tc>
        <w:tc>
          <w:tcPr>
            <w:tcW w:type="dxa" w:w="11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Configure</w:t>
            </w:r>
          </w:p>
        </w:tc>
        <w:tc>
          <w:tcPr>
            <w:tcW w:type="dxa" w:w="10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Delegate</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Super Admin</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Org Admin</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Masters</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Admin only*</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Executive Viewer</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Select</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Select</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BU / Project Head</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Own</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Own</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Own</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Quality Manager</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Select</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Select</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Employee (base)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r>
      <w:tr>
        <w:trPr>
          <w:cantSplit/>
        </w:trPr>
        <w:tc>
          <w:tcPr>
            <w:tcW w:type="dxa" w:w="19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External / Guest Auditor</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Select†</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1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r>
    </w:tbl>
    <w:p>
      <w:pPr>
        <w:spacing w:after="220" w:before="0" w:line="276"/>
        <w:jc w:val="left"/>
      </w:pPr>
      <w:r>
        <w:rPr>
          <w:rFonts w:ascii="Inter" w:cs="Inter" w:eastAsia="Inter" w:hAnsi="Inter"/>
          <w:b w:val="false"/>
          <w:bCs w:val="false"/>
          <w:i/>
          <w:iCs/>
          <w:color w:val="9CA3AF"/>
          <w:sz w:val="16"/>
          <w:szCs w:val="16"/>
        </w:rPr>
        <w:t xml:space="preserve">* Org Admin can view, revoke and reassign anyone’s delegation, but has no operational approvals of its own to delegate unless also holding a workspace role.   † time-boxed to one audit engagement.</w:t>
      </w:r>
    </w:p>
    <w:p>
      <w:pPr>
        <w:pStyle w:val="Heading2"/>
        <w:spacing w:after="160" w:before="340"/>
      </w:pPr>
      <w:r>
        <w:rPr>
          <w:rFonts w:ascii="Inter" w:cs="Inter" w:eastAsia="Inter" w:hAnsi="Inter"/>
          <w:b/>
          <w:bCs/>
          <w:color w:val="D4196A"/>
          <w:sz w:val="25"/>
          <w:szCs w:val="25"/>
        </w:rPr>
        <w:t xml:space="preserve">18.2 Workspace Roles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1023"/>
        <w:gridCol w:w="923"/>
        <w:gridCol w:w="1023"/>
        <w:gridCol w:w="923"/>
        <w:gridCol w:w="923"/>
        <w:gridCol w:w="923"/>
        <w:gridCol w:w="1022"/>
      </w:tblGrid>
      <w:tr>
        <w:trPr>
          <w:cantSplit/>
          <w:tblHeader/>
        </w:trPr>
        <w:tc>
          <w:tcPr>
            <w:tcW w:type="dxa" w:w="26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Role</w:t>
            </w:r>
          </w:p>
        </w:tc>
        <w:tc>
          <w:tcPr>
            <w:tcW w:type="dxa" w:w="10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Create/ Edit</w:t>
            </w:r>
          </w:p>
        </w:tc>
        <w:tc>
          <w:tcPr>
            <w:tcW w:type="dxa" w:w="9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Submit</w:t>
            </w:r>
          </w:p>
        </w:tc>
        <w:tc>
          <w:tcPr>
            <w:tcW w:type="dxa" w:w="10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Approve/ Reject</w:t>
            </w:r>
          </w:p>
        </w:tc>
        <w:tc>
          <w:tcPr>
            <w:tcW w:type="dxa" w:w="9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View Own</w:t>
            </w:r>
          </w:p>
        </w:tc>
        <w:tc>
          <w:tcPr>
            <w:tcW w:type="dxa" w:w="9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View All</w:t>
            </w:r>
          </w:p>
        </w:tc>
        <w:tc>
          <w:tcPr>
            <w:tcW w:type="dxa" w:w="923"/>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Configure</w:t>
            </w:r>
          </w:p>
        </w:tc>
        <w:tc>
          <w:tcPr>
            <w:tcW w:type="dxa" w:w="1022"/>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Delegate</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QAQC Representative (WS1)</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Document Controller (WS1)</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Approver / Reviewer (WS1)</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Form Creator (WS2)</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Form Approver (WS2)</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Program Manager (WS3)</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Masters</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Audit Team Lead / Auditor (WS3)</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CAR</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r>
        <w:trPr>
          <w:cantSplit/>
        </w:trPr>
        <w:tc>
          <w:tcPr>
            <w:tcW w:type="dxa" w:w="26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Process / Product Owner (WS3)</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CAR only</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10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Full</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923"/>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w:t>
            </w:r>
          </w:p>
        </w:tc>
        <w:tc>
          <w:tcPr>
            <w:tcW w:type="dxa" w:w="1022"/>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Yes</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19. Reports &amp; Dashboards Master List</w:t>
      </w:r>
    </w:p>
    <w:p>
      <w:pPr>
        <w:pStyle w:val="Heading2"/>
        <w:spacing w:after="160" w:before="340"/>
      </w:pPr>
      <w:r>
        <w:rPr>
          <w:rFonts w:ascii="Inter" w:cs="Inter" w:eastAsia="Inter" w:hAnsi="Inter"/>
          <w:b/>
          <w:bCs/>
          <w:color w:val="D4196A"/>
          <w:sz w:val="25"/>
          <w:szCs w:val="25"/>
        </w:rPr>
        <w:t xml:space="preserve">19.1 Workspace 1 — QA/QC &amp; Document Governance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Monthly Project Quality Report (per project, per month) — dashboard + PDF email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Fortnightly Document Governance Report — dashboard + PDF email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Daily Document Governance Log</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Customer Satisfaction Summary &amp; Trend Report (per project and consolidated)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All-Project Quality Summary Dashboard (Main Dashboard)</w:t>
      </w:r>
    </w:p>
    <w:p>
      <w:pPr>
        <w:pStyle w:val="Heading2"/>
        <w:spacing w:after="160" w:before="340"/>
      </w:pPr>
      <w:r>
        <w:rPr>
          <w:rFonts w:ascii="Inter" w:cs="Inter" w:eastAsia="Inter" w:hAnsi="Inter"/>
          <w:b/>
          <w:bCs/>
          <w:color w:val="D4196A"/>
          <w:sz w:val="25"/>
          <w:szCs w:val="25"/>
        </w:rPr>
        <w:t xml:space="preserve">19.2 Workspace 2 — Lesson Learned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Lesson Learned Log (searchable knowledge base)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Lesson Learned Form Report (PDF export per form)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Escalation Summary</w:t>
      </w:r>
    </w:p>
    <w:p>
      <w:pPr>
        <w:pStyle w:val="Heading2"/>
        <w:spacing w:after="160" w:before="340"/>
      </w:pPr>
      <w:r>
        <w:rPr>
          <w:rFonts w:ascii="Inter" w:cs="Inter" w:eastAsia="Inter" w:hAnsi="Inter"/>
          <w:b/>
          <w:bCs/>
          <w:color w:val="D4196A"/>
          <w:sz w:val="25"/>
          <w:szCs w:val="25"/>
        </w:rPr>
        <w:t xml:space="preserve">19.3 Workspace 3 — QMS Audit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Open vs Closed Audits Summary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Open vs Closed NCs &amp; Observations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Escalation Summary</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NC Recurrence &amp; Trend Analysis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Audit Ageing Report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CAR Status &amp; Closure Report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Real-Time Audit Schedule Update</w:t>
      </w:r>
    </w:p>
    <w:p>
      <w:pPr>
        <w:pStyle w:val="Heading2"/>
        <w:spacing w:after="160" w:before="340"/>
      </w:pPr>
      <w:r>
        <w:rPr>
          <w:rFonts w:ascii="Inter" w:cs="Inter" w:eastAsia="Inter" w:hAnsi="Inter"/>
          <w:b/>
          <w:bCs/>
          <w:color w:val="D4196A"/>
          <w:sz w:val="25"/>
          <w:szCs w:val="25"/>
        </w:rPr>
        <w:t xml:space="preserve">19.4 Executive Page — Common Landing Page (New)</w:t>
      </w:r>
    </w:p>
    <w:p>
      <w:pPr>
        <w:spacing w:after="160" w:before="0" w:line="276"/>
        <w:jc w:val="left"/>
      </w:pPr>
      <w:r>
        <w:rPr>
          <w:rFonts w:ascii="Inter" w:cs="Inter" w:eastAsia="Inter" w:hAnsi="Inter"/>
          <w:b w:val="false"/>
          <w:bCs w:val="false"/>
          <w:i w:val="false"/>
          <w:iCs w:val="false"/>
          <w:color w:val="111827"/>
          <w:sz w:val="21"/>
          <w:szCs w:val="21"/>
        </w:rPr>
        <w:t xml:space="preserve">Reachable from the common QMS360 landing page (Section 3.3, Section 9.5), fed by each application publishing its own summary data — not a separate admin module and not a query across the three applications’ own schemas (Section 15).</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Executive 360 Dashboard — one combined view of quality, lessons learned and audit KPIs for leadership</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Admin Usage &amp; Adoption Report — active users, approvals turnaround time, escalation frequency, per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AI Usage &amp; Governance Report — AI suggestions issued, accepted, edited, rejected, by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Integration Health Report — connector uptime and sync success rate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Oracle ADW-fed BI reporting — once the Oracle ADW sync (Section 9.2.2) is live, Algihaz’s own enterprise BI tools can build cross-application analysis directly on the warehouse, independent of the dashboards above</w:t>
      </w:r>
    </w:p>
    <w:p>
      <w:pPr>
        <w:pStyle w:val="Heading1"/>
        <w:pBdr>
          <w:bottom w:val="single" w:color="D4196A" w:sz="10" w:space="6"/>
        </w:pBdr>
        <w:spacing w:after="220" w:before="480"/>
      </w:pPr>
      <w:r>
        <w:rPr>
          <w:rFonts w:ascii="Inter" w:cs="Inter" w:eastAsia="Inter" w:hAnsi="Inter"/>
          <w:b/>
          <w:bCs/>
          <w:color w:val="111827"/>
          <w:sz w:val="32"/>
          <w:szCs w:val="32"/>
        </w:rPr>
        <w:t xml:space="preserve">20. Assumptions &amp; Dependencies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Usernames and Projects already exist (or will be onboarded once) in the existing Algihaz Platform’s Container and are synced into QMS360 in real time via the Integration Cockpit (Section 9.2.1) — QMS360 itself does not require a separate master-data load for these, superseding the “list of users to be provided” assumption as originally stated in the three source BRDs. QMS360 does not plan or depend on any ERP integration.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Dashboard and report visual layouts are finalised in collaboration with Algihaz’s Digital Team and, once approved, are versioned and locked — matching the “Report PDF template as approved by Digital Team” requirement.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reference number format for the Lesson Learned form is confirmed by the Document Control team before that application’s reference-numbering logic is finalised.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Algihaz’s Digital Team and Quality/Audit stakeholders remain available for requirement clarification, review and timely approval throughout delivery — consistent with all three BRDs.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External Enablement Dependencies in Section 4.3 (app-store developer accounts) are supplied by Algihaz at a time of its choosing — every feature they activate is fully built and waiting, not pending further development. Sign-in and identity are not part of this list — they are inherited, already live, from Algihaz’s existing application platform (Section 3.2).</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Deployment access to Algihaz’s existing application platform (Section 21.5) is granted with enough lead time before the planned go-live date for VerionAI to complete production deployment and cutover.</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 confirms the Finding → Corrective Action Report cardinality decision in Section 12.1 before that part of the QMS Audit application is finalised.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 confirms whether its own container-to-ADW pipeline already covers QMS360’s Oracle ADW requirement (Section 9.2.2) before a dedicated connector is built for it.</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 explicitly acknowledges the mobile scope boundary raised in Section 22.1: the installable, offline-capable mobile app referenced in the Lesson Learned and QMS Audit BRDs is Algihaz’s own future retrofit, not part of VerionAI’s current web application build.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 confirms the recommended default thresholds proposed for the two new Change Requests in Section 22 — the evidence compression/size/duration limits (Section 14.7) and the report export data-volume threshold (Section 9.5.1) — or supplies its own numbers in their place.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 IT/Platform Team defines and provides the identity/access-mapping table (Section 3.3, Section 21.5) — which username may open which of the three applications, and who each application’s initial Admin is — before each application’s own login-arrival access check is finalised.</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 confirms whether the Arabic/English Bilingual UI (Section 4.2, Section 16, Section 17.5) is committed scope or requires a separate commercial agreement — it was not requested in any of the three source BRDs.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If Algihaz later requires a live ERP/Unifier/PMIS integration, Algihaz and VerionAI agree this is raised and agreed as a new Change Request before any build work begins on it — it is not part of this design (Section 4.3).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Algihaz’s internal technical review (Section 23) has confirmed that RBAC, Escalation Configuration, AI Settings &amp; Controls, the Notification Center and the Audit &amp; Compliance Log are built independently three times, once per application, rather than once as a shared admin core — Algihaz acknowledges the resulting build-effort impact before development begins.</w:t>
      </w:r>
    </w:p>
    <w:p>
      <w:pPr>
        <w:pStyle w:val="Heading1"/>
        <w:pBdr>
          <w:bottom w:val="single" w:color="D4196A" w:sz="10" w:space="6"/>
        </w:pBdr>
        <w:spacing w:after="220" w:before="480"/>
      </w:pPr>
      <w:r>
        <w:rPr>
          <w:rFonts w:ascii="Inter" w:cs="Inter" w:eastAsia="Inter" w:hAnsi="Inter"/>
          <w:b/>
          <w:bCs/>
          <w:color w:val="111827"/>
          <w:sz w:val="32"/>
          <w:szCs w:val="32"/>
        </w:rPr>
        <w:t xml:space="preserve">21. Delivery Plan</w:t>
      </w:r>
    </w:p>
    <w:p>
      <w:pPr>
        <w:spacing w:after="160" w:before="0" w:line="276"/>
        <w:jc w:val="left"/>
      </w:pPr>
      <w:r>
        <w:rPr>
          <w:rFonts w:ascii="Inter" w:cs="Inter" w:eastAsia="Inter" w:hAnsi="Inter"/>
          <w:b w:val="false"/>
          <w:bCs w:val="false"/>
          <w:i w:val="false"/>
          <w:iCs w:val="false"/>
          <w:color w:val="111827"/>
          <w:sz w:val="21"/>
          <w:szCs w:val="21"/>
        </w:rPr>
        <w:t xml:space="preserve">QMS360 is delivered as one complete product, not a reduced first cut followed by a separate build. The workstreams below run in parallel rather than in sequence — there is no version of the platform where a workspace or an Admin Core module is deliberately left incomplete. The only sequencing that exists is technical (foundations before the features built on them) and the only external gating is the enablement dependencies in Section 4.3, which sit with Algihaz, not with the build itself.</w:t>
      </w:r>
    </w:p>
    <w:p>
      <w:pPr>
        <w:pStyle w:val="Heading2"/>
        <w:spacing w:after="160" w:before="340"/>
      </w:pPr>
      <w:r>
        <w:rPr>
          <w:rFonts w:ascii="Inter" w:cs="Inter" w:eastAsia="Inter" w:hAnsi="Inter"/>
          <w:b/>
          <w:bCs/>
          <w:color w:val="D4196A"/>
          <w:sz w:val="25"/>
          <w:szCs w:val="25"/>
        </w:rPr>
        <w:t xml:space="preserve">21.1 Foundation Workstream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Repository, environment (Dev/UAT/Production) and CI setup — three independent backend domain codebases plus one shared internal library (Section 14)</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Provisioning the external managed PostgreSQL instance with the four-schema layout (one per application, plus one shared schema) used throughout development (Section 14.6)</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Design-token system implementation (brand colours, type scale, spacing, radii)</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Complete database schema per application-schema, plus the shared schema — including the soft-delete, active-scoped-uniqueness and relational rules in Sections 14.3 and 15</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Platform session validation and the platform username/project sync connector (Section 9.2.1); the identity/access-mapping table (Section 21.5) consumed by every application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three applications’ home screens, the common QMS360 landing page (Section 3.3), and each application’s own Settings shell</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Automated seed script per application for a populated demo/UAT environment</w:t>
      </w:r>
    </w:p>
    <w:p>
      <w:pPr>
        <w:pStyle w:val="Heading2"/>
        <w:spacing w:after="160" w:before="340"/>
      </w:pPr>
      <w:r>
        <w:rPr>
          <w:rFonts w:ascii="Inter" w:cs="Inter" w:eastAsia="Inter" w:hAnsi="Inter"/>
          <w:b/>
          <w:bCs/>
          <w:color w:val="D4196A"/>
          <w:sz w:val="25"/>
          <w:szCs w:val="25"/>
        </w:rPr>
        <w:t xml:space="preserve">21.2 Workspace Workstreams (built together, including each application’s own administration)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Workspace 1 — full QAQC/QTBT/Material Inspection/CSAT/Document Governance data entry, auto-calculation with zero-denominator safeguards, approval workflow, AI Quality Brief drafting, dashboards, Excel template upload/export, plus its own RBAC, Escalation Configuration, AI Settings &amp; Controls, Notification Center and Audit &amp; Compliance Log (Section 10.5).</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Workspace 2 — full Lesson Learned lifecycle including AI rephrasing, photo evidence with client-side compression, submission/approval, and the conflict-handling logic in Section 14.4 that a future offline mobile retrofit would rely on, plus its own RBAC, Escalation Configuration, AI Settings &amp; Controls (including Prompt-to-Transaction), Notification Center and Audit &amp; Compliance Log (Section 11.6).</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Workspace 3 — full audit lifecycle from scheduling through closure, including the CAR workflow (per the cardinality decision in Section 12.1), plus its own RBAC, Escalation Configuration, Notification Center and Audit &amp; Compliance Log (Section 12.4 — this application has no AI feature and no AI Settings screen).</w:t>
      </w:r>
    </w:p>
    <w:p>
      <w:pPr>
        <w:pStyle w:val="Heading2"/>
        <w:spacing w:after="160" w:before="340"/>
      </w:pPr>
      <w:r>
        <w:rPr>
          <w:rFonts w:ascii="Inter" w:cs="Inter" w:eastAsia="Inter" w:hAnsi="Inter"/>
          <w:b/>
          <w:bCs/>
          <w:color w:val="D4196A"/>
          <w:sz w:val="25"/>
          <w:szCs w:val="25"/>
        </w:rPr>
        <w:t xml:space="preserve">21.3 Shared Platform Services Workstream</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Escalation &amp; SLA shared library (the reusable timer/reconciliation engine each application’s own Escalation Configuration builds on, Section 13.3) — the library is built once here; each application’s own configured rule set is built as part of its own workstream above.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Integration Cockpit and Data Sync Cockpit — the Platform User/Project sync connector (native, always on), the full external connector framework, field-mapping studio and job monitor, with each Algihaz-side connector activated as Algihaz provides its credentials (Section 4.3).</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Project &amp; Master Data Sync (Section 9.1) and Organisation Settings (Section 9.4).</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The common QMS360 landing page’s Executive Page and System Overview (Section 9.5), including the report/export delivery model (Section 9.5.1).</w:t>
      </w:r>
    </w:p>
    <w:p>
      <w:pPr>
        <w:pStyle w:val="Heading2"/>
        <w:spacing w:after="160" w:before="340"/>
      </w:pPr>
      <w:r>
        <w:rPr>
          <w:rFonts w:ascii="Inter" w:cs="Inter" w:eastAsia="Inter" w:hAnsi="Inter"/>
          <w:b/>
          <w:bCs/>
          <w:color w:val="D4196A"/>
          <w:sz w:val="25"/>
          <w:szCs w:val="25"/>
        </w:rPr>
        <w:t xml:space="preserve">21.4 Hardening, UAT &amp; Go-Live</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Security review against the controls in Section 14.3; accessibility pass against WCAG 2.1 AA.</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Full bilingual (English/Arabic, RTL) pass across every screen.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User Acceptance Testing against the seeded UAT environment, with Algihaz’s Quality, Audit and Digital teams.</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Deployment into Algihaz’s existing application platform (Section 14.1), once deployment access is granted (Section 21.5) — the production target from go-live, not a later migration.</w:t>
      </w:r>
    </w:p>
    <w:p>
      <w:pPr>
        <w:pStyle w:val="ListParagraph"/>
        <w:numPr>
          <w:ilvl w:val="0"/>
          <w:numId w:val="2"/>
        </w:numPr>
        <w:spacing w:after="90" w:line="268"/>
      </w:pPr>
      <w:r>
        <w:rPr>
          <w:rFonts w:ascii="Inter" w:cs="Inter" w:eastAsia="Inter" w:hAnsi="Inter"/>
          <w:b w:val="false"/>
          <w:bCs w:val="false"/>
          <w:i w:val="false"/>
          <w:iCs w:val="false"/>
          <w:color w:val="111827"/>
          <w:sz w:val="21"/>
          <w:szCs w:val="21"/>
        </w:rPr>
        <w:t xml:space="preserve">Go-live cutover and post go-live support, per the scope already committed in the three source BRDs.</w:t>
      </w:r>
    </w:p>
    <w:p>
      <w:pPr>
        <w:pStyle w:val="Heading2"/>
        <w:spacing w:after="160" w:before="340"/>
      </w:pPr>
      <w:r>
        <w:rPr>
          <w:rFonts w:ascii="Inter" w:cs="Inter" w:eastAsia="Inter" w:hAnsi="Inter"/>
          <w:b/>
          <w:bCs/>
          <w:color w:val="D4196A"/>
          <w:sz w:val="25"/>
          <w:szCs w:val="25"/>
        </w:rPr>
        <w:t xml:space="preserve">21.5 Client-Provided Prerequisites</w:t>
      </w:r>
    </w:p>
    <w:p>
      <w:pPr>
        <w:spacing w:after="160" w:before="0" w:line="276"/>
        <w:jc w:val="left"/>
      </w:pPr>
      <w:r>
        <w:rPr>
          <w:rFonts w:ascii="Inter" w:cs="Inter" w:eastAsia="Inter" w:hAnsi="Inter"/>
          <w:b w:val="false"/>
          <w:bCs w:val="false"/>
          <w:i w:val="false"/>
          <w:iCs w:val="false"/>
          <w:color w:val="111827"/>
          <w:sz w:val="21"/>
          <w:szCs w:val="21"/>
        </w:rPr>
        <w:t xml:space="preserve">Sign-in, identity and organisation email allow-listing are not on this list — they are owned by the existing Algihaz Platform and are already live. The items below are the only ones outside VerionAI’s QMS360 build scope — each unlocks a fully-built capability the moment it is provided (cross-referenced to Section 4.3):</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960"/>
        <w:gridCol w:w="4200"/>
        <w:gridCol w:w="2200"/>
      </w:tblGrid>
      <w:tr>
        <w:trPr>
          <w:cantSplit/>
          <w:tblHeader/>
        </w:trPr>
        <w:tc>
          <w:tcPr>
            <w:tcW w:type="dxa" w:w="29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Prerequisite</w:t>
            </w:r>
          </w:p>
        </w:tc>
        <w:tc>
          <w:tcPr>
            <w:tcW w:type="dxa" w:w="4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Unlocks</w:t>
            </w:r>
          </w:p>
        </w:tc>
        <w:tc>
          <w:tcPr>
            <w:tcW w:type="dxa" w:w="22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Owner</w:t>
            </w:r>
          </w:p>
        </w:tc>
      </w:tr>
      <w:tr>
        <w:trPr>
          <w:cantSplit/>
        </w:trPr>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Deployment access to Algihaz’s existing application platform (environment access, container/deployment credentials, and permission to run the schema-creation script for the four QMS360 schemas in the existing PostgreSQL instance, Section 14.6)</w:t>
            </w:r>
          </w:p>
        </w:tc>
        <w:tc>
          <w:tcPr>
            <w:tcW w:type="dxa" w:w="4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Production deployment and go-live; without it, QMS360 runs only in VerionAI’s Replit Dev/UAT environment</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IT / Platform Team</w:t>
            </w:r>
          </w:p>
        </w:tc>
      </w:tr>
      <w:tr>
        <w:trPr>
          <w:cantSplit/>
        </w:trPr>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Definition of the identity/access-mapping table — which username may open which of the three QMS360 applications, and who each application’s initial Admin is (Section 3.3, Section 5.4)</w:t>
            </w:r>
          </w:p>
        </w:tc>
        <w:tc>
          <w:tcPr>
            <w:tcW w:type="dxa" w:w="4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Each application’s own login-arrival access check (Section 7.1); without it, applications cannot determine whom to admit before their own RBAC applies</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IT / Platform Team</w:t>
            </w:r>
          </w:p>
        </w:tc>
      </w:tr>
      <w:tr>
        <w:trPr>
          <w:cantSplit/>
        </w:trPr>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SMTP / Microsoft Graph mailbox credential</w:t>
            </w:r>
          </w:p>
        </w:tc>
        <w:tc>
          <w:tcPr>
            <w:tcW w:type="dxa" w:w="4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Outbound email delivery for approvals, escalations and report distribution</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IT</w:t>
            </w:r>
          </w:p>
        </w:tc>
      </w:tr>
      <w:tr>
        <w:trPr>
          <w:cantSplit/>
        </w:trPr>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LLM provider API key (e.g., Anthropic)</w:t>
            </w:r>
          </w:p>
        </w:tc>
        <w:tc>
          <w:tcPr>
            <w:tcW w:type="dxa" w:w="4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Live AI Quality Brief drafting, Lesson Learned rephrasing, and prompt-to-transaction execution (Section 9.6.3)</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or VerionAI, as agreed</w:t>
            </w:r>
          </w:p>
        </w:tc>
      </w:tr>
      <w:tr>
        <w:trPr>
          <w:cantSplit/>
        </w:trPr>
        <w:tc>
          <w:tcPr>
            <w:tcW w:type="dxa" w:w="29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Confirmation of whether Algihaz’s own container-to-ADW pipeline already covers QMS360’s data; if not, Oracle ADW connection details (wallet/credentials) and confirmed sync cadence (Section 9.2.2)</w:t>
            </w:r>
          </w:p>
        </w:tc>
        <w:tc>
          <w:tcPr>
            <w:tcW w:type="dxa" w:w="4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Live population of Algihaz’s Oracle Autonomous Data Warehouse with Quality apps data</w:t>
            </w:r>
          </w:p>
        </w:tc>
        <w:tc>
          <w:tcPr>
            <w:tcW w:type="dxa" w:w="22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IT / Data Team</w:t>
            </w:r>
          </w:p>
        </w:tc>
      </w:tr>
    </w:tbl>
    <w:p>
      <w:pPr>
        <w:spacing w:after="160" w:before="0" w:line="276"/>
        <w:jc w:val="left"/>
      </w:pPr>
      <w:r>
        <w:rPr>
          <w:rFonts w:ascii="Inter" w:cs="Inter" w:eastAsia="Inter" w:hAnsi="Inter"/>
          <w:b w:val="false"/>
          <w:bCs w:val="false"/>
          <w:i w:val="false"/>
          <w:iCs w:val="false"/>
          <w:color w:val="111827"/>
          <w:sz w:val="21"/>
          <w:szCs w:val="21"/>
        </w:rPr>
        <w:t xml:space="preserve">The deeper native/fully offline mobile experience (Section 14.4, Section 22.1) is not on this list because it is not something VerionAI’s build activates once a credential is supplied — the installable Progressive Web App with IndexedDB caching is already fully built by VerionAI; the deeper capability beyond it is a separate mobile build that sits outside this scope entirely, for Algihaz to pursue independently on top of the APIs this build provides.</w:t>
      </w:r>
    </w:p>
    <w:p>
      <w:pPr>
        <w:pStyle w:val="Heading1"/>
        <w:pBdr>
          <w:bottom w:val="single" w:color="D4196A" w:sz="10" w:space="6"/>
        </w:pBdr>
        <w:spacing w:after="220" w:before="480"/>
      </w:pPr>
      <w:r>
        <w:rPr>
          <w:rFonts w:ascii="Inter" w:cs="Inter" w:eastAsia="Inter" w:hAnsi="Inter"/>
          <w:b/>
          <w:bCs/>
          <w:color w:val="111827"/>
          <w:sz w:val="32"/>
          <w:szCs w:val="32"/>
        </w:rPr>
        <w:t xml:space="preserve">22. Client Queries — Round 2 Clarifications &amp; Change Requests</w:t>
      </w:r>
    </w:p>
    <w:p>
      <w:pPr>
        <w:spacing w:after="160" w:before="0" w:line="276"/>
        <w:jc w:val="left"/>
      </w:pPr>
      <w:r>
        <w:rPr>
          <w:rFonts w:ascii="Inter" w:cs="Inter" w:eastAsia="Inter" w:hAnsi="Inter"/>
          <w:b w:val="false"/>
          <w:bCs w:val="false"/>
          <w:i w:val="false"/>
          <w:iCs w:val="false"/>
          <w:color w:val="111827"/>
          <w:sz w:val="21"/>
          <w:szCs w:val="21"/>
        </w:rPr>
        <w:t xml:space="preserve">Algihaz reviewed v4.0 and raised three further questions before final sign-off. This section validates each against the three original BRDs, gives VerionAI’s design answer, and — where a question asks for something none of the three BRDs specified — flags it explicitly as a Change Request rather than folding it in silently.</w:t>
      </w:r>
    </w:p>
    <w:p>
      <w:pPr>
        <w:pStyle w:val="Heading2"/>
        <w:spacing w:after="160" w:before="340"/>
      </w:pPr>
      <w:r>
        <w:rPr>
          <w:rFonts w:ascii="Inter" w:cs="Inter" w:eastAsia="Inter" w:hAnsi="Inter"/>
          <w:b/>
          <w:bCs/>
          <w:color w:val="D4196A"/>
          <w:sz w:val="25"/>
          <w:szCs w:val="25"/>
        </w:rPr>
        <w:t xml:space="preserve">22.1 Offline Functionality — Data Synchronisation &amp; Data Available Offline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Algihaz’s question</w:t>
            </w:r>
          </w:p>
          <w:p>
            <w:pPr>
              <w:spacing w:after="60" w:line="260"/>
            </w:pPr>
            <w:r>
              <w:rPr>
                <w:rFonts w:ascii="Inter" w:cs="Inter" w:eastAsia="Inter" w:hAnsi="Inter"/>
                <w:color w:val="111827"/>
                <w:sz w:val="19"/>
                <w:szCs w:val="19"/>
              </w:rPr>
              <w:t xml:space="preserve">How will the offline functionality work in terms of data synchronisation and the data available to end users in offline mode? E.g. how much information can a user access in offline mode?</w:t>
            </w:r>
          </w:p>
        </w:tc>
      </w:tr>
    </w:tbl>
    <w:p>
      <w:pPr>
        <w:spacing w:after="160" w:before="0" w:line="276"/>
        <w:jc w:val="left"/>
      </w:pPr>
      <w:r>
        <w:rPr>
          <w:rFonts w:ascii="Inter" w:cs="Inter" w:eastAsia="Inter" w:hAnsi="Inter"/>
          <w:b w:val="false"/>
          <w:bCs w:val="false"/>
          <w:i w:val="false"/>
          <w:iCs w:val="false"/>
          <w:color w:val="111827"/>
          <w:sz w:val="21"/>
          <w:szCs w:val="21"/>
        </w:rPr>
        <w:t xml:space="preserve">BRD validation: offline capture itself was asked for — Lesson Learned FR-18 requires the mobile application to cache form entries locally and sync once connectivity returns, and the QMS Audit BRD lists “Offline Data Capture” as a Mobile-platform capability. Neither BRD specifies how much reference data (project lists, dropdown masters) is available while offline, or the sync granularity Algihaz is now asking about — those specifics are genuinely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4196A" w:sz="4"/>
              <w:left w:val="single" w:color="D4196A" w:sz="24"/>
              <w:bottom w:val="single" w:color="D4196A" w:sz="4"/>
              <w:right w:val="single" w:color="D4196A" w:sz="4"/>
            </w:tcBorders>
            <w:shd w:fill="F6F7F8" w:color="auto" w:val="clear"/>
            <w:tcMar>
              <w:top w:type="dxa" w:w="160"/>
              <w:left w:type="dxa" w:w="200"/>
              <w:bottom w:type="dxa" w:w="160"/>
              <w:right w:type="dxa" w:w="200"/>
            </w:tcMar>
          </w:tcPr>
          <w:p>
            <w:pPr>
              <w:spacing w:after="80"/>
            </w:pPr>
            <w:r>
              <w:rPr>
                <w:rFonts w:ascii="Inter" w:cs="Inter" w:eastAsia="Inter" w:hAnsi="Inter"/>
                <w:b/>
                <w:bCs/>
                <w:color w:val="D4196A"/>
                <w:sz w:val="20"/>
                <w:szCs w:val="20"/>
              </w:rPr>
              <w:t xml:space="preserve">Scope clarification requested from Algihaz</w:t>
            </w:r>
          </w:p>
          <w:p>
            <w:pPr>
              <w:spacing w:after="60" w:line="260"/>
            </w:pPr>
            <w:r>
              <w:rPr>
                <w:rFonts w:ascii="Inter" w:cs="Inter" w:eastAsia="Inter" w:hAnsi="Inter"/>
                <w:color w:val="111827"/>
                <w:sz w:val="19"/>
                <w:szCs w:val="19"/>
              </w:rPr>
              <w:t xml:space="preserve">VerionAI’s current build is the responsive web application described throughout this document — every screen works from a mobile browser, but only while online. The no-signal offline capability FR-18 and the Audit BRD ask for requires a separate installable native/PWA mobile app with its own local storage and background sync, which is outside VerionAI’s current scope (Section 4.3) — Algihaz’s own future retrofit, built on the same QMS360 APIs. This is a genuine scope boundary relative to the original signed BRDs, which named the offline mobile experience as an in-scope platform target without separating who builds it. VerionAI is asking Algihaz to explicitly acknowledge this boundary before proceeding, rather than assuming it either way.</w:t>
            </w:r>
          </w:p>
        </w:tc>
      </w:tr>
    </w:tbl>
    <w:p>
      <w:pPr>
        <w:spacing w:after="160" w:before="0" w:line="276"/>
        <w:jc w:val="left"/>
      </w:pPr>
      <w:r>
        <w:rPr>
          <w:rFonts w:ascii="Inter" w:cs="Inter" w:eastAsia="Inter" w:hAnsi="Inter"/>
          <w:b w:val="false"/>
          <w:bCs w:val="false"/>
          <w:i w:val="false"/>
          <w:iCs w:val="false"/>
          <w:color w:val="111827"/>
          <w:sz w:val="21"/>
          <w:szCs w:val="21"/>
        </w:rPr>
        <w:t xml:space="preserve">Design answer: today’s web application captures GPS, timestamp and photo evidence exactly as specified, over a live connection — nothing is lost relative to the BRD’s data fields, only the ability to do it with zero signal. To keep a future mobile retrofit additive rather than a rebuild, the API layer already provides: idempotent submission (a client-generated reference ID, so a retried queued submission is never duplicated), client-suppliable capture timestamp/GPS (so a future offline client can record the true capture moment, not just when it eventually syncs), a reference-data snapshot endpoint with a “changed since” parameter (so a future offline client can cache exactly the Projects/Business Units/Disciplines/Categorisation data it needs for dropdowns, and keep that cache current without a full re-download), and the same field-level conflict-merge logic regardless of which client queued the edit (Section 14.4). In short: once Algihaz builds or commissions the mobile retrofit, how much data it can show offline and how it resyncs is a decision made in that mobile build, against an API that is already designed to support it.</w:t>
      </w:r>
    </w:p>
    <w:p>
      <w:pPr>
        <w:pStyle w:val="Heading2"/>
        <w:spacing w:after="160" w:before="340"/>
      </w:pPr>
      <w:r>
        <w:rPr>
          <w:rFonts w:ascii="Inter" w:cs="Inter" w:eastAsia="Inter" w:hAnsi="Inter"/>
          <w:b/>
          <w:bCs/>
          <w:color w:val="D4196A"/>
          <w:sz w:val="25"/>
          <w:szCs w:val="25"/>
        </w:rPr>
        <w:t xml:space="preserve">22.2 Evidence Storage (S3), Offline Handling, Compression &amp; Upload Limits — Change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Algihaz’s question</w:t>
            </w:r>
          </w:p>
          <w:p>
            <w:pPr>
              <w:spacing w:after="60" w:line="260"/>
            </w:pPr>
            <w:r>
              <w:rPr>
                <w:rFonts w:ascii="Inter" w:cs="Inter" w:eastAsia="Inter" w:hAnsi="Inter"/>
                <w:color w:val="111827"/>
                <w:sz w:val="19"/>
                <w:szCs w:val="19"/>
              </w:rPr>
              <w:t xml:space="preserve">Images, videos, documents etc. will be stored in an AWS S3 bucket — how will this work in offline mode, and how do we ensure users get an upfront error message if data is not stored in S3? Is there a compression technique to reduce image/video size, and any limitation on upload size?</w:t>
            </w:r>
          </w:p>
        </w:tc>
      </w:tr>
    </w:tbl>
    <w:p>
      <w:pPr>
        <w:spacing w:after="160" w:before="0" w:line="276"/>
        <w:jc w:val="left"/>
      </w:pPr>
      <w:r>
        <w:rPr>
          <w:rFonts w:ascii="Inter" w:cs="Inter" w:eastAsia="Inter" w:hAnsi="Inter"/>
          <w:b w:val="false"/>
          <w:bCs w:val="false"/>
          <w:i w:val="false"/>
          <w:iCs w:val="false"/>
          <w:color w:val="111827"/>
          <w:sz w:val="21"/>
          <w:szCs w:val="21"/>
        </w:rPr>
        <w:t xml:space="preserve">BRD validation: none of the three BRDs specify a storage technology, a compression technique, an upload size/duration limit, or the exact behaviour on a storage failure — Lesson Learned FR-11 only specifies up to 5 photos per before/after category in a supported format, and the Audit BRD only specifies that photo/video/PDF evidence is attached from device camera or storage. Every specific in this answer is new — flagged as a Change Request, not a BRD-traceable requirement.</w:t>
      </w:r>
    </w:p>
    <w:p>
      <w:pPr>
        <w:spacing w:after="160" w:before="0" w:line="276"/>
        <w:jc w:val="left"/>
      </w:pPr>
      <w:r>
        <w:rPr>
          <w:rFonts w:ascii="Inter" w:cs="Inter" w:eastAsia="Inter" w:hAnsi="Inter"/>
          <w:b w:val="false"/>
          <w:bCs w:val="false"/>
          <w:i w:val="false"/>
          <w:iCs w:val="false"/>
          <w:color w:val="111827"/>
          <w:sz w:val="21"/>
          <w:szCs w:val="21"/>
        </w:rPr>
        <w:t xml:space="preserve">The offline-mode half of this question is the same scope boundary as Section 22.1: evidence is validated and uploaded to S3 over an active connection in the current web build; queuing an evidence upload with genuinely no signal at all is part of Algihaz’s future mobile retrofit, which the upload contract in Section 14.4 is designed to support. The compression, size-limit and error-message design — fully in VerionAI’s current scope — is detailed in Section 14.7: photos are resized client-side to a maximum of 1920×1080 JPEG (recommended ~8 MB cap after compression), videos are size/duration-checked before upload rather than compressed in-browser (recommended 200 MB / 3 minutes), documents are capped at 25 MB, every limit is upfront-validated the instant a file is selected (never after a failed upload), and no record can be submitted while an attachment is still failed or still uploading — the system never shows a record as complete when its evidence never actually reached S3.</w:t>
      </w:r>
    </w:p>
    <w:p>
      <w:pPr>
        <w:pStyle w:val="Heading2"/>
        <w:spacing w:after="160" w:before="340"/>
      </w:pPr>
      <w:r>
        <w:rPr>
          <w:rFonts w:ascii="Inter" w:cs="Inter" w:eastAsia="Inter" w:hAnsi="Inter"/>
          <w:b/>
          <w:bCs/>
          <w:color w:val="D4196A"/>
          <w:sz w:val="25"/>
          <w:szCs w:val="25"/>
        </w:rPr>
        <w:t xml:space="preserve">22.3 Report Download Mechanism &amp; Data Volume Limits — Change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Algihaz’s question</w:t>
            </w:r>
          </w:p>
          <w:p>
            <w:pPr>
              <w:spacing w:after="60" w:line="260"/>
            </w:pPr>
            <w:r>
              <w:rPr>
                <w:rFonts w:ascii="Inter" w:cs="Inter" w:eastAsia="Inter" w:hAnsi="Inter"/>
                <w:color w:val="111827"/>
                <w:sz w:val="19"/>
                <w:szCs w:val="19"/>
              </w:rPr>
              <w:t xml:space="preserve">How will reports be downloaded — directly to the device, or through a download link sent to the user’s email? Also, how much data can be downloaded at one time (e.g., 3 months, 6 months)?</w:t>
            </w:r>
          </w:p>
        </w:tc>
      </w:tr>
    </w:tbl>
    <w:p>
      <w:pPr>
        <w:spacing w:after="160" w:before="0" w:line="276"/>
        <w:jc w:val="left"/>
      </w:pPr>
      <w:r>
        <w:rPr>
          <w:rFonts w:ascii="Inter" w:cs="Inter" w:eastAsia="Inter" w:hAnsi="Inter"/>
          <w:b w:val="false"/>
          <w:bCs w:val="false"/>
          <w:i w:val="false"/>
          <w:iCs w:val="false"/>
          <w:color w:val="111827"/>
          <w:sz w:val="21"/>
          <w:szCs w:val="21"/>
        </w:rPr>
        <w:t xml:space="preserve">BRD validation: all three BRDs specify that PDF/Excel export exists (Section 17.3, Section 19), but none specify a delivery mechanism for an on-demand export, or any limit on how much data one export can contain. This is new — flagged as a Change Request.</w:t>
      </w:r>
    </w:p>
    <w:p>
      <w:pPr>
        <w:spacing w:after="160" w:before="0" w:line="276"/>
        <w:jc w:val="left"/>
      </w:pPr>
      <w:r>
        <w:rPr>
          <w:rFonts w:ascii="Inter" w:cs="Inter" w:eastAsia="Inter" w:hAnsi="Inter"/>
          <w:b w:val="false"/>
          <w:bCs w:val="false"/>
          <w:i w:val="false"/>
          <w:iCs w:val="false"/>
          <w:color w:val="111827"/>
          <w:sz w:val="21"/>
          <w:szCs w:val="21"/>
        </w:rPr>
        <w:t xml:space="preserve">Design answer, detailed in Section 9.5.1: a typical export downloads directly to the browser the moment it is requested; an export that would exceed a configurable threshold (recommended default: more than 6 months of data or roughly 10,000 rows, whichever comes first) instead runs as a background job and emails the user a secure, time-limited download link once ready, rather than risking a browser timeout. The system always tells the user upfront which path applies rather than silently truncating data. VerionAI recommends confirming the exact threshold numbers with Algihaz’s Digital Team once real project volumes are known.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Change Requests introduced by this round of review</w:t>
            </w:r>
          </w:p>
          <w:p>
            <w:pPr>
              <w:spacing w:after="60" w:line="260"/>
            </w:pPr>
            <w:r>
              <w:rPr>
                <w:rFonts w:ascii="Inter" w:cs="Inter" w:eastAsia="Inter" w:hAnsi="Inter"/>
                <w:b/>
                <w:bCs/>
                <w:i w:val="false"/>
                <w:iCs w:val="false"/>
                <w:color w:val="111827"/>
                <w:sz w:val="21"/>
                <w:szCs w:val="21"/>
              </w:rPr>
              <w:t xml:space="preserve">CR1 — Mobile/offline scope boundary (Section 22.1, Section 4.3). </w:t>
            </w:r>
            <w:r>
              <w:rPr>
                <w:rFonts w:ascii="Inter" w:cs="Inter" w:eastAsia="Inter" w:hAnsi="Inter"/>
                <w:b w:val="false"/>
                <w:bCs w:val="false"/>
                <w:i w:val="false"/>
                <w:iCs w:val="false"/>
                <w:color w:val="111827"/>
                <w:sz w:val="21"/>
                <w:szCs w:val="21"/>
              </w:rPr>
              <w:t xml:space="preserve">Requires Algihaz’s explicit sign-off: the installable, offline-capable mobile app is out of VerionAI’s current build scope and is Algihaz’s own future initiative, a change relative to how the original BRDs named this capability.</w:t>
            </w:r>
          </w:p>
          <w:p>
            <w:pPr>
              <w:spacing w:after="60" w:line="260"/>
            </w:pPr>
            <w:r>
              <w:rPr>
                <w:rFonts w:ascii="Inter" w:cs="Inter" w:eastAsia="Inter" w:hAnsi="Inter"/>
                <w:b/>
                <w:bCs/>
                <w:i w:val="false"/>
                <w:iCs w:val="false"/>
                <w:color w:val="111827"/>
                <w:sz w:val="21"/>
                <w:szCs w:val="21"/>
              </w:rPr>
              <w:t xml:space="preserve">CR2 — Evidence compression, upload limits &amp; upfront error handling (Section 14.7, Section 22.2). </w:t>
            </w:r>
            <w:r>
              <w:rPr>
                <w:rFonts w:ascii="Inter" w:cs="Inter" w:eastAsia="Inter" w:hAnsi="Inter"/>
                <w:b w:val="false"/>
                <w:bCs w:val="false"/>
                <w:i w:val="false"/>
                <w:iCs w:val="false"/>
                <w:color w:val="111827"/>
                <w:sz w:val="21"/>
                <w:szCs w:val="21"/>
              </w:rPr>
              <w:t xml:space="preserve">New design, not in any BRD; recommended default limits given, pending Algihaz’s confirmation.</w:t>
            </w:r>
          </w:p>
          <w:p>
            <w:pPr>
              <w:spacing w:after="60" w:line="260"/>
            </w:pPr>
            <w:r>
              <w:rPr>
                <w:rFonts w:ascii="Inter" w:cs="Inter" w:eastAsia="Inter" w:hAnsi="Inter"/>
                <w:b/>
                <w:bCs/>
                <w:i w:val="false"/>
                <w:iCs w:val="false"/>
                <w:color w:val="111827"/>
                <w:sz w:val="21"/>
                <w:szCs w:val="21"/>
              </w:rPr>
              <w:t xml:space="preserve">CR3 — Report delivery model &amp; data-volume threshold (Section 9.5.1, Section 22.3). </w:t>
            </w:r>
            <w:r>
              <w:rPr>
                <w:rFonts w:ascii="Inter" w:cs="Inter" w:eastAsia="Inter" w:hAnsi="Inter"/>
                <w:b w:val="false"/>
                <w:bCs w:val="false"/>
                <w:i w:val="false"/>
                <w:iCs w:val="false"/>
                <w:color w:val="111827"/>
                <w:sz w:val="21"/>
                <w:szCs w:val="21"/>
              </w:rPr>
              <w:t xml:space="preserve">New design, not in any BRD; recommended default threshold given, pending Algihaz’s confirmation.</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23. Internal Design Review — Architecture Corrections &amp; Change Requests (Round 3)</w:t>
      </w:r>
    </w:p>
    <w:p>
      <w:pPr>
        <w:spacing w:after="160" w:before="0" w:line="276"/>
        <w:jc w:val="left"/>
      </w:pPr>
      <w:r>
        <w:rPr>
          <w:rFonts w:ascii="Inter" w:cs="Inter" w:eastAsia="Inter" w:hAnsi="Inter"/>
          <w:b w:val="false"/>
          <w:bCs w:val="false"/>
          <w:i w:val="false"/>
          <w:iCs w:val="false"/>
          <w:color w:val="111827"/>
          <w:sz w:val="21"/>
          <w:szCs w:val="21"/>
        </w:rPr>
        <w:t xml:space="preserve">VerionAI’s own internal technical review of v4.1 raised twenty-four comments, ahead of any further client review, to ring-fence scope before Replit development begins. This section consolidates them by theme, records VerionAI’s resolution, and lists what still needs confirmation before build starts — mirroring the treatment given to Algihaz’s Round 2 questions in Section 22, for the same reason: nothing gets folded in silently.</w:t>
      </w:r>
    </w:p>
    <w:p>
      <w:pPr>
        <w:pStyle w:val="Heading2"/>
        <w:spacing w:after="160" w:before="340"/>
      </w:pPr>
      <w:r>
        <w:rPr>
          <w:rFonts w:ascii="Inter" w:cs="Inter" w:eastAsia="Inter" w:hAnsi="Inter"/>
          <w:b/>
          <w:bCs/>
          <w:color w:val="D4196A"/>
          <w:sz w:val="25"/>
          <w:szCs w:val="25"/>
        </w:rPr>
        <w:t xml:space="preserve">23.1 Application Boundary — What Is Genuinely Shared, Corrected</w:t>
      </w:r>
    </w:p>
    <w:p>
      <w:pPr>
        <w:spacing w:after="160" w:before="0" w:line="276"/>
        <w:jc w:val="left"/>
      </w:pPr>
      <w:r>
        <w:rPr>
          <w:rFonts w:ascii="Inter" w:cs="Inter" w:eastAsia="Inter" w:hAnsi="Inter"/>
          <w:b w:val="false"/>
          <w:bCs w:val="false"/>
          <w:i w:val="false"/>
          <w:iCs w:val="false"/>
          <w:color w:val="111827"/>
          <w:sz w:val="21"/>
          <w:szCs w:val="21"/>
        </w:rPr>
        <w:t xml:space="preserve">The internal review identified that v4.1 still described RBAC, the Integration Cockpit, the Notification Center, the Audit &amp; Compliance Log and the cross-application Reports Hub as one shared admin core used by all three applications. That is corrected throughout this document: RBAC, Escalation &amp; Workflow Configuration, AI Settings &amp; Controls, the Notification Center and the Audit &amp; Compliance Log are now built and administered independently, three times over, once per application (Section 9.6). Only the sign-on hand-off, the common QMS360 landing page (System Overview, Executive Page, Project Sync View — Section 3.3), Project &amp; Master Data Sync, and the Integration Cockpit are genuinely shared (Section 9). A new identity/access-mapping table, to be supplied by Algihaz, determines which username may open which of the three applications before any application-specific RBAC applies (Section 3.3, Section 21.5) — reflecting that login is derived from the main Algihaz Platform rather than a QMS360-native registration.</w:t>
      </w:r>
    </w:p>
    <w:p>
      <w:pPr>
        <w:pStyle w:val="Heading2"/>
        <w:spacing w:after="160" w:before="340"/>
      </w:pPr>
      <w:r>
        <w:rPr>
          <w:rFonts w:ascii="Inter" w:cs="Inter" w:eastAsia="Inter" w:hAnsi="Inter"/>
          <w:b/>
          <w:bCs/>
          <w:color w:val="D4196A"/>
          <w:sz w:val="25"/>
          <w:szCs w:val="25"/>
        </w:rPr>
        <w:t xml:space="preserve">23.2 Database &amp; Deployment Strategy — Resolved</w:t>
      </w:r>
    </w:p>
    <w:p>
      <w:pPr>
        <w:spacing w:after="160" w:before="0" w:line="276"/>
        <w:jc w:val="left"/>
      </w:pPr>
      <w:r>
        <w:rPr>
          <w:rFonts w:ascii="Inter" w:cs="Inter" w:eastAsia="Inter" w:hAnsi="Inter"/>
          <w:b w:val="false"/>
          <w:bCs w:val="false"/>
          <w:i w:val="false"/>
          <w:iCs w:val="false"/>
          <w:color w:val="111827"/>
          <w:sz w:val="21"/>
          <w:szCs w:val="21"/>
        </w:rPr>
        <w:t xml:space="preserve">The review flagged a specific risk: Replit provisions its own database, which is not the database Algihaz will run in production, and each application needs its own schema rather than one shared schema. Resolved as follows — from day one of Replit development, the team provisions an external managed PostgreSQL instance (e.g., Supabase or Neon) with four schemas: one per application, plus one shared schema for Project/BU Master, the identity/access-mapping table, and Integration Cockpit configuration (Section 14.1, Section 14.6, Section 15). At production deployment, VerionAI hands Algihaz’s IT/Platform Team a single SQL script that creates the same four schemas inside Algihaz’s own existing PostgreSQL instance, with each application connecting via its own schema-scoped credential — a schema-creation exercise, not a data migration.</w:t>
      </w:r>
    </w:p>
    <w:p>
      <w:pPr>
        <w:pStyle w:val="Heading2"/>
        <w:spacing w:after="160" w:before="340"/>
      </w:pPr>
      <w:r>
        <w:rPr>
          <w:rFonts w:ascii="Inter" w:cs="Inter" w:eastAsia="Inter" w:hAnsi="Inter"/>
          <w:b/>
          <w:bCs/>
          <w:color w:val="D4196A"/>
          <w:sz w:val="25"/>
          <w:szCs w:val="25"/>
        </w:rPr>
        <w:t xml:space="preserve">23.3 Mobile &amp; Offline Scope — Progressive Web App Confirmed In Scope</w:t>
      </w:r>
    </w:p>
    <w:p>
      <w:pPr>
        <w:spacing w:after="160" w:before="0" w:line="276"/>
        <w:jc w:val="left"/>
      </w:pPr>
      <w:r>
        <w:rPr>
          <w:rFonts w:ascii="Inter" w:cs="Inter" w:eastAsia="Inter" w:hAnsi="Inter"/>
          <w:b w:val="false"/>
          <w:bCs w:val="false"/>
          <w:i w:val="false"/>
          <w:iCs w:val="false"/>
          <w:color w:val="111827"/>
          <w:sz w:val="21"/>
          <w:szCs w:val="21"/>
        </w:rPr>
        <w:t xml:space="preserve">The review noted that whether a Progressive Web App with IndexedDB caching is sufficient — versus requiring a true native build — turns on which SOW pricing tier (Medium vs. Complex) the mobile requirement falls under, a commercial question the three BRDs’ scope tables do not resolve. Decided: VerionAI builds every application as an installable Progressive Web App, with IndexedDB caching Projects, Business Units, Disciplines and Categorisation masters for offline viewing (Section 14.4). True offline transaction capture — creating or editing a record with zero signal — and deep native/container packaging remain Algihaz’s own future retrofit, on the API contract already designed to support it (Section 4.1, Section 14.4).</w:t>
      </w:r>
    </w:p>
    <w:p>
      <w:pPr>
        <w:pStyle w:val="Heading2"/>
        <w:spacing w:after="160" w:before="340"/>
      </w:pPr>
      <w:r>
        <w:rPr>
          <w:rFonts w:ascii="Inter" w:cs="Inter" w:eastAsia="Inter" w:hAnsi="Inter"/>
          <w:b/>
          <w:bCs/>
          <w:color w:val="D4196A"/>
          <w:sz w:val="25"/>
          <w:szCs w:val="25"/>
        </w:rPr>
        <w:t xml:space="preserve">23.4 ERP / Unifier Integration — Reconfirmed Out of Scope</w:t>
      </w:r>
    </w:p>
    <w:p>
      <w:pPr>
        <w:spacing w:after="160" w:before="0" w:line="276"/>
        <w:jc w:val="left"/>
      </w:pPr>
      <w:r>
        <w:rPr>
          <w:rFonts w:ascii="Inter" w:cs="Inter" w:eastAsia="Inter" w:hAnsi="Inter"/>
          <w:b w:val="false"/>
          <w:bCs w:val="false"/>
          <w:i w:val="false"/>
          <w:iCs w:val="false"/>
          <w:color w:val="111827"/>
          <w:sz w:val="21"/>
          <w:szCs w:val="21"/>
        </w:rPr>
        <w:t xml:space="preserve">The review asked that ERP/Unifier integration explicitly be identified as a Change Request rather than left as prose. Confirmed: QMS360 does not plan or depend on any ERP integration — SOW-QMS-V4 itself marks the Unifier/ERP integration line item Out of Scope / Phase 2. This is now stated as an explicit scope-boundary bullet in Section 4.3: any future request for a live ERP/Unifier connector is a new Change Request, not an extension of this design.</w:t>
      </w:r>
    </w:p>
    <w:p>
      <w:pPr>
        <w:pStyle w:val="Heading2"/>
        <w:spacing w:after="160" w:before="340"/>
      </w:pPr>
      <w:r>
        <w:rPr>
          <w:rFonts w:ascii="Inter" w:cs="Inter" w:eastAsia="Inter" w:hAnsi="Inter"/>
          <w:b/>
          <w:bCs/>
          <w:color w:val="D4196A"/>
          <w:sz w:val="25"/>
          <w:szCs w:val="25"/>
        </w:rPr>
        <w:t xml:space="preserve">23.5 Arabic / English Bilingual UI — Confirm Scope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732DEB" w:sz="4"/>
              <w:left w:val="single" w:color="732DEB" w:sz="24"/>
              <w:bottom w:val="single" w:color="732DEB" w:sz="4"/>
              <w:right w:val="single" w:color="732DEB" w:sz="4"/>
            </w:tcBorders>
            <w:shd w:fill="F6F7F8" w:color="auto" w:val="clear"/>
            <w:tcMar>
              <w:top w:type="dxa" w:w="160"/>
              <w:left w:type="dxa" w:w="200"/>
              <w:bottom w:type="dxa" w:w="160"/>
              <w:right w:type="dxa" w:w="200"/>
            </w:tcMar>
          </w:tcPr>
          <w:p>
            <w:pPr>
              <w:spacing w:after="80"/>
            </w:pPr>
            <w:r>
              <w:rPr>
                <w:rFonts w:ascii="Inter" w:cs="Inter" w:eastAsia="Inter" w:hAnsi="Inter"/>
                <w:b/>
                <w:bCs/>
                <w:color w:val="732DEB"/>
                <w:sz w:val="20"/>
                <w:szCs w:val="20"/>
              </w:rPr>
              <w:t xml:space="preserve">BRD validation</w:t>
            </w:r>
          </w:p>
          <w:p>
            <w:pPr>
              <w:spacing w:after="60" w:line="260"/>
            </w:pPr>
            <w:r>
              <w:rPr>
                <w:rFonts w:ascii="Inter" w:cs="Inter" w:eastAsia="Inter" w:hAnsi="Inter"/>
                <w:color w:val="111827"/>
                <w:sz w:val="19"/>
                <w:szCs w:val="19"/>
              </w:rPr>
              <w:t xml:space="preserve">None of the three source BRDs ask for a bilingual UI. The only language reference across all three is the Audit BRD’s own field specification: “Audit Language — Verbal: English, Writing: English.” Full Arabic/RTL support was VerionAI’s own proposed enhancement in v3.0–v4.1, not a BRD requirement.</w:t>
            </w:r>
          </w:p>
        </w:tc>
      </w:tr>
    </w:tbl>
    <w:p>
      <w:pPr>
        <w:spacing w:after="160" w:before="0" w:line="276"/>
        <w:jc w:val="left"/>
      </w:pPr>
      <w:r>
        <w:rPr>
          <w:rFonts w:ascii="Inter" w:cs="Inter" w:eastAsia="Inter" w:hAnsi="Inter"/>
          <w:b w:val="false"/>
          <w:bCs w:val="false"/>
          <w:i w:val="false"/>
          <w:iCs w:val="false"/>
          <w:color w:val="111827"/>
          <w:sz w:val="21"/>
          <w:szCs w:val="21"/>
        </w:rPr>
        <w:t xml:space="preserve">Because this was proposed rather than requested, it is now marked a Change Request pending Algihaz’s confirmation (Section 4.2, Section 16, Section 17.5, Section 20) rather than committed, self-contained scope — Algihaz should confirm whether this is in scope as originally understood, or requires separate commercial agreement, before it is built.</w:t>
      </w:r>
    </w:p>
    <w:p>
      <w:pPr>
        <w:pStyle w:val="Heading2"/>
        <w:spacing w:after="160" w:before="340"/>
      </w:pPr>
      <w:r>
        <w:rPr>
          <w:rFonts w:ascii="Inter" w:cs="Inter" w:eastAsia="Inter" w:hAnsi="Inter"/>
          <w:b/>
          <w:bCs/>
          <w:color w:val="D4196A"/>
          <w:sz w:val="25"/>
          <w:szCs w:val="25"/>
        </w:rPr>
        <w:t xml:space="preserve">23.6 Build-Effort Impact of Independent Per-Application Administration</w:t>
      </w:r>
    </w:p>
    <w:p>
      <w:pPr>
        <w:spacing w:after="160" w:before="0" w:line="276"/>
        <w:jc w:val="left"/>
      </w:pPr>
      <w:r>
        <w:rPr>
          <w:rFonts w:ascii="Inter" w:cs="Inter" w:eastAsia="Inter" w:hAnsi="Inter"/>
          <w:b w:val="false"/>
          <w:bCs w:val="false"/>
          <w:i w:val="false"/>
          <w:iCs w:val="false"/>
          <w:color w:val="111827"/>
          <w:sz w:val="21"/>
          <w:szCs w:val="21"/>
        </w:rPr>
        <w:t xml:space="preserve">The review also flagged, correctly, that building RBAC, Escalation Configuration, AI Settings, the Notification Center and the Audit &amp; Compliance Log three times — once per application — is materially more build effort than a single shared admin core would be. This is accepted as the right architecture for the reasons in Section 23.1, not walked back for effort reasons, but it is recorded here as a deliberate, acknowledged cost rather than an absorbed one (Section 20).</w:t>
      </w:r>
    </w:p>
    <w:p>
      <w:pPr>
        <w:pStyle w:val="Heading2"/>
        <w:spacing w:after="160" w:before="340"/>
      </w:pPr>
      <w:r>
        <w:rPr>
          <w:rFonts w:ascii="Inter" w:cs="Inter" w:eastAsia="Inter" w:hAnsi="Inter"/>
          <w:b/>
          <w:bCs/>
          <w:color w:val="D4196A"/>
          <w:sz w:val="25"/>
          <w:szCs w:val="25"/>
        </w:rPr>
        <w:t xml:space="preserve">23.7 Open Items Requiring Confirmation Before Replit Development Begins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D4196A" w:sz="4"/>
              <w:left w:val="single" w:color="D4196A" w:sz="24"/>
              <w:bottom w:val="single" w:color="D4196A" w:sz="4"/>
              <w:right w:val="single" w:color="D4196A" w:sz="4"/>
            </w:tcBorders>
            <w:shd w:fill="F6F7F8" w:color="auto" w:val="clear"/>
            <w:tcMar>
              <w:top w:type="dxa" w:w="160"/>
              <w:left w:type="dxa" w:w="200"/>
              <w:bottom w:type="dxa" w:w="160"/>
              <w:right w:type="dxa" w:w="200"/>
            </w:tcMar>
          </w:tcPr>
          <w:p>
            <w:pPr>
              <w:spacing w:after="80"/>
            </w:pPr>
            <w:r>
              <w:rPr>
                <w:rFonts w:ascii="Inter" w:cs="Inter" w:eastAsia="Inter" w:hAnsi="Inter"/>
                <w:b/>
                <w:bCs/>
                <w:color w:val="D4196A"/>
                <w:sz w:val="20"/>
                <w:szCs w:val="20"/>
              </w:rPr>
              <w:t xml:space="preserve">Checklist</w:t>
            </w:r>
          </w:p>
          <w:p>
            <w:pPr>
              <w:spacing w:after="60" w:line="260"/>
            </w:pPr>
            <w:r>
              <w:rPr>
                <w:rFonts w:ascii="Inter" w:cs="Inter" w:eastAsia="Inter" w:hAnsi="Inter"/>
                <w:b/>
                <w:bCs/>
                <w:i w:val="false"/>
                <w:iCs w:val="false"/>
                <w:color w:val="111827"/>
                <w:sz w:val="21"/>
                <w:szCs w:val="21"/>
              </w:rPr>
              <w:t xml:space="preserve">Identity/access-mapping table. </w:t>
            </w:r>
            <w:r>
              <w:rPr>
                <w:rFonts w:ascii="Inter" w:cs="Inter" w:eastAsia="Inter" w:hAnsi="Inter"/>
                <w:b w:val="false"/>
                <w:bCs w:val="false"/>
                <w:i w:val="false"/>
                <w:iCs w:val="false"/>
                <w:color w:val="111827"/>
                <w:sz w:val="21"/>
                <w:szCs w:val="21"/>
              </w:rPr>
              <w:t xml:space="preserve">Algihaz IT/Platform Team supplies its structure — which username may open which application, and each application’s initial Admin (Section 21.5).</w:t>
            </w:r>
          </w:p>
          <w:p>
            <w:pPr>
              <w:spacing w:after="60" w:line="260"/>
            </w:pPr>
            <w:r>
              <w:rPr>
                <w:rFonts w:ascii="Inter" w:cs="Inter" w:eastAsia="Inter" w:hAnsi="Inter"/>
                <w:b/>
                <w:bCs/>
                <w:i w:val="false"/>
                <w:iCs w:val="false"/>
                <w:color w:val="111827"/>
                <w:sz w:val="21"/>
                <w:szCs w:val="21"/>
              </w:rPr>
              <w:t xml:space="preserve">Bilingual UI. </w:t>
            </w:r>
            <w:r>
              <w:rPr>
                <w:rFonts w:ascii="Inter" w:cs="Inter" w:eastAsia="Inter" w:hAnsi="Inter"/>
                <w:b w:val="false"/>
                <w:bCs w:val="false"/>
                <w:i w:val="false"/>
                <w:iCs w:val="false"/>
                <w:color w:val="111827"/>
                <w:sz w:val="21"/>
                <w:szCs w:val="21"/>
              </w:rPr>
              <w:t xml:space="preserve">Algihaz confirms committed scope vs. Change Request (Section 23.5).</w:t>
            </w:r>
          </w:p>
          <w:p>
            <w:pPr>
              <w:spacing w:after="60" w:line="260"/>
            </w:pPr>
            <w:r>
              <w:rPr>
                <w:rFonts w:ascii="Inter" w:cs="Inter" w:eastAsia="Inter" w:hAnsi="Inter"/>
                <w:b/>
                <w:bCs/>
                <w:i w:val="false"/>
                <w:iCs w:val="false"/>
                <w:color w:val="111827"/>
                <w:sz w:val="21"/>
                <w:szCs w:val="21"/>
              </w:rPr>
              <w:t xml:space="preserve">Oracle ADW path. </w:t>
            </w:r>
            <w:r>
              <w:rPr>
                <w:rFonts w:ascii="Inter" w:cs="Inter" w:eastAsia="Inter" w:hAnsi="Inter"/>
                <w:b w:val="false"/>
                <w:bCs w:val="false"/>
                <w:i w:val="false"/>
                <w:iCs w:val="false"/>
                <w:color w:val="111827"/>
                <w:sz w:val="21"/>
                <w:szCs w:val="21"/>
              </w:rPr>
              <w:t xml:space="preserve">Algihaz confirms whether its own container-to-ADW pipeline already covers this data before a dedicated Path B connector is built (Section 9.2.2) — internal review specifically asked whether this response is in hand before build starts; if not yet received, VerionAI recommends chasing it now rather than defaulting to Path B unconfirmed.</w:t>
            </w:r>
          </w:p>
          <w:p>
            <w:pPr>
              <w:spacing w:after="60" w:line="260"/>
            </w:pPr>
            <w:r>
              <w:rPr>
                <w:rFonts w:ascii="Inter" w:cs="Inter" w:eastAsia="Inter" w:hAnsi="Inter"/>
                <w:b/>
                <w:bCs/>
                <w:i w:val="false"/>
                <w:iCs w:val="false"/>
                <w:color w:val="111827"/>
                <w:sz w:val="21"/>
                <w:szCs w:val="21"/>
              </w:rPr>
              <w:t xml:space="preserve">Build-effort acknowledgement. </w:t>
            </w:r>
            <w:r>
              <w:rPr>
                <w:rFonts w:ascii="Inter" w:cs="Inter" w:eastAsia="Inter" w:hAnsi="Inter"/>
                <w:b w:val="false"/>
                <w:bCs w:val="false"/>
                <w:i w:val="false"/>
                <w:iCs w:val="false"/>
                <w:color w:val="111827"/>
                <w:sz w:val="21"/>
                <w:szCs w:val="21"/>
              </w:rPr>
              <w:t xml:space="preserve">Algihaz acknowledges, in writing, the three-times-over administration model and its effort impact (Section 23.6) before development begins.</w:t>
            </w:r>
          </w:p>
        </w:tc>
      </w:tr>
    </w:tbl>
    <w:p>
      <w:pPr>
        <w:pStyle w:val="Heading1"/>
        <w:pBdr>
          <w:bottom w:val="single" w:color="D4196A" w:sz="10" w:space="6"/>
        </w:pBdr>
        <w:spacing w:after="220" w:before="480"/>
      </w:pPr>
      <w:r>
        <w:rPr>
          <w:rFonts w:ascii="Inter" w:cs="Inter" w:eastAsia="Inter" w:hAnsi="Inter"/>
          <w:b/>
          <w:bCs/>
          <w:color w:val="111827"/>
          <w:sz w:val="32"/>
          <w:szCs w:val="32"/>
        </w:rPr>
        <w:t xml:space="preserve">24. Document Review &amp; Approval</w:t>
      </w:r>
    </w:p>
    <w:p>
      <w:pPr>
        <w:spacing w:after="160" w:before="0" w:line="276"/>
        <w:jc w:val="left"/>
      </w:pPr>
      <w:r>
        <w:rPr>
          <w:rFonts w:ascii="Inter" w:cs="Inter" w:eastAsia="Inter" w:hAnsi="Inter"/>
          <w:b w:val="false"/>
          <w:bCs w:val="false"/>
          <w:i w:val="false"/>
          <w:iCs w:val="false"/>
          <w:color w:val="111827"/>
          <w:sz w:val="21"/>
          <w:szCs w:val="21"/>
        </w:rPr>
        <w:t xml:space="preserve">This document requires Algihaz business and IT/Digital sign-off before development begins, mirroring the sign-off structure used in the three source BRDs.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3560"/>
        <w:gridCol w:w="2000"/>
        <w:gridCol w:w="1400"/>
      </w:tblGrid>
      <w:tr>
        <w:trPr>
          <w:cantSplit/>
          <w:tblHeader/>
        </w:trPr>
        <w:tc>
          <w:tcPr>
            <w:tcW w:type="dxa" w:w="2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Name</w:t>
            </w:r>
          </w:p>
        </w:tc>
        <w:tc>
          <w:tcPr>
            <w:tcW w:type="dxa" w:w="356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Role / Department</w:t>
            </w:r>
          </w:p>
        </w:tc>
        <w:tc>
          <w:tcPr>
            <w:tcW w:type="dxa" w:w="20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Decision (Approve / Revise)</w:t>
            </w:r>
          </w:p>
        </w:tc>
        <w:tc>
          <w:tcPr>
            <w:tcW w:type="dxa" w:w="1400"/>
            <w:shd w:fill="111827" w:color="auto" w:val="clear"/>
            <w:tcMar>
              <w:top w:type="dxa" w:w="90"/>
              <w:left w:type="dxa" w:w="130"/>
              <w:bottom w:type="dxa" w:w="90"/>
              <w:right w:type="dxa" w:w="130"/>
            </w:tcMar>
            <w:vAlign w:val="center"/>
          </w:tcPr>
          <w:p>
            <w:pPr>
              <w:spacing w:after="0" w:before="0" w:line="276"/>
              <w:jc w:val="left"/>
            </w:pPr>
            <w:r>
              <w:rPr>
                <w:rFonts w:ascii="Inter" w:cs="Inter" w:eastAsia="Inter" w:hAnsi="Inter"/>
                <w:b/>
                <w:bCs/>
                <w:i w:val="false"/>
                <w:iCs w:val="false"/>
                <w:color w:val="FFFFFF"/>
                <w:sz w:val="19"/>
                <w:szCs w:val="19"/>
              </w:rPr>
              <w:t xml:space="preserve">Date</w:t>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3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 Quality / Business Owner</w:t>
            </w:r>
          </w:p>
        </w:tc>
        <w:tc>
          <w:tcPr>
            <w:tcW w:type="dxa" w:w="2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3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 Digital / IT Team</w:t>
            </w:r>
          </w:p>
        </w:tc>
        <w:tc>
          <w:tcPr>
            <w:tcW w:type="dxa" w:w="2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3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Algihaz — Executive Sponsor</w:t>
            </w:r>
          </w:p>
        </w:tc>
        <w:tc>
          <w:tcPr>
            <w:tcW w:type="dxa" w:w="2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r>
      <w:tr>
        <w:trPr>
          <w:cantSplit/>
        </w:trPr>
        <w:tc>
          <w:tcPr>
            <w:tcW w:type="dxa" w:w="2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356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VerionAI — Product Owner</w:t>
            </w:r>
          </w:p>
        </w:tc>
        <w:tc>
          <w:tcPr>
            <w:tcW w:type="dxa" w:w="20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c>
          <w:tcPr>
            <w:tcW w:type="dxa" w:w="1400"/>
            <w:tcMar>
              <w:top w:type="dxa" w:w="90"/>
              <w:left w:type="dxa" w:w="130"/>
              <w:bottom w:type="dxa" w:w="90"/>
              <w:right w:type="dxa" w:w="130"/>
            </w:tcMar>
            <w:vAlign w:val="center"/>
          </w:tcPr>
          <w:p>
            <w:pPr>
              <w:spacing w:after="40" w:before="0" w:line="276"/>
              <w:jc w:val="left"/>
            </w:pPr>
            <w:r>
              <w:rPr>
                <w:rFonts w:ascii="Inter" w:cs="Inter" w:eastAsia="Inter" w:hAnsi="Inter"/>
                <w:b w:val="false"/>
                <w:bCs w:val="false"/>
                <w:i w:val="false"/>
                <w:iCs w:val="false"/>
                <w:color w:val="111827"/>
                <w:sz w:val="21"/>
                <w:szCs w:val="21"/>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5"/>
        <w:szCs w:val="15"/>
      </w:rPr>
      <w:t xml:space="preserve">Confidential — Internal &amp; Client Use Only   ·   Page </w:t>
    </w:r>
    <w:r>
      <w:rPr>
        <w:rFonts w:ascii="Inter" w:cs="Inter" w:eastAsia="Inter" w:hAnsi="Inter"/>
        <w:color w:val="9CA3AF"/>
        <w:sz w:val="15"/>
        <w:szCs w:val="15"/>
      </w:rPr>
      <w:fldChar w:fldCharType="begin"/>
      <w:instrText xml:space="preserve">PAGE</w:instrText>
      <w:fldChar w:fldCharType="separate"/>
      <w:fldChar w:fldCharType="end"/>
    </w:r>
    <w:r>
      <w:rPr>
        <w:rFonts w:ascii="Inter" w:cs="Inter" w:eastAsia="Inter" w:hAnsi="Inter"/>
        <w:color w:val="9CA3AF"/>
        <w:sz w:val="15"/>
        <w:szCs w:val="15"/>
      </w:rPr>
      <w:t xml:space="preserve"> of </w:t>
    </w:r>
    <w:r>
      <w:rPr>
        <w:rFonts w:ascii="Inter" w:cs="Inter" w:eastAsia="Inter" w:hAnsi="Inte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jc w:val="right"/>
    </w:pPr>
    <w:r>
      <w:rPr>
        <w:rFonts w:ascii="Inter" w:cs="Inter" w:eastAsia="Inter" w:hAnsi="Inter"/>
        <w:b/>
        <w:bCs/>
        <w:color w:val="D4196A"/>
        <w:sz w:val="16"/>
        <w:szCs w:val="16"/>
      </w:rPr>
      <w:t xml:space="preserve">QMS360 </w:t>
    </w:r>
    <w:r>
      <w:rPr>
        <w:rFonts w:ascii="Inter" w:cs="Inter" w:eastAsia="Inter" w:hAnsi="Inter"/>
        <w:color w:val="6B7280"/>
        <w:sz w:val="16"/>
        <w:szCs w:val="16"/>
      </w:rPr>
      <w:t xml:space="preserve">| Design Document — Algihaz Holding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Inter" w:cs="Inter" w:eastAsia="Inter" w:hAnsi="Inter"/>
        <w:color w:val="D4196A"/>
      </w:r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rPr>
        <w:rFonts w:ascii="Inter" w:cs="Inter" w:eastAsia="Inter" w:hAnsi="Inter"/>
        <w:b/>
        <w:bCs/>
        <w:color w:val="732D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093617f45280db8a0d4fa5b69b60a513de4b0c.png"/><Relationship Id="rId10" Type="http://schemas.openxmlformats.org/officeDocument/2006/relationships/image" Target="media/f5a3b71d36d83c52d748198ee430180260871b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QMS360 — Product &amp; Technical Design Document</dc:title>
  <dc:creator>VerionAI</dc:creator>
  <dc:description>QMS360 Design Document for Algihaz Holding</dc:description>
  <cp:lastModifiedBy>Un-named</cp:lastModifiedBy>
  <cp:revision>1</cp:revision>
  <dcterms:created xsi:type="dcterms:W3CDTF">2026-09-03T03:02:54.546Z</dcterms:created>
  <dcterms:modified xsi:type="dcterms:W3CDTF">2026-09-03T03:02:54.546Z</dcterms:modified>
</cp:coreProperties>
</file>

<file path=docProps/custom.xml><?xml version="1.0" encoding="utf-8"?>
<Properties xmlns="http://schemas.openxmlformats.org/officeDocument/2006/custom-properties" xmlns:vt="http://schemas.openxmlformats.org/officeDocument/2006/docPropsVTypes"/>
</file>