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115e59"/>
          <w:sz w:val="28"/>
          <w:szCs w:val="28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b w:val="1"/>
          <w:bCs w:val="1"/>
          <w:color w:val="115e59"/>
          <w:sz w:val="48"/>
          <w:szCs w:val="48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2f9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12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2f9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2f9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MERN Stack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2f9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color w:val="115e59"/>
          <w:sz w:val="28"/>
          <w:szCs w:val="28"/>
          <w:rtl w:val="0"/>
        </w:rPr>
        <w:t xml:space="preserve">Solution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Solution architecture bridges the gap between complex business challenges and comprehensive technical execution. For this full-stack MERN application, the architecture defines structural characteristics, behaviors, deployment configurations, and data handling requirements to achieve the following goals: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optimal technical stack options to solve identified business performance problems.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Formulate clear descriptions of software sub-components, data behaviors, and models for stakeholders.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concrete engineering phases, requirements, operational security policies, and feature boundaries.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 strict development guidelines according to which the end-to-end platform is created, managed, and deployed.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color w:val="115e59"/>
          <w:sz w:val="28"/>
          <w:szCs w:val="28"/>
          <w:rtl w:val="0"/>
        </w:rPr>
        <w:t xml:space="preserve">MERN Technical Architecture Details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e5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Architectural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5e5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Technical Specification &amp; Design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Layer (React.js)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UI Paradigm:</w:t>
            </w:r>
            <w:r w:rsidDel="00000000" w:rsidR="00000000" w:rsidRPr="00000000">
              <w:rPr>
                <w:rtl w:val="0"/>
              </w:rPr>
              <w:t xml:space="preserve"> Single Page Application (SPA) providing component-driven web interfaces.</w:t>
            </w:r>
          </w:p>
          <w:p w:rsidR="00000000" w:rsidDel="00000000" w:rsidP="00000000" w:rsidRDefault="00000000" w:rsidRPr="00000000" w14:paraId="00000018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State Management:</w:t>
            </w:r>
            <w:r w:rsidDel="00000000" w:rsidR="00000000" w:rsidRPr="00000000">
              <w:rPr>
                <w:rtl w:val="0"/>
              </w:rPr>
              <w:t xml:space="preserve"> Handled via React Context API or Hooks for synchronous data flow.</w:t>
            </w:r>
          </w:p>
          <w:p w:rsidR="00000000" w:rsidDel="00000000" w:rsidP="00000000" w:rsidRDefault="00000000" w:rsidRPr="00000000" w14:paraId="00000019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Communication:</w:t>
            </w:r>
            <w:r w:rsidDel="00000000" w:rsidR="00000000" w:rsidRPr="00000000">
              <w:rPr>
                <w:rtl w:val="0"/>
              </w:rPr>
              <w:t xml:space="preserve"> Asynchronous HTTP requests executed via Axios to interface with the backend REST API layer.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4faf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Layer (Node.js &amp; Express.js)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4faf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Core Engine:</w:t>
            </w:r>
            <w:r w:rsidDel="00000000" w:rsidR="00000000" w:rsidRPr="00000000">
              <w:rPr>
                <w:rtl w:val="0"/>
              </w:rPr>
              <w:t xml:space="preserve"> Asynchronous, event-driven runtime utilizing non-blocking execution blocks.</w:t>
            </w:r>
          </w:p>
          <w:p w:rsidR="00000000" w:rsidDel="00000000" w:rsidP="00000000" w:rsidRDefault="00000000" w:rsidRPr="00000000" w14:paraId="0000001C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Route Configuration:</w:t>
            </w:r>
            <w:r w:rsidDel="00000000" w:rsidR="00000000" w:rsidRPr="00000000">
              <w:rPr>
                <w:rtl w:val="0"/>
              </w:rPr>
              <w:t xml:space="preserve"> Express router defining RESTful HTTP verbs (GET, POST, PUT, DELETE).</w:t>
            </w:r>
          </w:p>
          <w:p w:rsidR="00000000" w:rsidDel="00000000" w:rsidP="00000000" w:rsidRDefault="00000000" w:rsidRPr="00000000" w14:paraId="0000001D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Middleware Logic:</w:t>
            </w:r>
            <w:r w:rsidDel="00000000" w:rsidR="00000000" w:rsidRPr="00000000">
              <w:rPr>
                <w:rtl w:val="0"/>
              </w:rPr>
              <w:t xml:space="preserve"> Centralized JSON web token (JWT) parser pipelines for authorization validation and universal error logging.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Layer (MongoDB)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Data Engine:</w:t>
            </w:r>
            <w:r w:rsidDel="00000000" w:rsidR="00000000" w:rsidRPr="00000000">
              <w:rPr>
                <w:rtl w:val="0"/>
              </w:rPr>
              <w:t xml:space="preserve"> Non-relational BSON document-store accommodating dynamic structural object schemas.</w:t>
            </w:r>
          </w:p>
          <w:p w:rsidR="00000000" w:rsidDel="00000000" w:rsidP="00000000" w:rsidRDefault="00000000" w:rsidRPr="00000000" w14:paraId="00000020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Data Modeling:</w:t>
            </w:r>
            <w:r w:rsidDel="00000000" w:rsidR="00000000" w:rsidRPr="00000000">
              <w:rPr>
                <w:rtl w:val="0"/>
              </w:rPr>
              <w:t xml:space="preserve"> Organized through Mongoose schemas specifying data types, unique indexes, validation constraints, and virtual methods.</w:t>
            </w:r>
          </w:p>
          <w:p w:rsidR="00000000" w:rsidDel="00000000" w:rsidP="00000000" w:rsidRDefault="00000000" w:rsidRPr="00000000" w14:paraId="00000021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Operational Logic:</w:t>
            </w:r>
            <w:r w:rsidDel="00000000" w:rsidR="00000000" w:rsidRPr="00000000">
              <w:rPr>
                <w:rtl w:val="0"/>
              </w:rPr>
              <w:t xml:space="preserve"> Highly optimized read/write pipelines designed to minimize operational I/O wait times.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4faf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Cross-Cutting Concerns (Security &amp; Deployment)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4faf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Security Strategy:</w:t>
            </w:r>
            <w:r w:rsidDel="00000000" w:rsidR="00000000" w:rsidRPr="00000000">
              <w:rPr>
                <w:rtl w:val="0"/>
              </w:rPr>
              <w:t xml:space="preserve"> Password salting/hashing through bcrypt; strict Cross-Origin Resource Sharing (CORS) configurations; encrypted environment parameter blocks.</w:t>
            </w:r>
          </w:p>
          <w:p w:rsidR="00000000" w:rsidDel="00000000" w:rsidP="00000000" w:rsidRDefault="00000000" w:rsidRPr="00000000" w14:paraId="00000024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Deployment Strategy:</w:t>
            </w:r>
            <w:r w:rsidDel="00000000" w:rsidR="00000000" w:rsidRPr="00000000">
              <w:rPr>
                <w:rtl w:val="0"/>
              </w:rPr>
              <w:t xml:space="preserve"> Separated pipelines where the front-end client bundle is distributed via Netlify/Vercel CDN, while the API container cluster is hosted independently via AWS/Render.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