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0284c7"/>
          <w:sz w:val="26"/>
          <w:szCs w:val="26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0f172a"/>
          <w:sz w:val="40"/>
          <w:szCs w:val="40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i w:val="1"/>
          <w:iCs w:val="1"/>
          <w:color w:val="334155"/>
          <w:sz w:val="22"/>
          <w:szCs w:val="22"/>
          <w:rtl w:val="0"/>
        </w:rPr>
        <w:t xml:space="preserve">Technical Specifications Matrix for my-mern-project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Darshan 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20247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2.1: Modern Solution Requirements Architecture Flow for MERN Data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0f172a"/>
          <w:sz w:val="28"/>
          <w:szCs w:val="28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Following are the functional requirements of the proposed solution mapping out user workflow interactions: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Registration through standard Web Form</w:t>
              <w:br w:type="textWrapping"/>
              <w:t xml:space="preserve">• Registration through Gmail OAuth2</w:t>
              <w:br w:type="textWrapping"/>
              <w:t xml:space="preserve">• Registration through LinkedIn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Confirmation via Verification Email link</w:t>
              <w:br w:type="textWrapping"/>
              <w:t xml:space="preserve">• Confirmation via 6-digit dynamic OTP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Management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Live update context status feed</w:t>
              <w:br w:type="textWrapping"/>
              <w:t xml:space="preserve">• Dynamic data manipulation grids for MERN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Secure Session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Session persistence via HTTP-Only token mechanics</w:t>
              <w:br w:type="textWrapping"/>
              <w:t xml:space="preserve">• Automatic session clear validation rules upon logout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0f172a"/>
          <w:sz w:val="28"/>
          <w:szCs w:val="28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Following are the non-functional qualitative benchmarks required by the proposed application architecture: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33415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415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415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Metric &amp; Implementation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Responsive UI/UX rendering fluidly on mobile breakpoints and desktop layout Viewports.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data transit payload masking, bcrypt hashing, and secure token 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 data loss transaction workflows ensuring high fault tolerance across API micro-instances.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Extremely fast payload round-trips with server side API endpoint execution within &lt;200ms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cloud deployment resilience targets maintaining a continuous 99.9% uptime track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Horizontal auto-scaling capability handling concurrent database requests cleanly via cloud nodes.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