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4FEEC8CB">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C039861" w:rsidR="00821D63" w:rsidRPr="00821D63" w:rsidRDefault="00821D63" w:rsidP="00821D63">
      <w:pPr>
        <w:pStyle w:val="Sinespaciado"/>
        <w:spacing w:line="276" w:lineRule="auto"/>
        <w:jc w:val="center"/>
        <w:rPr>
          <w:rFonts w:asciiTheme="majorHAnsi" w:hAnsiTheme="majorHAnsi" w:cs="Open Sans"/>
          <w:sz w:val="40"/>
          <w:szCs w:val="28"/>
        </w:rPr>
      </w:pPr>
      <w:r w:rsidRPr="00D85F2E">
        <w:rPr>
          <w:rFonts w:asciiTheme="majorHAnsi" w:hAnsiTheme="majorHAnsi" w:cs="Open Sans"/>
          <w:sz w:val="40"/>
          <w:szCs w:val="28"/>
        </w:rPr>
        <w:t xml:space="preserve">Facultad de </w:t>
      </w:r>
      <w:r w:rsidR="00D85F2E" w:rsidRPr="00D85F2E">
        <w:rPr>
          <w:rFonts w:asciiTheme="majorHAnsi" w:hAnsiTheme="majorHAnsi" w:cs="Open Sans"/>
          <w:sz w:val="40"/>
          <w:szCs w:val="28"/>
        </w:rPr>
        <w:t>Ciencias de la Salud</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4BD4BAAB" w:rsidR="00821D63" w:rsidRPr="00FC4A7B" w:rsidRDefault="00821D63" w:rsidP="001654D6">
      <w:pPr>
        <w:pStyle w:val="Sinespaciado"/>
        <w:spacing w:after="240"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F843DD">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D85F2E">
        <w:rPr>
          <w:rFonts w:asciiTheme="majorHAnsi" w:hAnsiTheme="majorHAnsi" w:cs="Tahoma"/>
          <w:sz w:val="36"/>
          <w:szCs w:val="28"/>
        </w:rPr>
        <w:t>B</w:t>
      </w:r>
      <w:r w:rsidR="004B4D36">
        <w:rPr>
          <w:rFonts w:asciiTheme="majorHAnsi" w:hAnsiTheme="majorHAnsi" w:cs="Tahoma"/>
          <w:sz w:val="36"/>
          <w:szCs w:val="28"/>
        </w:rPr>
        <w:t>ioinformática</w:t>
      </w:r>
    </w:p>
    <w:p w14:paraId="7E4DEE80" w14:textId="3AF13888" w:rsidR="00821D63" w:rsidRPr="00CA0785" w:rsidRDefault="00FD53AE" w:rsidP="00821D63">
      <w:pPr>
        <w:pStyle w:val="Sinespaciado"/>
        <w:spacing w:line="276" w:lineRule="auto"/>
        <w:jc w:val="center"/>
        <w:rPr>
          <w:rFonts w:asciiTheme="minorHAnsi" w:hAnsiTheme="minorHAnsi" w:cs="Tahoma"/>
          <w:sz w:val="52"/>
          <w:szCs w:val="28"/>
        </w:rPr>
      </w:pPr>
      <w:commentRangeStart w:id="0"/>
      <w:commentRangeStart w:id="1"/>
      <w:commentRangeStart w:id="2"/>
      <w:r w:rsidRPr="00FD53AE">
        <w:rPr>
          <w:rFonts w:asciiTheme="minorHAnsi" w:hAnsiTheme="minorHAnsi" w:cs="Tahoma"/>
          <w:color w:val="0098CD"/>
          <w:sz w:val="52"/>
          <w:szCs w:val="28"/>
        </w:rPr>
        <w:t>Análisis comparativo de la expresión diferencial en adenocarcinoma colorrectal: Integración y validación de datasets de RNA-seq de dominio público</w:t>
      </w:r>
      <w:commentRangeEnd w:id="0"/>
      <w:r w:rsidRPr="00CA0785">
        <w:rPr>
          <w:rStyle w:val="Refdecomentario"/>
          <w:rFonts w:asciiTheme="minorHAnsi" w:hAnsiTheme="minorHAnsi" w:cs="Tahoma"/>
          <w:sz w:val="52"/>
          <w:szCs w:val="28"/>
        </w:rPr>
        <w:commentReference w:id="0"/>
      </w:r>
      <w:commentRangeEnd w:id="1"/>
      <w:r w:rsidRPr="00CA0785">
        <w:rPr>
          <w:rStyle w:val="Refdecomentario"/>
          <w:rFonts w:asciiTheme="minorHAnsi" w:hAnsiTheme="minorHAnsi" w:cs="Tahoma"/>
          <w:sz w:val="52"/>
          <w:szCs w:val="28"/>
        </w:rPr>
        <w:commentReference w:id="1"/>
      </w:r>
      <w:commentRangeEnd w:id="2"/>
      <w:r w:rsidRPr="00CA0785">
        <w:rPr>
          <w:rStyle w:val="Refdecomentario"/>
          <w:rFonts w:asciiTheme="minorHAnsi" w:hAnsiTheme="minorHAnsi" w:cs="Tahoma"/>
          <w:sz w:val="52"/>
          <w:szCs w:val="28"/>
        </w:rPr>
        <w:commentReference w:id="2"/>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4878D15C" w14:textId="77777777" w:rsidTr="000757FF">
        <w:tc>
          <w:tcPr>
            <w:tcW w:w="4683" w:type="dxa"/>
            <w:vAlign w:val="center"/>
          </w:tcPr>
          <w:p w14:paraId="03508D4B" w14:textId="76E495F3"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 xml:space="preserve">Trabajo fin de </w:t>
            </w:r>
            <w:r w:rsidR="00F843DD">
              <w:rPr>
                <w:rFonts w:asciiTheme="majorHAnsi" w:hAnsiTheme="majorHAnsi" w:cs="Tahoma"/>
                <w:sz w:val="24"/>
                <w:szCs w:val="28"/>
              </w:rPr>
              <w:t>Estudio</w:t>
            </w:r>
            <w:r w:rsidRPr="00EF3680">
              <w:rPr>
                <w:rFonts w:asciiTheme="majorHAnsi" w:hAnsiTheme="majorHAnsi" w:cs="Tahoma"/>
                <w:sz w:val="24"/>
                <w:szCs w:val="28"/>
              </w:rPr>
              <w:t xml:space="preserve"> presentado por:</w:t>
            </w:r>
          </w:p>
        </w:tc>
        <w:tc>
          <w:tcPr>
            <w:tcW w:w="3830" w:type="dxa"/>
            <w:vAlign w:val="center"/>
          </w:tcPr>
          <w:p w14:paraId="44493B68" w14:textId="236D494E" w:rsidR="001C4EA4" w:rsidRPr="00EF3680" w:rsidRDefault="00EA449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Verónica Cabeza de Vaca Tocino</w:t>
            </w:r>
          </w:p>
        </w:tc>
      </w:tr>
      <w:tr w:rsidR="0045010B" w:rsidRPr="00CA0785" w14:paraId="16305541" w14:textId="77777777" w:rsidTr="000757FF">
        <w:tc>
          <w:tcPr>
            <w:tcW w:w="4683" w:type="dxa"/>
            <w:vAlign w:val="center"/>
          </w:tcPr>
          <w:p w14:paraId="5E049953" w14:textId="77777777" w:rsidR="0045010B" w:rsidRPr="00EF3680" w:rsidRDefault="0045010B" w:rsidP="0045010B">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7AFC5C" w14:textId="28A22F48" w:rsidR="0045010B" w:rsidRPr="00EF3680" w:rsidRDefault="0045010B" w:rsidP="0045010B">
            <w:pPr>
              <w:pStyle w:val="Sinespaciado"/>
              <w:spacing w:line="276" w:lineRule="auto"/>
              <w:rPr>
                <w:rFonts w:asciiTheme="majorHAnsi" w:hAnsiTheme="majorHAnsi" w:cs="Tahoma"/>
                <w:sz w:val="24"/>
                <w:szCs w:val="28"/>
              </w:rPr>
            </w:pPr>
            <w:r>
              <w:rPr>
                <w:rFonts w:asciiTheme="majorHAnsi" w:hAnsiTheme="majorHAnsi" w:cs="Tahoma"/>
                <w:sz w:val="24"/>
                <w:szCs w:val="28"/>
              </w:rPr>
              <w:t>A</w:t>
            </w:r>
            <w:r w:rsidRPr="00EA4496">
              <w:rPr>
                <w:rFonts w:asciiTheme="majorHAnsi" w:hAnsiTheme="majorHAnsi" w:cs="Tahoma"/>
                <w:sz w:val="24"/>
                <w:szCs w:val="28"/>
              </w:rPr>
              <w:t xml:space="preserve">nálisis de </w:t>
            </w:r>
            <w:r>
              <w:rPr>
                <w:rFonts w:asciiTheme="majorHAnsi" w:hAnsiTheme="majorHAnsi" w:cs="Tahoma"/>
                <w:sz w:val="24"/>
                <w:szCs w:val="28"/>
              </w:rPr>
              <w:t>D</w:t>
            </w:r>
            <w:r w:rsidRPr="00EA4496">
              <w:rPr>
                <w:rFonts w:asciiTheme="majorHAnsi" w:hAnsiTheme="majorHAnsi" w:cs="Tahoma"/>
                <w:sz w:val="24"/>
                <w:szCs w:val="28"/>
              </w:rPr>
              <w:t>atos</w:t>
            </w:r>
            <w:r>
              <w:rPr>
                <w:rFonts w:asciiTheme="majorHAnsi" w:hAnsiTheme="majorHAnsi" w:cs="Tahoma"/>
                <w:sz w:val="24"/>
                <w:szCs w:val="28"/>
              </w:rPr>
              <w:t xml:space="preserve"> (Tipo III)</w:t>
            </w:r>
          </w:p>
        </w:tc>
      </w:tr>
      <w:tr w:rsidR="001C4EA4" w:rsidRPr="00CA0785" w14:paraId="41A229E9" w14:textId="77777777" w:rsidTr="000757FF">
        <w:tc>
          <w:tcPr>
            <w:tcW w:w="4683"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5CFF1A55" w14:textId="1FA45F5E" w:rsidR="001C4EA4" w:rsidRPr="00EA4496" w:rsidRDefault="00EA4496" w:rsidP="000757FF">
            <w:pPr>
              <w:pStyle w:val="Sinespaciado"/>
              <w:spacing w:line="276" w:lineRule="auto"/>
              <w:rPr>
                <w:rFonts w:asciiTheme="majorHAnsi" w:hAnsiTheme="majorHAnsi" w:cs="Tahoma"/>
                <w:szCs w:val="28"/>
              </w:rPr>
            </w:pPr>
            <w:r w:rsidRPr="00EA4496">
              <w:rPr>
                <w:rFonts w:asciiTheme="majorHAnsi" w:hAnsiTheme="majorHAnsi" w:cs="Tahoma"/>
                <w:szCs w:val="28"/>
              </w:rPr>
              <w:t>V</w:t>
            </w:r>
            <w:r>
              <w:rPr>
                <w:rFonts w:asciiTheme="majorHAnsi" w:hAnsiTheme="majorHAnsi" w:cs="Tahoma"/>
                <w:szCs w:val="28"/>
              </w:rPr>
              <w:t>íctor Jesús Fernández Ramírez</w:t>
            </w: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63CBF931" w:rsidR="001C4EA4" w:rsidRPr="00EF3680" w:rsidRDefault="001C4EA4" w:rsidP="000757FF">
            <w:pPr>
              <w:pStyle w:val="Sinespaciado"/>
              <w:spacing w:line="276" w:lineRule="auto"/>
              <w:rPr>
                <w:rFonts w:asciiTheme="majorHAnsi" w:hAnsiTheme="majorHAnsi" w:cs="Tahoma"/>
                <w:sz w:val="24"/>
                <w:szCs w:val="28"/>
              </w:rPr>
            </w:pPr>
          </w:p>
        </w:tc>
      </w:tr>
    </w:tbl>
    <w:p w14:paraId="5A1FFC3E" w14:textId="7FC13AA7" w:rsidR="008544B8" w:rsidRDefault="008544B8" w:rsidP="006403BD">
      <w:pPr>
        <w:pStyle w:val="Ttulondices"/>
      </w:pPr>
      <w:r w:rsidRPr="00034DA4">
        <w:rPr>
          <w:szCs w:val="22"/>
        </w:rPr>
        <w:br w:type="page"/>
      </w:r>
      <w:r w:rsidR="00D92F3B">
        <w:lastRenderedPageBreak/>
        <w:t xml:space="preserve">Resumen </w:t>
      </w:r>
    </w:p>
    <w:p w14:paraId="181CC259" w14:textId="0C051C44" w:rsidR="008544B8" w:rsidRDefault="008544B8" w:rsidP="006403BD">
      <w:pPr>
        <w:rPr>
          <w:lang w:eastAsia="en-US"/>
        </w:rPr>
      </w:pPr>
      <w:r w:rsidRPr="001C2FB3">
        <w:rPr>
          <w:lang w:eastAsia="en-US"/>
        </w:rPr>
        <w:t xml:space="preserve">(Máximo </w:t>
      </w:r>
      <w:r w:rsidR="0045010B">
        <w:rPr>
          <w:lang w:eastAsia="en-US"/>
        </w:rPr>
        <w:t>150 [2</w:t>
      </w:r>
      <w:r w:rsidRPr="00F843DD">
        <w:rPr>
          <w:lang w:eastAsia="en-US"/>
        </w:rPr>
        <w:t>50</w:t>
      </w:r>
      <w:r w:rsidR="0045010B">
        <w:rPr>
          <w:lang w:eastAsia="en-US"/>
        </w:rPr>
        <w:t xml:space="preserve"> según Víctor]</w:t>
      </w:r>
      <w:r w:rsidRPr="00F843DD">
        <w:rPr>
          <w:lang w:eastAsia="en-US"/>
        </w:rPr>
        <w:t xml:space="preserve"> palabras)</w:t>
      </w:r>
    </w:p>
    <w:p w14:paraId="0D7D8B19" w14:textId="77777777" w:rsidR="00ED1546" w:rsidRPr="001C2FB3" w:rsidRDefault="00ED1546" w:rsidP="006403BD">
      <w:pPr>
        <w:rPr>
          <w:lang w:eastAsia="en-US"/>
        </w:rPr>
      </w:pPr>
    </w:p>
    <w:p w14:paraId="3AF5F4A7" w14:textId="45CF7031" w:rsidR="008544B8" w:rsidRPr="001C2FB3" w:rsidRDefault="008544B8" w:rsidP="006403BD">
      <w:pPr>
        <w:rPr>
          <w:lang w:eastAsia="en-US"/>
        </w:rPr>
      </w:pPr>
      <w:r w:rsidRPr="00ED1546">
        <w:rPr>
          <w:b/>
          <w:lang w:eastAsia="en-US"/>
        </w:rPr>
        <w:t>Palabras clave:</w:t>
      </w:r>
      <w:r w:rsidRPr="001C2FB3">
        <w:rPr>
          <w:lang w:eastAsia="en-US"/>
        </w:rPr>
        <w:t xml:space="preserve"> (Máximo </w:t>
      </w:r>
      <w:r w:rsidR="00797AFE">
        <w:rPr>
          <w:lang w:eastAsia="en-US"/>
        </w:rPr>
        <w:t>3</w:t>
      </w:r>
      <w:r w:rsidRPr="001C2FB3">
        <w:rPr>
          <w:lang w:eastAsia="en-US"/>
        </w:rPr>
        <w:t xml:space="preserve"> palabras)</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3" w:name="_Toc437509152"/>
      <w:r>
        <w:rPr>
          <w:lang w:eastAsia="en-US"/>
        </w:rPr>
        <w:br w:type="page"/>
      </w:r>
    </w:p>
    <w:p w14:paraId="669DBB93" w14:textId="77777777" w:rsidR="00D92F3B" w:rsidRDefault="00D92F3B" w:rsidP="00D92F3B">
      <w:pPr>
        <w:pStyle w:val="Ttulondices"/>
      </w:pPr>
      <w:r>
        <w:lastRenderedPageBreak/>
        <w:t>Abstract</w:t>
      </w:r>
    </w:p>
    <w:p w14:paraId="2EC983CA" w14:textId="77777777" w:rsidR="00D92F3B" w:rsidRDefault="00D92F3B" w:rsidP="00194057"/>
    <w:p w14:paraId="1F5119FE" w14:textId="77777777" w:rsidR="00D92F3B" w:rsidRDefault="00D92F3B" w:rsidP="00194057"/>
    <w:p w14:paraId="5043D940" w14:textId="4C98F3E9" w:rsidR="001C2FB3" w:rsidRDefault="00D92F3B">
      <w:r w:rsidRPr="00194057">
        <w:rPr>
          <w:b/>
          <w:bCs/>
        </w:rPr>
        <w:t>Keywords</w:t>
      </w:r>
      <w:r>
        <w:t xml:space="preserve">: </w:t>
      </w:r>
      <w:r w:rsidR="001C2FB3">
        <w:br w:type="page"/>
      </w:r>
    </w:p>
    <w:bookmarkEnd w:id="3"/>
    <w:p w14:paraId="37509664" w14:textId="52E8292E" w:rsidR="008544B8" w:rsidRDefault="007B76BF" w:rsidP="006403BD">
      <w:pPr>
        <w:pStyle w:val="Ttulondices"/>
      </w:pPr>
      <w:r>
        <w:lastRenderedPageBreak/>
        <w:t xml:space="preserve">Índice </w:t>
      </w:r>
      <w:r w:rsidR="00FA21E3">
        <w:t>de contenidos</w:t>
      </w:r>
    </w:p>
    <w:p w14:paraId="5E5D37BD" w14:textId="2978405A" w:rsidR="00FA10CF"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30635965" w:history="1">
        <w:r w:rsidR="00FA10CF" w:rsidRPr="00A51CCB">
          <w:rPr>
            <w:rStyle w:val="Hipervnculo"/>
            <w:noProof/>
          </w:rPr>
          <w:t>1.</w:t>
        </w:r>
        <w:r w:rsidR="00FA10CF">
          <w:rPr>
            <w:rFonts w:eastAsiaTheme="minorEastAsia" w:cstheme="minorBidi"/>
            <w:noProof/>
            <w:kern w:val="2"/>
            <w14:ligatures w14:val="standardContextual"/>
          </w:rPr>
          <w:tab/>
        </w:r>
        <w:r w:rsidR="00FA10CF" w:rsidRPr="00A51CCB">
          <w:rPr>
            <w:rStyle w:val="Hipervnculo"/>
            <w:noProof/>
          </w:rPr>
          <w:t>Introducción</w:t>
        </w:r>
        <w:r w:rsidR="00FA10CF">
          <w:rPr>
            <w:noProof/>
            <w:webHidden/>
          </w:rPr>
          <w:tab/>
        </w:r>
        <w:r w:rsidR="00FA10CF">
          <w:rPr>
            <w:noProof/>
            <w:webHidden/>
          </w:rPr>
          <w:fldChar w:fldCharType="begin"/>
        </w:r>
        <w:r w:rsidR="00FA10CF">
          <w:rPr>
            <w:noProof/>
            <w:webHidden/>
          </w:rPr>
          <w:instrText xml:space="preserve"> PAGEREF _Toc230635965 \h </w:instrText>
        </w:r>
        <w:r w:rsidR="00FA10CF">
          <w:rPr>
            <w:noProof/>
            <w:webHidden/>
          </w:rPr>
        </w:r>
        <w:r w:rsidR="00FA10CF">
          <w:rPr>
            <w:noProof/>
            <w:webHidden/>
          </w:rPr>
          <w:fldChar w:fldCharType="separate"/>
        </w:r>
        <w:r w:rsidR="00FA10CF">
          <w:rPr>
            <w:noProof/>
            <w:webHidden/>
          </w:rPr>
          <w:t>8</w:t>
        </w:r>
        <w:r w:rsidR="00FA10CF">
          <w:rPr>
            <w:noProof/>
            <w:webHidden/>
          </w:rPr>
          <w:fldChar w:fldCharType="end"/>
        </w:r>
      </w:hyperlink>
    </w:p>
    <w:p w14:paraId="39302C38" w14:textId="71212E75"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66" w:history="1">
        <w:r w:rsidRPr="00A51CCB">
          <w:rPr>
            <w:rStyle w:val="Hipervnculo"/>
            <w:noProof/>
          </w:rPr>
          <w:t>1.1.</w:t>
        </w:r>
        <w:r>
          <w:rPr>
            <w:rFonts w:eastAsiaTheme="minorEastAsia" w:cstheme="minorBidi"/>
            <w:noProof/>
            <w:kern w:val="2"/>
            <w14:ligatures w14:val="standardContextual"/>
          </w:rPr>
          <w:tab/>
        </w:r>
        <w:r w:rsidRPr="00A51CCB">
          <w:rPr>
            <w:rStyle w:val="Hipervnculo"/>
            <w:noProof/>
          </w:rPr>
          <w:t>Justificación</w:t>
        </w:r>
        <w:r>
          <w:rPr>
            <w:noProof/>
            <w:webHidden/>
          </w:rPr>
          <w:tab/>
        </w:r>
        <w:r>
          <w:rPr>
            <w:noProof/>
            <w:webHidden/>
          </w:rPr>
          <w:fldChar w:fldCharType="begin"/>
        </w:r>
        <w:r>
          <w:rPr>
            <w:noProof/>
            <w:webHidden/>
          </w:rPr>
          <w:instrText xml:space="preserve"> PAGEREF _Toc230635966 \h </w:instrText>
        </w:r>
        <w:r>
          <w:rPr>
            <w:noProof/>
            <w:webHidden/>
          </w:rPr>
        </w:r>
        <w:r>
          <w:rPr>
            <w:noProof/>
            <w:webHidden/>
          </w:rPr>
          <w:fldChar w:fldCharType="separate"/>
        </w:r>
        <w:r>
          <w:rPr>
            <w:noProof/>
            <w:webHidden/>
          </w:rPr>
          <w:t>8</w:t>
        </w:r>
        <w:r>
          <w:rPr>
            <w:noProof/>
            <w:webHidden/>
          </w:rPr>
          <w:fldChar w:fldCharType="end"/>
        </w:r>
      </w:hyperlink>
    </w:p>
    <w:p w14:paraId="081D4307" w14:textId="22137043"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67" w:history="1">
        <w:r w:rsidRPr="00A51CCB">
          <w:rPr>
            <w:rStyle w:val="Hipervnculo"/>
            <w:noProof/>
          </w:rPr>
          <w:t>1.2.</w:t>
        </w:r>
        <w:r>
          <w:rPr>
            <w:rFonts w:eastAsiaTheme="minorEastAsia" w:cstheme="minorBidi"/>
            <w:noProof/>
            <w:kern w:val="2"/>
            <w14:ligatures w14:val="standardContextual"/>
          </w:rPr>
          <w:tab/>
        </w:r>
        <w:r w:rsidRPr="00A51CCB">
          <w:rPr>
            <w:rStyle w:val="Hipervnculo"/>
            <w:noProof/>
          </w:rPr>
          <w:t>Planteamiento del Problema</w:t>
        </w:r>
        <w:r>
          <w:rPr>
            <w:noProof/>
            <w:webHidden/>
          </w:rPr>
          <w:tab/>
        </w:r>
        <w:r>
          <w:rPr>
            <w:noProof/>
            <w:webHidden/>
          </w:rPr>
          <w:fldChar w:fldCharType="begin"/>
        </w:r>
        <w:r>
          <w:rPr>
            <w:noProof/>
            <w:webHidden/>
          </w:rPr>
          <w:instrText xml:space="preserve"> PAGEREF _Toc230635967 \h </w:instrText>
        </w:r>
        <w:r>
          <w:rPr>
            <w:noProof/>
            <w:webHidden/>
          </w:rPr>
        </w:r>
        <w:r>
          <w:rPr>
            <w:noProof/>
            <w:webHidden/>
          </w:rPr>
          <w:fldChar w:fldCharType="separate"/>
        </w:r>
        <w:r>
          <w:rPr>
            <w:noProof/>
            <w:webHidden/>
          </w:rPr>
          <w:t>8</w:t>
        </w:r>
        <w:r>
          <w:rPr>
            <w:noProof/>
            <w:webHidden/>
          </w:rPr>
          <w:fldChar w:fldCharType="end"/>
        </w:r>
      </w:hyperlink>
    </w:p>
    <w:p w14:paraId="65A11F7C" w14:textId="7E52D261"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68" w:history="1">
        <w:r w:rsidRPr="00A51CCB">
          <w:rPr>
            <w:rStyle w:val="Hipervnculo"/>
            <w:noProof/>
          </w:rPr>
          <w:t>1.3.</w:t>
        </w:r>
        <w:r>
          <w:rPr>
            <w:rFonts w:eastAsiaTheme="minorEastAsia" w:cstheme="minorBidi"/>
            <w:noProof/>
            <w:kern w:val="2"/>
            <w14:ligatures w14:val="standardContextual"/>
          </w:rPr>
          <w:tab/>
        </w:r>
        <w:r w:rsidRPr="00A51CCB">
          <w:rPr>
            <w:rStyle w:val="Hipervnculo"/>
            <w:noProof/>
          </w:rPr>
          <w:t>Objetivos del Estudio</w:t>
        </w:r>
        <w:r>
          <w:rPr>
            <w:noProof/>
            <w:webHidden/>
          </w:rPr>
          <w:tab/>
        </w:r>
        <w:r>
          <w:rPr>
            <w:noProof/>
            <w:webHidden/>
          </w:rPr>
          <w:fldChar w:fldCharType="begin"/>
        </w:r>
        <w:r>
          <w:rPr>
            <w:noProof/>
            <w:webHidden/>
          </w:rPr>
          <w:instrText xml:space="preserve"> PAGEREF _Toc230635968 \h </w:instrText>
        </w:r>
        <w:r>
          <w:rPr>
            <w:noProof/>
            <w:webHidden/>
          </w:rPr>
        </w:r>
        <w:r>
          <w:rPr>
            <w:noProof/>
            <w:webHidden/>
          </w:rPr>
          <w:fldChar w:fldCharType="separate"/>
        </w:r>
        <w:r>
          <w:rPr>
            <w:noProof/>
            <w:webHidden/>
          </w:rPr>
          <w:t>8</w:t>
        </w:r>
        <w:r>
          <w:rPr>
            <w:noProof/>
            <w:webHidden/>
          </w:rPr>
          <w:fldChar w:fldCharType="end"/>
        </w:r>
      </w:hyperlink>
    </w:p>
    <w:p w14:paraId="7141BDDF" w14:textId="09A868B4" w:rsidR="00FA10CF" w:rsidRDefault="00FA10CF">
      <w:pPr>
        <w:pStyle w:val="TDC1"/>
        <w:tabs>
          <w:tab w:val="left" w:pos="440"/>
          <w:tab w:val="right" w:leader="dot" w:pos="9061"/>
        </w:tabs>
        <w:rPr>
          <w:rFonts w:eastAsiaTheme="minorEastAsia" w:cstheme="minorBidi"/>
          <w:noProof/>
          <w:kern w:val="2"/>
          <w14:ligatures w14:val="standardContextual"/>
        </w:rPr>
      </w:pPr>
      <w:hyperlink w:anchor="_Toc230635969" w:history="1">
        <w:r w:rsidRPr="00A51CCB">
          <w:rPr>
            <w:rStyle w:val="Hipervnculo"/>
            <w:noProof/>
          </w:rPr>
          <w:t>2.</w:t>
        </w:r>
        <w:r>
          <w:rPr>
            <w:rFonts w:eastAsiaTheme="minorEastAsia" w:cstheme="minorBidi"/>
            <w:noProof/>
            <w:kern w:val="2"/>
            <w14:ligatures w14:val="standardContextual"/>
          </w:rPr>
          <w:tab/>
        </w:r>
        <w:r w:rsidRPr="00A51CCB">
          <w:rPr>
            <w:rStyle w:val="Hipervnculo"/>
            <w:noProof/>
          </w:rPr>
          <w:t>Marco teórico</w:t>
        </w:r>
        <w:r>
          <w:rPr>
            <w:noProof/>
            <w:webHidden/>
          </w:rPr>
          <w:tab/>
        </w:r>
        <w:r>
          <w:rPr>
            <w:noProof/>
            <w:webHidden/>
          </w:rPr>
          <w:fldChar w:fldCharType="begin"/>
        </w:r>
        <w:r>
          <w:rPr>
            <w:noProof/>
            <w:webHidden/>
          </w:rPr>
          <w:instrText xml:space="preserve"> PAGEREF _Toc230635969 \h </w:instrText>
        </w:r>
        <w:r>
          <w:rPr>
            <w:noProof/>
            <w:webHidden/>
          </w:rPr>
        </w:r>
        <w:r>
          <w:rPr>
            <w:noProof/>
            <w:webHidden/>
          </w:rPr>
          <w:fldChar w:fldCharType="separate"/>
        </w:r>
        <w:r>
          <w:rPr>
            <w:noProof/>
            <w:webHidden/>
          </w:rPr>
          <w:t>9</w:t>
        </w:r>
        <w:r>
          <w:rPr>
            <w:noProof/>
            <w:webHidden/>
          </w:rPr>
          <w:fldChar w:fldCharType="end"/>
        </w:r>
      </w:hyperlink>
    </w:p>
    <w:p w14:paraId="021E0E73" w14:textId="6051C11A"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70" w:history="1">
        <w:r w:rsidRPr="00A51CCB">
          <w:rPr>
            <w:rStyle w:val="Hipervnculo"/>
            <w:noProof/>
          </w:rPr>
          <w:t>2.1.</w:t>
        </w:r>
        <w:r>
          <w:rPr>
            <w:rFonts w:eastAsiaTheme="minorEastAsia" w:cstheme="minorBidi"/>
            <w:noProof/>
            <w:kern w:val="2"/>
            <w14:ligatures w14:val="standardContextual"/>
          </w:rPr>
          <w:tab/>
        </w:r>
        <w:r w:rsidRPr="00A51CCB">
          <w:rPr>
            <w:rStyle w:val="Hipervnculo"/>
            <w:noProof/>
          </w:rPr>
          <w:t>El Adenocarcinoma Colorrectal (CRC)</w:t>
        </w:r>
        <w:r>
          <w:rPr>
            <w:noProof/>
            <w:webHidden/>
          </w:rPr>
          <w:tab/>
        </w:r>
        <w:r>
          <w:rPr>
            <w:noProof/>
            <w:webHidden/>
          </w:rPr>
          <w:fldChar w:fldCharType="begin"/>
        </w:r>
        <w:r>
          <w:rPr>
            <w:noProof/>
            <w:webHidden/>
          </w:rPr>
          <w:instrText xml:space="preserve"> PAGEREF _Toc230635970 \h </w:instrText>
        </w:r>
        <w:r>
          <w:rPr>
            <w:noProof/>
            <w:webHidden/>
          </w:rPr>
        </w:r>
        <w:r>
          <w:rPr>
            <w:noProof/>
            <w:webHidden/>
          </w:rPr>
          <w:fldChar w:fldCharType="separate"/>
        </w:r>
        <w:r>
          <w:rPr>
            <w:noProof/>
            <w:webHidden/>
          </w:rPr>
          <w:t>9</w:t>
        </w:r>
        <w:r>
          <w:rPr>
            <w:noProof/>
            <w:webHidden/>
          </w:rPr>
          <w:fldChar w:fldCharType="end"/>
        </w:r>
      </w:hyperlink>
    </w:p>
    <w:p w14:paraId="561CFDC2" w14:textId="67710B79"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71" w:history="1">
        <w:r w:rsidRPr="00A51CCB">
          <w:rPr>
            <w:rStyle w:val="Hipervnculo"/>
            <w:noProof/>
          </w:rPr>
          <w:t>2.2.</w:t>
        </w:r>
        <w:r>
          <w:rPr>
            <w:rFonts w:eastAsiaTheme="minorEastAsia" w:cstheme="minorBidi"/>
            <w:noProof/>
            <w:kern w:val="2"/>
            <w14:ligatures w14:val="standardContextual"/>
          </w:rPr>
          <w:tab/>
        </w:r>
        <w:r w:rsidRPr="00A51CCB">
          <w:rPr>
            <w:rStyle w:val="Hipervnculo"/>
            <w:noProof/>
          </w:rPr>
          <w:t>Bioinformática y Transcriptómica</w:t>
        </w:r>
        <w:r>
          <w:rPr>
            <w:noProof/>
            <w:webHidden/>
          </w:rPr>
          <w:tab/>
        </w:r>
        <w:r>
          <w:rPr>
            <w:noProof/>
            <w:webHidden/>
          </w:rPr>
          <w:fldChar w:fldCharType="begin"/>
        </w:r>
        <w:r>
          <w:rPr>
            <w:noProof/>
            <w:webHidden/>
          </w:rPr>
          <w:instrText xml:space="preserve"> PAGEREF _Toc230635971 \h </w:instrText>
        </w:r>
        <w:r>
          <w:rPr>
            <w:noProof/>
            <w:webHidden/>
          </w:rPr>
        </w:r>
        <w:r>
          <w:rPr>
            <w:noProof/>
            <w:webHidden/>
          </w:rPr>
          <w:fldChar w:fldCharType="separate"/>
        </w:r>
        <w:r>
          <w:rPr>
            <w:noProof/>
            <w:webHidden/>
          </w:rPr>
          <w:t>10</w:t>
        </w:r>
        <w:r>
          <w:rPr>
            <w:noProof/>
            <w:webHidden/>
          </w:rPr>
          <w:fldChar w:fldCharType="end"/>
        </w:r>
      </w:hyperlink>
    </w:p>
    <w:p w14:paraId="313FED39" w14:textId="74C52548"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72" w:history="1">
        <w:r w:rsidRPr="00A51CCB">
          <w:rPr>
            <w:rStyle w:val="Hipervnculo"/>
            <w:noProof/>
          </w:rPr>
          <w:t>2.3.</w:t>
        </w:r>
        <w:r>
          <w:rPr>
            <w:rFonts w:eastAsiaTheme="minorEastAsia" w:cstheme="minorBidi"/>
            <w:noProof/>
            <w:kern w:val="2"/>
            <w14:ligatures w14:val="standardContextual"/>
          </w:rPr>
          <w:tab/>
        </w:r>
        <w:r w:rsidRPr="00A51CCB">
          <w:rPr>
            <w:rStyle w:val="Hipervnculo"/>
            <w:noProof/>
          </w:rPr>
          <w:t>Análisis de Expresión Diferencial</w:t>
        </w:r>
        <w:r>
          <w:rPr>
            <w:noProof/>
            <w:webHidden/>
          </w:rPr>
          <w:tab/>
        </w:r>
        <w:r>
          <w:rPr>
            <w:noProof/>
            <w:webHidden/>
          </w:rPr>
          <w:fldChar w:fldCharType="begin"/>
        </w:r>
        <w:r>
          <w:rPr>
            <w:noProof/>
            <w:webHidden/>
          </w:rPr>
          <w:instrText xml:space="preserve"> PAGEREF _Toc230635972 \h </w:instrText>
        </w:r>
        <w:r>
          <w:rPr>
            <w:noProof/>
            <w:webHidden/>
          </w:rPr>
        </w:r>
        <w:r>
          <w:rPr>
            <w:noProof/>
            <w:webHidden/>
          </w:rPr>
          <w:fldChar w:fldCharType="separate"/>
        </w:r>
        <w:r>
          <w:rPr>
            <w:noProof/>
            <w:webHidden/>
          </w:rPr>
          <w:t>10</w:t>
        </w:r>
        <w:r>
          <w:rPr>
            <w:noProof/>
            <w:webHidden/>
          </w:rPr>
          <w:fldChar w:fldCharType="end"/>
        </w:r>
      </w:hyperlink>
    </w:p>
    <w:p w14:paraId="7C7C63D8" w14:textId="4F26DD91"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73" w:history="1">
        <w:r w:rsidRPr="00A51CCB">
          <w:rPr>
            <w:rStyle w:val="Hipervnculo"/>
            <w:noProof/>
          </w:rPr>
          <w:t>2.4.</w:t>
        </w:r>
        <w:r>
          <w:rPr>
            <w:rFonts w:eastAsiaTheme="minorEastAsia" w:cstheme="minorBidi"/>
            <w:noProof/>
            <w:kern w:val="2"/>
            <w14:ligatures w14:val="standardContextual"/>
          </w:rPr>
          <w:tab/>
        </w:r>
        <w:r w:rsidRPr="00A51CCB">
          <w:rPr>
            <w:rStyle w:val="Hipervnculo"/>
            <w:noProof/>
          </w:rPr>
          <w:t>Anotación y Ontología Génica (GO)</w:t>
        </w:r>
        <w:r>
          <w:rPr>
            <w:noProof/>
            <w:webHidden/>
          </w:rPr>
          <w:tab/>
        </w:r>
        <w:r>
          <w:rPr>
            <w:noProof/>
            <w:webHidden/>
          </w:rPr>
          <w:fldChar w:fldCharType="begin"/>
        </w:r>
        <w:r>
          <w:rPr>
            <w:noProof/>
            <w:webHidden/>
          </w:rPr>
          <w:instrText xml:space="preserve"> PAGEREF _Toc230635973 \h </w:instrText>
        </w:r>
        <w:r>
          <w:rPr>
            <w:noProof/>
            <w:webHidden/>
          </w:rPr>
        </w:r>
        <w:r>
          <w:rPr>
            <w:noProof/>
            <w:webHidden/>
          </w:rPr>
          <w:fldChar w:fldCharType="separate"/>
        </w:r>
        <w:r>
          <w:rPr>
            <w:noProof/>
            <w:webHidden/>
          </w:rPr>
          <w:t>10</w:t>
        </w:r>
        <w:r>
          <w:rPr>
            <w:noProof/>
            <w:webHidden/>
          </w:rPr>
          <w:fldChar w:fldCharType="end"/>
        </w:r>
      </w:hyperlink>
    </w:p>
    <w:p w14:paraId="4B0F41E4" w14:textId="53F5AFDF" w:rsidR="00FA10CF" w:rsidRDefault="00FA10CF">
      <w:pPr>
        <w:pStyle w:val="TDC1"/>
        <w:tabs>
          <w:tab w:val="left" w:pos="440"/>
          <w:tab w:val="right" w:leader="dot" w:pos="9061"/>
        </w:tabs>
        <w:rPr>
          <w:rFonts w:eastAsiaTheme="minorEastAsia" w:cstheme="minorBidi"/>
          <w:noProof/>
          <w:kern w:val="2"/>
          <w14:ligatures w14:val="standardContextual"/>
        </w:rPr>
      </w:pPr>
      <w:hyperlink w:anchor="_Toc230635974" w:history="1">
        <w:r w:rsidRPr="00A51CCB">
          <w:rPr>
            <w:rStyle w:val="Hipervnculo"/>
            <w:noProof/>
          </w:rPr>
          <w:t>3.</w:t>
        </w:r>
        <w:r>
          <w:rPr>
            <w:rFonts w:eastAsiaTheme="minorEastAsia" w:cstheme="minorBidi"/>
            <w:noProof/>
            <w:kern w:val="2"/>
            <w14:ligatures w14:val="standardContextual"/>
          </w:rPr>
          <w:tab/>
        </w:r>
        <w:r w:rsidRPr="00A51CCB">
          <w:rPr>
            <w:rStyle w:val="Hipervnculo"/>
            <w:noProof/>
          </w:rPr>
          <w:t>Metodología</w:t>
        </w:r>
        <w:r>
          <w:rPr>
            <w:noProof/>
            <w:webHidden/>
          </w:rPr>
          <w:tab/>
        </w:r>
        <w:r>
          <w:rPr>
            <w:noProof/>
            <w:webHidden/>
          </w:rPr>
          <w:fldChar w:fldCharType="begin"/>
        </w:r>
        <w:r>
          <w:rPr>
            <w:noProof/>
            <w:webHidden/>
          </w:rPr>
          <w:instrText xml:space="preserve"> PAGEREF _Toc230635974 \h </w:instrText>
        </w:r>
        <w:r>
          <w:rPr>
            <w:noProof/>
            <w:webHidden/>
          </w:rPr>
        </w:r>
        <w:r>
          <w:rPr>
            <w:noProof/>
            <w:webHidden/>
          </w:rPr>
          <w:fldChar w:fldCharType="separate"/>
        </w:r>
        <w:r>
          <w:rPr>
            <w:noProof/>
            <w:webHidden/>
          </w:rPr>
          <w:t>11</w:t>
        </w:r>
        <w:r>
          <w:rPr>
            <w:noProof/>
            <w:webHidden/>
          </w:rPr>
          <w:fldChar w:fldCharType="end"/>
        </w:r>
      </w:hyperlink>
    </w:p>
    <w:p w14:paraId="235F9B60" w14:textId="3A8C1C94"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75" w:history="1">
        <w:r w:rsidRPr="00A51CCB">
          <w:rPr>
            <w:rStyle w:val="Hipervnculo"/>
            <w:noProof/>
          </w:rPr>
          <w:t>3.1.</w:t>
        </w:r>
        <w:r>
          <w:rPr>
            <w:rFonts w:eastAsiaTheme="minorEastAsia" w:cstheme="minorBidi"/>
            <w:noProof/>
            <w:kern w:val="2"/>
            <w14:ligatures w14:val="standardContextual"/>
          </w:rPr>
          <w:tab/>
        </w:r>
        <w:r w:rsidRPr="00A51CCB">
          <w:rPr>
            <w:rStyle w:val="Hipervnculo"/>
            <w:noProof/>
          </w:rPr>
          <w:t>Obtención de los Datos y Criterios de Selección</w:t>
        </w:r>
        <w:r>
          <w:rPr>
            <w:noProof/>
            <w:webHidden/>
          </w:rPr>
          <w:tab/>
        </w:r>
        <w:r>
          <w:rPr>
            <w:noProof/>
            <w:webHidden/>
          </w:rPr>
          <w:fldChar w:fldCharType="begin"/>
        </w:r>
        <w:r>
          <w:rPr>
            <w:noProof/>
            <w:webHidden/>
          </w:rPr>
          <w:instrText xml:space="preserve"> PAGEREF _Toc230635975 \h </w:instrText>
        </w:r>
        <w:r>
          <w:rPr>
            <w:noProof/>
            <w:webHidden/>
          </w:rPr>
        </w:r>
        <w:r>
          <w:rPr>
            <w:noProof/>
            <w:webHidden/>
          </w:rPr>
          <w:fldChar w:fldCharType="separate"/>
        </w:r>
        <w:r>
          <w:rPr>
            <w:noProof/>
            <w:webHidden/>
          </w:rPr>
          <w:t>11</w:t>
        </w:r>
        <w:r>
          <w:rPr>
            <w:noProof/>
            <w:webHidden/>
          </w:rPr>
          <w:fldChar w:fldCharType="end"/>
        </w:r>
      </w:hyperlink>
    </w:p>
    <w:p w14:paraId="25D879A9" w14:textId="786FDDA3"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5976" w:history="1">
        <w:r w:rsidRPr="00A51CCB">
          <w:rPr>
            <w:rStyle w:val="Hipervnculo"/>
            <w:noProof/>
          </w:rPr>
          <w:t>3.1.1.</w:t>
        </w:r>
        <w:r>
          <w:rPr>
            <w:rFonts w:eastAsiaTheme="minorEastAsia" w:cstheme="minorBidi"/>
            <w:noProof/>
            <w:kern w:val="2"/>
            <w14:ligatures w14:val="standardContextual"/>
          </w:rPr>
          <w:tab/>
        </w:r>
        <w:r w:rsidRPr="00A51CCB">
          <w:rPr>
            <w:rStyle w:val="Hipervnculo"/>
            <w:noProof/>
          </w:rPr>
          <w:t>Fuente de datos</w:t>
        </w:r>
        <w:r>
          <w:rPr>
            <w:noProof/>
            <w:webHidden/>
          </w:rPr>
          <w:tab/>
        </w:r>
        <w:r>
          <w:rPr>
            <w:noProof/>
            <w:webHidden/>
          </w:rPr>
          <w:fldChar w:fldCharType="begin"/>
        </w:r>
        <w:r>
          <w:rPr>
            <w:noProof/>
            <w:webHidden/>
          </w:rPr>
          <w:instrText xml:space="preserve"> PAGEREF _Toc230635976 \h </w:instrText>
        </w:r>
        <w:r>
          <w:rPr>
            <w:noProof/>
            <w:webHidden/>
          </w:rPr>
        </w:r>
        <w:r>
          <w:rPr>
            <w:noProof/>
            <w:webHidden/>
          </w:rPr>
          <w:fldChar w:fldCharType="separate"/>
        </w:r>
        <w:r>
          <w:rPr>
            <w:noProof/>
            <w:webHidden/>
          </w:rPr>
          <w:t>11</w:t>
        </w:r>
        <w:r>
          <w:rPr>
            <w:noProof/>
            <w:webHidden/>
          </w:rPr>
          <w:fldChar w:fldCharType="end"/>
        </w:r>
      </w:hyperlink>
    </w:p>
    <w:p w14:paraId="7CBFFC51" w14:textId="1065073D"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5977" w:history="1">
        <w:r w:rsidRPr="00A51CCB">
          <w:rPr>
            <w:rStyle w:val="Hipervnculo"/>
            <w:noProof/>
          </w:rPr>
          <w:t>3.1.2.</w:t>
        </w:r>
        <w:r>
          <w:rPr>
            <w:rFonts w:eastAsiaTheme="minorEastAsia" w:cstheme="minorBidi"/>
            <w:noProof/>
            <w:kern w:val="2"/>
            <w14:ligatures w14:val="standardContextual"/>
          </w:rPr>
          <w:tab/>
        </w:r>
        <w:r w:rsidRPr="00A51CCB">
          <w:rPr>
            <w:rStyle w:val="Hipervnculo"/>
            <w:noProof/>
          </w:rPr>
          <w:t>Descripción de la cohorte</w:t>
        </w:r>
        <w:r>
          <w:rPr>
            <w:noProof/>
            <w:webHidden/>
          </w:rPr>
          <w:tab/>
        </w:r>
        <w:r>
          <w:rPr>
            <w:noProof/>
            <w:webHidden/>
          </w:rPr>
          <w:fldChar w:fldCharType="begin"/>
        </w:r>
        <w:r>
          <w:rPr>
            <w:noProof/>
            <w:webHidden/>
          </w:rPr>
          <w:instrText xml:space="preserve"> PAGEREF _Toc230635977 \h </w:instrText>
        </w:r>
        <w:r>
          <w:rPr>
            <w:noProof/>
            <w:webHidden/>
          </w:rPr>
        </w:r>
        <w:r>
          <w:rPr>
            <w:noProof/>
            <w:webHidden/>
          </w:rPr>
          <w:fldChar w:fldCharType="separate"/>
        </w:r>
        <w:r>
          <w:rPr>
            <w:noProof/>
            <w:webHidden/>
          </w:rPr>
          <w:t>15</w:t>
        </w:r>
        <w:r>
          <w:rPr>
            <w:noProof/>
            <w:webHidden/>
          </w:rPr>
          <w:fldChar w:fldCharType="end"/>
        </w:r>
      </w:hyperlink>
    </w:p>
    <w:p w14:paraId="6C3FAAE8" w14:textId="5DA162B7"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78" w:history="1">
        <w:r w:rsidRPr="00A51CCB">
          <w:rPr>
            <w:rStyle w:val="Hipervnculo"/>
            <w:noProof/>
          </w:rPr>
          <w:t>3.2.</w:t>
        </w:r>
        <w:r>
          <w:rPr>
            <w:rFonts w:eastAsiaTheme="minorEastAsia" w:cstheme="minorBidi"/>
            <w:noProof/>
            <w:kern w:val="2"/>
            <w14:ligatures w14:val="standardContextual"/>
          </w:rPr>
          <w:tab/>
        </w:r>
        <w:r w:rsidRPr="00A51CCB">
          <w:rPr>
            <w:rStyle w:val="Hipervnculo"/>
            <w:noProof/>
          </w:rPr>
          <w:t>Análisis Exploratorio Inicial y Control de Calidad de los Conteos Crudos</w:t>
        </w:r>
        <w:r>
          <w:rPr>
            <w:noProof/>
            <w:webHidden/>
          </w:rPr>
          <w:tab/>
        </w:r>
        <w:r>
          <w:rPr>
            <w:noProof/>
            <w:webHidden/>
          </w:rPr>
          <w:fldChar w:fldCharType="begin"/>
        </w:r>
        <w:r>
          <w:rPr>
            <w:noProof/>
            <w:webHidden/>
          </w:rPr>
          <w:instrText xml:space="preserve"> PAGEREF _Toc230635978 \h </w:instrText>
        </w:r>
        <w:r>
          <w:rPr>
            <w:noProof/>
            <w:webHidden/>
          </w:rPr>
        </w:r>
        <w:r>
          <w:rPr>
            <w:noProof/>
            <w:webHidden/>
          </w:rPr>
          <w:fldChar w:fldCharType="separate"/>
        </w:r>
        <w:r>
          <w:rPr>
            <w:noProof/>
            <w:webHidden/>
          </w:rPr>
          <w:t>16</w:t>
        </w:r>
        <w:r>
          <w:rPr>
            <w:noProof/>
            <w:webHidden/>
          </w:rPr>
          <w:fldChar w:fldCharType="end"/>
        </w:r>
      </w:hyperlink>
    </w:p>
    <w:p w14:paraId="618C6D4E" w14:textId="3B0EB160"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79" w:history="1">
        <w:r w:rsidRPr="00A51CCB">
          <w:rPr>
            <w:rStyle w:val="Hipervnculo"/>
            <w:noProof/>
          </w:rPr>
          <w:t>3.3.</w:t>
        </w:r>
        <w:r>
          <w:rPr>
            <w:rFonts w:eastAsiaTheme="minorEastAsia" w:cstheme="minorBidi"/>
            <w:noProof/>
            <w:kern w:val="2"/>
            <w14:ligatures w14:val="standardContextual"/>
          </w:rPr>
          <w:tab/>
        </w:r>
        <w:r w:rsidRPr="00A51CCB">
          <w:rPr>
            <w:rStyle w:val="Hipervnculo"/>
            <w:noProof/>
          </w:rPr>
          <w:t xml:space="preserve">Modelado Estadístico y Normalización Transcriptómica mediante </w:t>
        </w:r>
        <w:r w:rsidRPr="00A51CCB">
          <w:rPr>
            <w:rStyle w:val="Hipervnculo"/>
            <w:i/>
            <w:noProof/>
          </w:rPr>
          <w:t>DESeq2</w:t>
        </w:r>
        <w:r>
          <w:rPr>
            <w:noProof/>
            <w:webHidden/>
          </w:rPr>
          <w:tab/>
        </w:r>
        <w:r>
          <w:rPr>
            <w:noProof/>
            <w:webHidden/>
          </w:rPr>
          <w:fldChar w:fldCharType="begin"/>
        </w:r>
        <w:r>
          <w:rPr>
            <w:noProof/>
            <w:webHidden/>
          </w:rPr>
          <w:instrText xml:space="preserve"> PAGEREF _Toc230635979 \h </w:instrText>
        </w:r>
        <w:r>
          <w:rPr>
            <w:noProof/>
            <w:webHidden/>
          </w:rPr>
        </w:r>
        <w:r>
          <w:rPr>
            <w:noProof/>
            <w:webHidden/>
          </w:rPr>
          <w:fldChar w:fldCharType="separate"/>
        </w:r>
        <w:r>
          <w:rPr>
            <w:noProof/>
            <w:webHidden/>
          </w:rPr>
          <w:t>18</w:t>
        </w:r>
        <w:r>
          <w:rPr>
            <w:noProof/>
            <w:webHidden/>
          </w:rPr>
          <w:fldChar w:fldCharType="end"/>
        </w:r>
      </w:hyperlink>
    </w:p>
    <w:p w14:paraId="634A403F" w14:textId="42EC1D05"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80" w:history="1">
        <w:r w:rsidRPr="00A51CCB">
          <w:rPr>
            <w:rStyle w:val="Hipervnculo"/>
            <w:noProof/>
          </w:rPr>
          <w:t>3.4.</w:t>
        </w:r>
        <w:r>
          <w:rPr>
            <w:rFonts w:eastAsiaTheme="minorEastAsia" w:cstheme="minorBidi"/>
            <w:noProof/>
            <w:kern w:val="2"/>
            <w14:ligatures w14:val="standardContextual"/>
          </w:rPr>
          <w:tab/>
        </w:r>
        <w:r w:rsidRPr="00A51CCB">
          <w:rPr>
            <w:rStyle w:val="Hipervnculo"/>
            <w:noProof/>
          </w:rPr>
          <w:t>Control de falsos positivos, contracción del LFC y filtrado de DEGs</w:t>
        </w:r>
        <w:r>
          <w:rPr>
            <w:noProof/>
            <w:webHidden/>
          </w:rPr>
          <w:tab/>
        </w:r>
        <w:r>
          <w:rPr>
            <w:noProof/>
            <w:webHidden/>
          </w:rPr>
          <w:fldChar w:fldCharType="begin"/>
        </w:r>
        <w:r>
          <w:rPr>
            <w:noProof/>
            <w:webHidden/>
          </w:rPr>
          <w:instrText xml:space="preserve"> PAGEREF _Toc230635980 \h </w:instrText>
        </w:r>
        <w:r>
          <w:rPr>
            <w:noProof/>
            <w:webHidden/>
          </w:rPr>
        </w:r>
        <w:r>
          <w:rPr>
            <w:noProof/>
            <w:webHidden/>
          </w:rPr>
          <w:fldChar w:fldCharType="separate"/>
        </w:r>
        <w:r>
          <w:rPr>
            <w:noProof/>
            <w:webHidden/>
          </w:rPr>
          <w:t>20</w:t>
        </w:r>
        <w:r>
          <w:rPr>
            <w:noProof/>
            <w:webHidden/>
          </w:rPr>
          <w:fldChar w:fldCharType="end"/>
        </w:r>
      </w:hyperlink>
    </w:p>
    <w:p w14:paraId="328F94D8" w14:textId="70903B9E"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81" w:history="1">
        <w:r w:rsidRPr="00A51CCB">
          <w:rPr>
            <w:rStyle w:val="Hipervnculo"/>
            <w:noProof/>
          </w:rPr>
          <w:t>3.5.</w:t>
        </w:r>
        <w:r>
          <w:rPr>
            <w:rFonts w:eastAsiaTheme="minorEastAsia" w:cstheme="minorBidi"/>
            <w:noProof/>
            <w:kern w:val="2"/>
            <w14:ligatures w14:val="standardContextual"/>
          </w:rPr>
          <w:tab/>
        </w:r>
        <w:r w:rsidRPr="00A51CCB">
          <w:rPr>
            <w:rStyle w:val="Hipervnculo"/>
            <w:noProof/>
          </w:rPr>
          <w:t>Anotación Molecular y Mapeo de Identificadores Funcionales</w:t>
        </w:r>
        <w:r>
          <w:rPr>
            <w:noProof/>
            <w:webHidden/>
          </w:rPr>
          <w:tab/>
        </w:r>
        <w:r>
          <w:rPr>
            <w:noProof/>
            <w:webHidden/>
          </w:rPr>
          <w:fldChar w:fldCharType="begin"/>
        </w:r>
        <w:r>
          <w:rPr>
            <w:noProof/>
            <w:webHidden/>
          </w:rPr>
          <w:instrText xml:space="preserve"> PAGEREF _Toc230635981 \h </w:instrText>
        </w:r>
        <w:r>
          <w:rPr>
            <w:noProof/>
            <w:webHidden/>
          </w:rPr>
        </w:r>
        <w:r>
          <w:rPr>
            <w:noProof/>
            <w:webHidden/>
          </w:rPr>
          <w:fldChar w:fldCharType="separate"/>
        </w:r>
        <w:r>
          <w:rPr>
            <w:noProof/>
            <w:webHidden/>
          </w:rPr>
          <w:t>22</w:t>
        </w:r>
        <w:r>
          <w:rPr>
            <w:noProof/>
            <w:webHidden/>
          </w:rPr>
          <w:fldChar w:fldCharType="end"/>
        </w:r>
      </w:hyperlink>
    </w:p>
    <w:p w14:paraId="494DE1C8" w14:textId="4AE69236"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82" w:history="1">
        <w:r w:rsidRPr="00A51CCB">
          <w:rPr>
            <w:rStyle w:val="Hipervnculo"/>
            <w:noProof/>
          </w:rPr>
          <w:t>3.6.</w:t>
        </w:r>
        <w:r>
          <w:rPr>
            <w:rFonts w:eastAsiaTheme="minorEastAsia" w:cstheme="minorBidi"/>
            <w:noProof/>
            <w:kern w:val="2"/>
            <w14:ligatures w14:val="standardContextual"/>
          </w:rPr>
          <w:tab/>
        </w:r>
        <w:r w:rsidRPr="00A51CCB">
          <w:rPr>
            <w:rStyle w:val="Hipervnculo"/>
            <w:noProof/>
          </w:rPr>
          <w:t>Identificación de Firmas Consenso y Análisis de Enriquecimiento Funcional</w:t>
        </w:r>
        <w:r>
          <w:rPr>
            <w:noProof/>
            <w:webHidden/>
          </w:rPr>
          <w:tab/>
        </w:r>
        <w:r>
          <w:rPr>
            <w:noProof/>
            <w:webHidden/>
          </w:rPr>
          <w:fldChar w:fldCharType="begin"/>
        </w:r>
        <w:r>
          <w:rPr>
            <w:noProof/>
            <w:webHidden/>
          </w:rPr>
          <w:instrText xml:space="preserve"> PAGEREF _Toc230635982 \h </w:instrText>
        </w:r>
        <w:r>
          <w:rPr>
            <w:noProof/>
            <w:webHidden/>
          </w:rPr>
        </w:r>
        <w:r>
          <w:rPr>
            <w:noProof/>
            <w:webHidden/>
          </w:rPr>
          <w:fldChar w:fldCharType="separate"/>
        </w:r>
        <w:r>
          <w:rPr>
            <w:noProof/>
            <w:webHidden/>
          </w:rPr>
          <w:t>24</w:t>
        </w:r>
        <w:r>
          <w:rPr>
            <w:noProof/>
            <w:webHidden/>
          </w:rPr>
          <w:fldChar w:fldCharType="end"/>
        </w:r>
      </w:hyperlink>
    </w:p>
    <w:p w14:paraId="4BDBA227" w14:textId="020543B1" w:rsidR="00FA10CF" w:rsidRDefault="00FA10CF">
      <w:pPr>
        <w:pStyle w:val="TDC1"/>
        <w:tabs>
          <w:tab w:val="left" w:pos="440"/>
          <w:tab w:val="right" w:leader="dot" w:pos="9061"/>
        </w:tabs>
        <w:rPr>
          <w:rFonts w:eastAsiaTheme="minorEastAsia" w:cstheme="minorBidi"/>
          <w:noProof/>
          <w:kern w:val="2"/>
          <w14:ligatures w14:val="standardContextual"/>
        </w:rPr>
      </w:pPr>
      <w:hyperlink w:anchor="_Toc230635983" w:history="1">
        <w:r w:rsidRPr="00A51CCB">
          <w:rPr>
            <w:rStyle w:val="Hipervnculo"/>
            <w:noProof/>
          </w:rPr>
          <w:t>4.</w:t>
        </w:r>
        <w:r>
          <w:rPr>
            <w:rFonts w:eastAsiaTheme="minorEastAsia" w:cstheme="minorBidi"/>
            <w:noProof/>
            <w:kern w:val="2"/>
            <w14:ligatures w14:val="standardContextual"/>
          </w:rPr>
          <w:tab/>
        </w:r>
        <w:r w:rsidRPr="00A51CCB">
          <w:rPr>
            <w:rStyle w:val="Hipervnculo"/>
            <w:noProof/>
          </w:rPr>
          <w:t>Resultados</w:t>
        </w:r>
        <w:r>
          <w:rPr>
            <w:noProof/>
            <w:webHidden/>
          </w:rPr>
          <w:tab/>
        </w:r>
        <w:r>
          <w:rPr>
            <w:noProof/>
            <w:webHidden/>
          </w:rPr>
          <w:fldChar w:fldCharType="begin"/>
        </w:r>
        <w:r>
          <w:rPr>
            <w:noProof/>
            <w:webHidden/>
          </w:rPr>
          <w:instrText xml:space="preserve"> PAGEREF _Toc230635983 \h </w:instrText>
        </w:r>
        <w:r>
          <w:rPr>
            <w:noProof/>
            <w:webHidden/>
          </w:rPr>
        </w:r>
        <w:r>
          <w:rPr>
            <w:noProof/>
            <w:webHidden/>
          </w:rPr>
          <w:fldChar w:fldCharType="separate"/>
        </w:r>
        <w:r>
          <w:rPr>
            <w:noProof/>
            <w:webHidden/>
          </w:rPr>
          <w:t>26</w:t>
        </w:r>
        <w:r>
          <w:rPr>
            <w:noProof/>
            <w:webHidden/>
          </w:rPr>
          <w:fldChar w:fldCharType="end"/>
        </w:r>
      </w:hyperlink>
    </w:p>
    <w:p w14:paraId="43E88C9B" w14:textId="40875352"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84" w:history="1">
        <w:r w:rsidRPr="00A51CCB">
          <w:rPr>
            <w:rStyle w:val="Hipervnculo"/>
            <w:noProof/>
          </w:rPr>
          <w:t>4.1.</w:t>
        </w:r>
        <w:r>
          <w:rPr>
            <w:rFonts w:eastAsiaTheme="minorEastAsia" w:cstheme="minorBidi"/>
            <w:noProof/>
            <w:kern w:val="2"/>
            <w14:ligatures w14:val="standardContextual"/>
          </w:rPr>
          <w:tab/>
        </w:r>
        <w:r w:rsidRPr="00A51CCB">
          <w:rPr>
            <w:rStyle w:val="Hipervnculo"/>
            <w:noProof/>
          </w:rPr>
          <w:t>Identificación de Genes Diferencialmente Expresados</w:t>
        </w:r>
        <w:r>
          <w:rPr>
            <w:noProof/>
            <w:webHidden/>
          </w:rPr>
          <w:tab/>
        </w:r>
        <w:r>
          <w:rPr>
            <w:noProof/>
            <w:webHidden/>
          </w:rPr>
          <w:fldChar w:fldCharType="begin"/>
        </w:r>
        <w:r>
          <w:rPr>
            <w:noProof/>
            <w:webHidden/>
          </w:rPr>
          <w:instrText xml:space="preserve"> PAGEREF _Toc230635984 \h </w:instrText>
        </w:r>
        <w:r>
          <w:rPr>
            <w:noProof/>
            <w:webHidden/>
          </w:rPr>
        </w:r>
        <w:r>
          <w:rPr>
            <w:noProof/>
            <w:webHidden/>
          </w:rPr>
          <w:fldChar w:fldCharType="separate"/>
        </w:r>
        <w:r>
          <w:rPr>
            <w:noProof/>
            <w:webHidden/>
          </w:rPr>
          <w:t>26</w:t>
        </w:r>
        <w:r>
          <w:rPr>
            <w:noProof/>
            <w:webHidden/>
          </w:rPr>
          <w:fldChar w:fldCharType="end"/>
        </w:r>
      </w:hyperlink>
    </w:p>
    <w:p w14:paraId="4B66F95D" w14:textId="2E4A90CD"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5985" w:history="1">
        <w:r w:rsidRPr="00A51CCB">
          <w:rPr>
            <w:rStyle w:val="Hipervnculo"/>
            <w:noProof/>
          </w:rPr>
          <w:t>4.1.1.</w:t>
        </w:r>
        <w:r>
          <w:rPr>
            <w:rFonts w:eastAsiaTheme="minorEastAsia" w:cstheme="minorBidi"/>
            <w:noProof/>
            <w:kern w:val="2"/>
            <w14:ligatures w14:val="standardContextual"/>
          </w:rPr>
          <w:tab/>
        </w:r>
        <w:r w:rsidRPr="00A51CCB">
          <w:rPr>
            <w:rStyle w:val="Hipervnculo"/>
            <w:noProof/>
          </w:rPr>
          <w:t>“Título 3” del menú de estilos</w:t>
        </w:r>
        <w:r>
          <w:rPr>
            <w:noProof/>
            <w:webHidden/>
          </w:rPr>
          <w:tab/>
        </w:r>
        <w:r>
          <w:rPr>
            <w:noProof/>
            <w:webHidden/>
          </w:rPr>
          <w:fldChar w:fldCharType="begin"/>
        </w:r>
        <w:r>
          <w:rPr>
            <w:noProof/>
            <w:webHidden/>
          </w:rPr>
          <w:instrText xml:space="preserve"> PAGEREF _Toc230635985 \h </w:instrText>
        </w:r>
        <w:r>
          <w:rPr>
            <w:noProof/>
            <w:webHidden/>
          </w:rPr>
        </w:r>
        <w:r>
          <w:rPr>
            <w:noProof/>
            <w:webHidden/>
          </w:rPr>
          <w:fldChar w:fldCharType="separate"/>
        </w:r>
        <w:r>
          <w:rPr>
            <w:noProof/>
            <w:webHidden/>
          </w:rPr>
          <w:t>26</w:t>
        </w:r>
        <w:r>
          <w:rPr>
            <w:noProof/>
            <w:webHidden/>
          </w:rPr>
          <w:fldChar w:fldCharType="end"/>
        </w:r>
      </w:hyperlink>
    </w:p>
    <w:p w14:paraId="48794392" w14:textId="41D39E04"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86" w:history="1">
        <w:r w:rsidRPr="00A51CCB">
          <w:rPr>
            <w:rStyle w:val="Hipervnculo"/>
            <w:noProof/>
          </w:rPr>
          <w:t>4.2.</w:t>
        </w:r>
        <w:r>
          <w:rPr>
            <w:rFonts w:eastAsiaTheme="minorEastAsia" w:cstheme="minorBidi"/>
            <w:noProof/>
            <w:kern w:val="2"/>
            <w14:ligatures w14:val="standardContextual"/>
          </w:rPr>
          <w:tab/>
        </w:r>
        <w:r w:rsidRPr="00A51CCB">
          <w:rPr>
            <w:rStyle w:val="Hipervnculo"/>
            <w:noProof/>
          </w:rPr>
          <w:t>Validación en Datasets Independientes</w:t>
        </w:r>
        <w:r>
          <w:rPr>
            <w:noProof/>
            <w:webHidden/>
          </w:rPr>
          <w:tab/>
        </w:r>
        <w:r>
          <w:rPr>
            <w:noProof/>
            <w:webHidden/>
          </w:rPr>
          <w:fldChar w:fldCharType="begin"/>
        </w:r>
        <w:r>
          <w:rPr>
            <w:noProof/>
            <w:webHidden/>
          </w:rPr>
          <w:instrText xml:space="preserve"> PAGEREF _Toc230635986 \h </w:instrText>
        </w:r>
        <w:r>
          <w:rPr>
            <w:noProof/>
            <w:webHidden/>
          </w:rPr>
        </w:r>
        <w:r>
          <w:rPr>
            <w:noProof/>
            <w:webHidden/>
          </w:rPr>
          <w:fldChar w:fldCharType="separate"/>
        </w:r>
        <w:r>
          <w:rPr>
            <w:noProof/>
            <w:webHidden/>
          </w:rPr>
          <w:t>26</w:t>
        </w:r>
        <w:r>
          <w:rPr>
            <w:noProof/>
            <w:webHidden/>
          </w:rPr>
          <w:fldChar w:fldCharType="end"/>
        </w:r>
      </w:hyperlink>
    </w:p>
    <w:p w14:paraId="6F220942" w14:textId="3C49D35D"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5987" w:history="1">
        <w:r w:rsidRPr="00A51CCB">
          <w:rPr>
            <w:rStyle w:val="Hipervnculo"/>
            <w:noProof/>
          </w:rPr>
          <w:t>4.2.1.</w:t>
        </w:r>
        <w:r>
          <w:rPr>
            <w:rFonts w:eastAsiaTheme="minorEastAsia" w:cstheme="minorBidi"/>
            <w:noProof/>
            <w:kern w:val="2"/>
            <w14:ligatures w14:val="standardContextual"/>
          </w:rPr>
          <w:tab/>
        </w:r>
        <w:r w:rsidRPr="00A51CCB">
          <w:rPr>
            <w:rStyle w:val="Hipervnculo"/>
            <w:noProof/>
          </w:rPr>
          <w:t>“Título 3” del menú de estilos</w:t>
        </w:r>
        <w:r>
          <w:rPr>
            <w:noProof/>
            <w:webHidden/>
          </w:rPr>
          <w:tab/>
        </w:r>
        <w:r>
          <w:rPr>
            <w:noProof/>
            <w:webHidden/>
          </w:rPr>
          <w:fldChar w:fldCharType="begin"/>
        </w:r>
        <w:r>
          <w:rPr>
            <w:noProof/>
            <w:webHidden/>
          </w:rPr>
          <w:instrText xml:space="preserve"> PAGEREF _Toc230635987 \h </w:instrText>
        </w:r>
        <w:r>
          <w:rPr>
            <w:noProof/>
            <w:webHidden/>
          </w:rPr>
        </w:r>
        <w:r>
          <w:rPr>
            <w:noProof/>
            <w:webHidden/>
          </w:rPr>
          <w:fldChar w:fldCharType="separate"/>
        </w:r>
        <w:r>
          <w:rPr>
            <w:noProof/>
            <w:webHidden/>
          </w:rPr>
          <w:t>26</w:t>
        </w:r>
        <w:r>
          <w:rPr>
            <w:noProof/>
            <w:webHidden/>
          </w:rPr>
          <w:fldChar w:fldCharType="end"/>
        </w:r>
      </w:hyperlink>
    </w:p>
    <w:p w14:paraId="07CA2549" w14:textId="32D7EBC3"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88" w:history="1">
        <w:r w:rsidRPr="00A51CCB">
          <w:rPr>
            <w:rStyle w:val="Hipervnculo"/>
            <w:noProof/>
          </w:rPr>
          <w:t>4.3.</w:t>
        </w:r>
        <w:r>
          <w:rPr>
            <w:rFonts w:eastAsiaTheme="minorEastAsia" w:cstheme="minorBidi"/>
            <w:noProof/>
            <w:kern w:val="2"/>
            <w14:ligatures w14:val="standardContextual"/>
          </w:rPr>
          <w:tab/>
        </w:r>
        <w:r w:rsidRPr="00A51CCB">
          <w:rPr>
            <w:rStyle w:val="Hipervnculo"/>
            <w:noProof/>
          </w:rPr>
          <w:t>Análisis de Enriquecimiento Funcional</w:t>
        </w:r>
        <w:r>
          <w:rPr>
            <w:noProof/>
            <w:webHidden/>
          </w:rPr>
          <w:tab/>
        </w:r>
        <w:r>
          <w:rPr>
            <w:noProof/>
            <w:webHidden/>
          </w:rPr>
          <w:fldChar w:fldCharType="begin"/>
        </w:r>
        <w:r>
          <w:rPr>
            <w:noProof/>
            <w:webHidden/>
          </w:rPr>
          <w:instrText xml:space="preserve"> PAGEREF _Toc230635988 \h </w:instrText>
        </w:r>
        <w:r>
          <w:rPr>
            <w:noProof/>
            <w:webHidden/>
          </w:rPr>
        </w:r>
        <w:r>
          <w:rPr>
            <w:noProof/>
            <w:webHidden/>
          </w:rPr>
          <w:fldChar w:fldCharType="separate"/>
        </w:r>
        <w:r>
          <w:rPr>
            <w:noProof/>
            <w:webHidden/>
          </w:rPr>
          <w:t>26</w:t>
        </w:r>
        <w:r>
          <w:rPr>
            <w:noProof/>
            <w:webHidden/>
          </w:rPr>
          <w:fldChar w:fldCharType="end"/>
        </w:r>
      </w:hyperlink>
    </w:p>
    <w:p w14:paraId="7105222E" w14:textId="5F3F079C"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5989" w:history="1">
        <w:r w:rsidRPr="00A51CCB">
          <w:rPr>
            <w:rStyle w:val="Hipervnculo"/>
            <w:noProof/>
          </w:rPr>
          <w:t>4.3.1.</w:t>
        </w:r>
        <w:r>
          <w:rPr>
            <w:rFonts w:eastAsiaTheme="minorEastAsia" w:cstheme="minorBidi"/>
            <w:noProof/>
            <w:kern w:val="2"/>
            <w14:ligatures w14:val="standardContextual"/>
          </w:rPr>
          <w:tab/>
        </w:r>
        <w:r w:rsidRPr="00A51CCB">
          <w:rPr>
            <w:rStyle w:val="Hipervnculo"/>
            <w:noProof/>
          </w:rPr>
          <w:t>“Título 3” del menú de estilos</w:t>
        </w:r>
        <w:r>
          <w:rPr>
            <w:noProof/>
            <w:webHidden/>
          </w:rPr>
          <w:tab/>
        </w:r>
        <w:r>
          <w:rPr>
            <w:noProof/>
            <w:webHidden/>
          </w:rPr>
          <w:fldChar w:fldCharType="begin"/>
        </w:r>
        <w:r>
          <w:rPr>
            <w:noProof/>
            <w:webHidden/>
          </w:rPr>
          <w:instrText xml:space="preserve"> PAGEREF _Toc230635989 \h </w:instrText>
        </w:r>
        <w:r>
          <w:rPr>
            <w:noProof/>
            <w:webHidden/>
          </w:rPr>
        </w:r>
        <w:r>
          <w:rPr>
            <w:noProof/>
            <w:webHidden/>
          </w:rPr>
          <w:fldChar w:fldCharType="separate"/>
        </w:r>
        <w:r>
          <w:rPr>
            <w:noProof/>
            <w:webHidden/>
          </w:rPr>
          <w:t>26</w:t>
        </w:r>
        <w:r>
          <w:rPr>
            <w:noProof/>
            <w:webHidden/>
          </w:rPr>
          <w:fldChar w:fldCharType="end"/>
        </w:r>
      </w:hyperlink>
    </w:p>
    <w:p w14:paraId="6CFD358B" w14:textId="61C0C1EF"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90" w:history="1">
        <w:r w:rsidRPr="00A51CCB">
          <w:rPr>
            <w:rStyle w:val="Hipervnculo"/>
            <w:noProof/>
          </w:rPr>
          <w:t>4.4.</w:t>
        </w:r>
        <w:r>
          <w:rPr>
            <w:rFonts w:eastAsiaTheme="minorEastAsia" w:cstheme="minorBidi"/>
            <w:noProof/>
            <w:kern w:val="2"/>
            <w14:ligatures w14:val="standardContextual"/>
          </w:rPr>
          <w:tab/>
        </w:r>
        <w:r w:rsidRPr="00A51CCB">
          <w:rPr>
            <w:rStyle w:val="Hipervnculo"/>
            <w:noProof/>
          </w:rPr>
          <w:t>Análisis de Metadatos y Variables Clínicas</w:t>
        </w:r>
        <w:r>
          <w:rPr>
            <w:noProof/>
            <w:webHidden/>
          </w:rPr>
          <w:tab/>
        </w:r>
        <w:r>
          <w:rPr>
            <w:noProof/>
            <w:webHidden/>
          </w:rPr>
          <w:fldChar w:fldCharType="begin"/>
        </w:r>
        <w:r>
          <w:rPr>
            <w:noProof/>
            <w:webHidden/>
          </w:rPr>
          <w:instrText xml:space="preserve"> PAGEREF _Toc230635990 \h </w:instrText>
        </w:r>
        <w:r>
          <w:rPr>
            <w:noProof/>
            <w:webHidden/>
          </w:rPr>
        </w:r>
        <w:r>
          <w:rPr>
            <w:noProof/>
            <w:webHidden/>
          </w:rPr>
          <w:fldChar w:fldCharType="separate"/>
        </w:r>
        <w:r>
          <w:rPr>
            <w:noProof/>
            <w:webHidden/>
          </w:rPr>
          <w:t>26</w:t>
        </w:r>
        <w:r>
          <w:rPr>
            <w:noProof/>
            <w:webHidden/>
          </w:rPr>
          <w:fldChar w:fldCharType="end"/>
        </w:r>
      </w:hyperlink>
    </w:p>
    <w:p w14:paraId="48FC18FF" w14:textId="433512CF"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5991" w:history="1">
        <w:r w:rsidRPr="00A51CCB">
          <w:rPr>
            <w:rStyle w:val="Hipervnculo"/>
            <w:noProof/>
          </w:rPr>
          <w:t>4.4.1.</w:t>
        </w:r>
        <w:r>
          <w:rPr>
            <w:rFonts w:eastAsiaTheme="minorEastAsia" w:cstheme="minorBidi"/>
            <w:noProof/>
            <w:kern w:val="2"/>
            <w14:ligatures w14:val="standardContextual"/>
          </w:rPr>
          <w:tab/>
        </w:r>
        <w:r w:rsidRPr="00A51CCB">
          <w:rPr>
            <w:rStyle w:val="Hipervnculo"/>
            <w:noProof/>
          </w:rPr>
          <w:t>“Título 3” del menú de estilos</w:t>
        </w:r>
        <w:r>
          <w:rPr>
            <w:noProof/>
            <w:webHidden/>
          </w:rPr>
          <w:tab/>
        </w:r>
        <w:r>
          <w:rPr>
            <w:noProof/>
            <w:webHidden/>
          </w:rPr>
          <w:fldChar w:fldCharType="begin"/>
        </w:r>
        <w:r>
          <w:rPr>
            <w:noProof/>
            <w:webHidden/>
          </w:rPr>
          <w:instrText xml:space="preserve"> PAGEREF _Toc230635991 \h </w:instrText>
        </w:r>
        <w:r>
          <w:rPr>
            <w:noProof/>
            <w:webHidden/>
          </w:rPr>
        </w:r>
        <w:r>
          <w:rPr>
            <w:noProof/>
            <w:webHidden/>
          </w:rPr>
          <w:fldChar w:fldCharType="separate"/>
        </w:r>
        <w:r>
          <w:rPr>
            <w:noProof/>
            <w:webHidden/>
          </w:rPr>
          <w:t>26</w:t>
        </w:r>
        <w:r>
          <w:rPr>
            <w:noProof/>
            <w:webHidden/>
          </w:rPr>
          <w:fldChar w:fldCharType="end"/>
        </w:r>
      </w:hyperlink>
    </w:p>
    <w:p w14:paraId="0A57C016" w14:textId="5DF0B799" w:rsidR="00FA10CF" w:rsidRDefault="00FA10CF">
      <w:pPr>
        <w:pStyle w:val="TDC1"/>
        <w:tabs>
          <w:tab w:val="left" w:pos="440"/>
          <w:tab w:val="right" w:leader="dot" w:pos="9061"/>
        </w:tabs>
        <w:rPr>
          <w:rFonts w:eastAsiaTheme="minorEastAsia" w:cstheme="minorBidi"/>
          <w:noProof/>
          <w:kern w:val="2"/>
          <w14:ligatures w14:val="standardContextual"/>
        </w:rPr>
      </w:pPr>
      <w:hyperlink w:anchor="_Toc230635992" w:history="1">
        <w:r w:rsidRPr="00A51CCB">
          <w:rPr>
            <w:rStyle w:val="Hipervnculo"/>
            <w:noProof/>
          </w:rPr>
          <w:t>5.</w:t>
        </w:r>
        <w:r>
          <w:rPr>
            <w:rFonts w:eastAsiaTheme="minorEastAsia" w:cstheme="minorBidi"/>
            <w:noProof/>
            <w:kern w:val="2"/>
            <w14:ligatures w14:val="standardContextual"/>
          </w:rPr>
          <w:tab/>
        </w:r>
        <w:r w:rsidRPr="00A51CCB">
          <w:rPr>
            <w:rStyle w:val="Hipervnculo"/>
            <w:noProof/>
          </w:rPr>
          <w:t>Discusión</w:t>
        </w:r>
        <w:r>
          <w:rPr>
            <w:noProof/>
            <w:webHidden/>
          </w:rPr>
          <w:tab/>
        </w:r>
        <w:r>
          <w:rPr>
            <w:noProof/>
            <w:webHidden/>
          </w:rPr>
          <w:fldChar w:fldCharType="begin"/>
        </w:r>
        <w:r>
          <w:rPr>
            <w:noProof/>
            <w:webHidden/>
          </w:rPr>
          <w:instrText xml:space="preserve"> PAGEREF _Toc230635992 \h </w:instrText>
        </w:r>
        <w:r>
          <w:rPr>
            <w:noProof/>
            <w:webHidden/>
          </w:rPr>
        </w:r>
        <w:r>
          <w:rPr>
            <w:noProof/>
            <w:webHidden/>
          </w:rPr>
          <w:fldChar w:fldCharType="separate"/>
        </w:r>
        <w:r>
          <w:rPr>
            <w:noProof/>
            <w:webHidden/>
          </w:rPr>
          <w:t>27</w:t>
        </w:r>
        <w:r>
          <w:rPr>
            <w:noProof/>
            <w:webHidden/>
          </w:rPr>
          <w:fldChar w:fldCharType="end"/>
        </w:r>
      </w:hyperlink>
    </w:p>
    <w:p w14:paraId="6370D07A" w14:textId="491CF6C4"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93" w:history="1">
        <w:r w:rsidRPr="00A51CCB">
          <w:rPr>
            <w:rStyle w:val="Hipervnculo"/>
            <w:noProof/>
          </w:rPr>
          <w:t>5.1.</w:t>
        </w:r>
        <w:r>
          <w:rPr>
            <w:rFonts w:eastAsiaTheme="minorEastAsia" w:cstheme="minorBidi"/>
            <w:noProof/>
            <w:kern w:val="2"/>
            <w14:ligatures w14:val="standardContextual"/>
          </w:rPr>
          <w:tab/>
        </w:r>
        <w:r w:rsidRPr="00A51CCB">
          <w:rPr>
            <w:rStyle w:val="Hipervnculo"/>
            <w:noProof/>
          </w:rPr>
          <w:t>Interpretación de los biomarcadores identificados</w:t>
        </w:r>
        <w:r>
          <w:rPr>
            <w:noProof/>
            <w:webHidden/>
          </w:rPr>
          <w:tab/>
        </w:r>
        <w:r>
          <w:rPr>
            <w:noProof/>
            <w:webHidden/>
          </w:rPr>
          <w:fldChar w:fldCharType="begin"/>
        </w:r>
        <w:r>
          <w:rPr>
            <w:noProof/>
            <w:webHidden/>
          </w:rPr>
          <w:instrText xml:space="preserve"> PAGEREF _Toc230635993 \h </w:instrText>
        </w:r>
        <w:r>
          <w:rPr>
            <w:noProof/>
            <w:webHidden/>
          </w:rPr>
        </w:r>
        <w:r>
          <w:rPr>
            <w:noProof/>
            <w:webHidden/>
          </w:rPr>
          <w:fldChar w:fldCharType="separate"/>
        </w:r>
        <w:r>
          <w:rPr>
            <w:noProof/>
            <w:webHidden/>
          </w:rPr>
          <w:t>27</w:t>
        </w:r>
        <w:r>
          <w:rPr>
            <w:noProof/>
            <w:webHidden/>
          </w:rPr>
          <w:fldChar w:fldCharType="end"/>
        </w:r>
      </w:hyperlink>
    </w:p>
    <w:p w14:paraId="79FAB2E8" w14:textId="1466ADF1"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5994" w:history="1">
        <w:r w:rsidRPr="00A51CCB">
          <w:rPr>
            <w:rStyle w:val="Hipervnculo"/>
            <w:noProof/>
          </w:rPr>
          <w:t>5.1.1.</w:t>
        </w:r>
        <w:r>
          <w:rPr>
            <w:rFonts w:eastAsiaTheme="minorEastAsia" w:cstheme="minorBidi"/>
            <w:noProof/>
            <w:kern w:val="2"/>
            <w14:ligatures w14:val="standardContextual"/>
          </w:rPr>
          <w:tab/>
        </w:r>
        <w:r w:rsidRPr="00A51CCB">
          <w:rPr>
            <w:rStyle w:val="Hipervnculo"/>
            <w:noProof/>
          </w:rPr>
          <w:t>“Título 3” del menú de estilos</w:t>
        </w:r>
        <w:r>
          <w:rPr>
            <w:noProof/>
            <w:webHidden/>
          </w:rPr>
          <w:tab/>
        </w:r>
        <w:r>
          <w:rPr>
            <w:noProof/>
            <w:webHidden/>
          </w:rPr>
          <w:fldChar w:fldCharType="begin"/>
        </w:r>
        <w:r>
          <w:rPr>
            <w:noProof/>
            <w:webHidden/>
          </w:rPr>
          <w:instrText xml:space="preserve"> PAGEREF _Toc230635994 \h </w:instrText>
        </w:r>
        <w:r>
          <w:rPr>
            <w:noProof/>
            <w:webHidden/>
          </w:rPr>
        </w:r>
        <w:r>
          <w:rPr>
            <w:noProof/>
            <w:webHidden/>
          </w:rPr>
          <w:fldChar w:fldCharType="separate"/>
        </w:r>
        <w:r>
          <w:rPr>
            <w:noProof/>
            <w:webHidden/>
          </w:rPr>
          <w:t>27</w:t>
        </w:r>
        <w:r>
          <w:rPr>
            <w:noProof/>
            <w:webHidden/>
          </w:rPr>
          <w:fldChar w:fldCharType="end"/>
        </w:r>
      </w:hyperlink>
    </w:p>
    <w:p w14:paraId="21AE5F46" w14:textId="22EF8025"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95" w:history="1">
        <w:r w:rsidRPr="00A51CCB">
          <w:rPr>
            <w:rStyle w:val="Hipervnculo"/>
            <w:noProof/>
          </w:rPr>
          <w:t>5.2.</w:t>
        </w:r>
        <w:r>
          <w:rPr>
            <w:rFonts w:eastAsiaTheme="minorEastAsia" w:cstheme="minorBidi"/>
            <w:noProof/>
            <w:kern w:val="2"/>
            <w14:ligatures w14:val="standardContextual"/>
          </w:rPr>
          <w:tab/>
        </w:r>
        <w:r w:rsidRPr="00A51CCB">
          <w:rPr>
            <w:rStyle w:val="Hipervnculo"/>
            <w:noProof/>
          </w:rPr>
          <w:t>Análisis del enriquecimiento funcional en el contexto clínico</w:t>
        </w:r>
        <w:r>
          <w:rPr>
            <w:noProof/>
            <w:webHidden/>
          </w:rPr>
          <w:tab/>
        </w:r>
        <w:r>
          <w:rPr>
            <w:noProof/>
            <w:webHidden/>
          </w:rPr>
          <w:fldChar w:fldCharType="begin"/>
        </w:r>
        <w:r>
          <w:rPr>
            <w:noProof/>
            <w:webHidden/>
          </w:rPr>
          <w:instrText xml:space="preserve"> PAGEREF _Toc230635995 \h </w:instrText>
        </w:r>
        <w:r>
          <w:rPr>
            <w:noProof/>
            <w:webHidden/>
          </w:rPr>
        </w:r>
        <w:r>
          <w:rPr>
            <w:noProof/>
            <w:webHidden/>
          </w:rPr>
          <w:fldChar w:fldCharType="separate"/>
        </w:r>
        <w:r>
          <w:rPr>
            <w:noProof/>
            <w:webHidden/>
          </w:rPr>
          <w:t>27</w:t>
        </w:r>
        <w:r>
          <w:rPr>
            <w:noProof/>
            <w:webHidden/>
          </w:rPr>
          <w:fldChar w:fldCharType="end"/>
        </w:r>
      </w:hyperlink>
    </w:p>
    <w:p w14:paraId="3989D6F9" w14:textId="678FB805"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5996" w:history="1">
        <w:r w:rsidRPr="00A51CCB">
          <w:rPr>
            <w:rStyle w:val="Hipervnculo"/>
            <w:noProof/>
          </w:rPr>
          <w:t>5.2.1.</w:t>
        </w:r>
        <w:r>
          <w:rPr>
            <w:rFonts w:eastAsiaTheme="minorEastAsia" w:cstheme="minorBidi"/>
            <w:noProof/>
            <w:kern w:val="2"/>
            <w14:ligatures w14:val="standardContextual"/>
          </w:rPr>
          <w:tab/>
        </w:r>
        <w:r w:rsidRPr="00A51CCB">
          <w:rPr>
            <w:rStyle w:val="Hipervnculo"/>
            <w:noProof/>
          </w:rPr>
          <w:t>“Título 3” del menú de estilos</w:t>
        </w:r>
        <w:r>
          <w:rPr>
            <w:noProof/>
            <w:webHidden/>
          </w:rPr>
          <w:tab/>
        </w:r>
        <w:r>
          <w:rPr>
            <w:noProof/>
            <w:webHidden/>
          </w:rPr>
          <w:fldChar w:fldCharType="begin"/>
        </w:r>
        <w:r>
          <w:rPr>
            <w:noProof/>
            <w:webHidden/>
          </w:rPr>
          <w:instrText xml:space="preserve"> PAGEREF _Toc230635996 \h </w:instrText>
        </w:r>
        <w:r>
          <w:rPr>
            <w:noProof/>
            <w:webHidden/>
          </w:rPr>
        </w:r>
        <w:r>
          <w:rPr>
            <w:noProof/>
            <w:webHidden/>
          </w:rPr>
          <w:fldChar w:fldCharType="separate"/>
        </w:r>
        <w:r>
          <w:rPr>
            <w:noProof/>
            <w:webHidden/>
          </w:rPr>
          <w:t>27</w:t>
        </w:r>
        <w:r>
          <w:rPr>
            <w:noProof/>
            <w:webHidden/>
          </w:rPr>
          <w:fldChar w:fldCharType="end"/>
        </w:r>
      </w:hyperlink>
    </w:p>
    <w:p w14:paraId="7808E06D" w14:textId="2B785249"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5997" w:history="1">
        <w:r w:rsidRPr="00A51CCB">
          <w:rPr>
            <w:rStyle w:val="Hipervnculo"/>
            <w:noProof/>
          </w:rPr>
          <w:t>5.3.</w:t>
        </w:r>
        <w:r>
          <w:rPr>
            <w:rFonts w:eastAsiaTheme="minorEastAsia" w:cstheme="minorBidi"/>
            <w:noProof/>
            <w:kern w:val="2"/>
            <w14:ligatures w14:val="standardContextual"/>
          </w:rPr>
          <w:tab/>
        </w:r>
        <w:r w:rsidRPr="00A51CCB">
          <w:rPr>
            <w:rStyle w:val="Hipervnculo"/>
            <w:noProof/>
          </w:rPr>
          <w:t>Comparación con estudios previos y meta-análisis existentes</w:t>
        </w:r>
        <w:r>
          <w:rPr>
            <w:noProof/>
            <w:webHidden/>
          </w:rPr>
          <w:tab/>
        </w:r>
        <w:r>
          <w:rPr>
            <w:noProof/>
            <w:webHidden/>
          </w:rPr>
          <w:fldChar w:fldCharType="begin"/>
        </w:r>
        <w:r>
          <w:rPr>
            <w:noProof/>
            <w:webHidden/>
          </w:rPr>
          <w:instrText xml:space="preserve"> PAGEREF _Toc230635997 \h </w:instrText>
        </w:r>
        <w:r>
          <w:rPr>
            <w:noProof/>
            <w:webHidden/>
          </w:rPr>
        </w:r>
        <w:r>
          <w:rPr>
            <w:noProof/>
            <w:webHidden/>
          </w:rPr>
          <w:fldChar w:fldCharType="separate"/>
        </w:r>
        <w:r>
          <w:rPr>
            <w:noProof/>
            <w:webHidden/>
          </w:rPr>
          <w:t>27</w:t>
        </w:r>
        <w:r>
          <w:rPr>
            <w:noProof/>
            <w:webHidden/>
          </w:rPr>
          <w:fldChar w:fldCharType="end"/>
        </w:r>
      </w:hyperlink>
    </w:p>
    <w:p w14:paraId="0796AADD" w14:textId="1AACCDEA"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5998" w:history="1">
        <w:r w:rsidRPr="00A51CCB">
          <w:rPr>
            <w:rStyle w:val="Hipervnculo"/>
            <w:noProof/>
          </w:rPr>
          <w:t>5.3.1.</w:t>
        </w:r>
        <w:r>
          <w:rPr>
            <w:rFonts w:eastAsiaTheme="minorEastAsia" w:cstheme="minorBidi"/>
            <w:noProof/>
            <w:kern w:val="2"/>
            <w14:ligatures w14:val="standardContextual"/>
          </w:rPr>
          <w:tab/>
        </w:r>
        <w:r w:rsidRPr="00A51CCB">
          <w:rPr>
            <w:rStyle w:val="Hipervnculo"/>
            <w:noProof/>
          </w:rPr>
          <w:t>“Título 3” del menú de estilos</w:t>
        </w:r>
        <w:r>
          <w:rPr>
            <w:noProof/>
            <w:webHidden/>
          </w:rPr>
          <w:tab/>
        </w:r>
        <w:r>
          <w:rPr>
            <w:noProof/>
            <w:webHidden/>
          </w:rPr>
          <w:fldChar w:fldCharType="begin"/>
        </w:r>
        <w:r>
          <w:rPr>
            <w:noProof/>
            <w:webHidden/>
          </w:rPr>
          <w:instrText xml:space="preserve"> PAGEREF _Toc230635998 \h </w:instrText>
        </w:r>
        <w:r>
          <w:rPr>
            <w:noProof/>
            <w:webHidden/>
          </w:rPr>
        </w:r>
        <w:r>
          <w:rPr>
            <w:noProof/>
            <w:webHidden/>
          </w:rPr>
          <w:fldChar w:fldCharType="separate"/>
        </w:r>
        <w:r>
          <w:rPr>
            <w:noProof/>
            <w:webHidden/>
          </w:rPr>
          <w:t>27</w:t>
        </w:r>
        <w:r>
          <w:rPr>
            <w:noProof/>
            <w:webHidden/>
          </w:rPr>
          <w:fldChar w:fldCharType="end"/>
        </w:r>
      </w:hyperlink>
    </w:p>
    <w:p w14:paraId="3A259E1A" w14:textId="09DF9800" w:rsidR="00FA10CF" w:rsidRDefault="00FA10CF">
      <w:pPr>
        <w:pStyle w:val="TDC1"/>
        <w:tabs>
          <w:tab w:val="left" w:pos="440"/>
          <w:tab w:val="right" w:leader="dot" w:pos="9061"/>
        </w:tabs>
        <w:rPr>
          <w:rFonts w:eastAsiaTheme="minorEastAsia" w:cstheme="minorBidi"/>
          <w:noProof/>
          <w:kern w:val="2"/>
          <w14:ligatures w14:val="standardContextual"/>
        </w:rPr>
      </w:pPr>
      <w:hyperlink w:anchor="_Toc230635999" w:history="1">
        <w:r w:rsidRPr="00A51CCB">
          <w:rPr>
            <w:rStyle w:val="Hipervnculo"/>
            <w:noProof/>
          </w:rPr>
          <w:t>6.</w:t>
        </w:r>
        <w:r>
          <w:rPr>
            <w:rFonts w:eastAsiaTheme="minorEastAsia" w:cstheme="minorBidi"/>
            <w:noProof/>
            <w:kern w:val="2"/>
            <w14:ligatures w14:val="standardContextual"/>
          </w:rPr>
          <w:tab/>
        </w:r>
        <w:r w:rsidRPr="00A51CCB">
          <w:rPr>
            <w:rStyle w:val="Hipervnculo"/>
            <w:noProof/>
          </w:rPr>
          <w:t>Conclusiones</w:t>
        </w:r>
        <w:r>
          <w:rPr>
            <w:noProof/>
            <w:webHidden/>
          </w:rPr>
          <w:tab/>
        </w:r>
        <w:r>
          <w:rPr>
            <w:noProof/>
            <w:webHidden/>
          </w:rPr>
          <w:fldChar w:fldCharType="begin"/>
        </w:r>
        <w:r>
          <w:rPr>
            <w:noProof/>
            <w:webHidden/>
          </w:rPr>
          <w:instrText xml:space="preserve"> PAGEREF _Toc230635999 \h </w:instrText>
        </w:r>
        <w:r>
          <w:rPr>
            <w:noProof/>
            <w:webHidden/>
          </w:rPr>
        </w:r>
        <w:r>
          <w:rPr>
            <w:noProof/>
            <w:webHidden/>
          </w:rPr>
          <w:fldChar w:fldCharType="separate"/>
        </w:r>
        <w:r>
          <w:rPr>
            <w:noProof/>
            <w:webHidden/>
          </w:rPr>
          <w:t>28</w:t>
        </w:r>
        <w:r>
          <w:rPr>
            <w:noProof/>
            <w:webHidden/>
          </w:rPr>
          <w:fldChar w:fldCharType="end"/>
        </w:r>
      </w:hyperlink>
    </w:p>
    <w:p w14:paraId="502F1FAA" w14:textId="0C5101CA"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6000" w:history="1">
        <w:r w:rsidRPr="00A51CCB">
          <w:rPr>
            <w:rStyle w:val="Hipervnculo"/>
            <w:noProof/>
          </w:rPr>
          <w:t>6.1.</w:t>
        </w:r>
        <w:r>
          <w:rPr>
            <w:rFonts w:eastAsiaTheme="minorEastAsia" w:cstheme="minorBidi"/>
            <w:noProof/>
            <w:kern w:val="2"/>
            <w14:ligatures w14:val="standardContextual"/>
          </w:rPr>
          <w:tab/>
        </w:r>
        <w:r w:rsidRPr="00A51CCB">
          <w:rPr>
            <w:rStyle w:val="Hipervnculo"/>
            <w:noProof/>
          </w:rPr>
          <w:t>Conclusiones respecto a los objetivos planteados</w:t>
        </w:r>
        <w:r>
          <w:rPr>
            <w:noProof/>
            <w:webHidden/>
          </w:rPr>
          <w:tab/>
        </w:r>
        <w:r>
          <w:rPr>
            <w:noProof/>
            <w:webHidden/>
          </w:rPr>
          <w:fldChar w:fldCharType="begin"/>
        </w:r>
        <w:r>
          <w:rPr>
            <w:noProof/>
            <w:webHidden/>
          </w:rPr>
          <w:instrText xml:space="preserve"> PAGEREF _Toc230636000 \h </w:instrText>
        </w:r>
        <w:r>
          <w:rPr>
            <w:noProof/>
            <w:webHidden/>
          </w:rPr>
        </w:r>
        <w:r>
          <w:rPr>
            <w:noProof/>
            <w:webHidden/>
          </w:rPr>
          <w:fldChar w:fldCharType="separate"/>
        </w:r>
        <w:r>
          <w:rPr>
            <w:noProof/>
            <w:webHidden/>
          </w:rPr>
          <w:t>28</w:t>
        </w:r>
        <w:r>
          <w:rPr>
            <w:noProof/>
            <w:webHidden/>
          </w:rPr>
          <w:fldChar w:fldCharType="end"/>
        </w:r>
      </w:hyperlink>
    </w:p>
    <w:p w14:paraId="3ADE9CE4" w14:textId="149FD733"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6001" w:history="1">
        <w:r w:rsidRPr="00A51CCB">
          <w:rPr>
            <w:rStyle w:val="Hipervnculo"/>
            <w:noProof/>
          </w:rPr>
          <w:t>6.1.1.</w:t>
        </w:r>
        <w:r>
          <w:rPr>
            <w:rFonts w:eastAsiaTheme="minorEastAsia" w:cstheme="minorBidi"/>
            <w:noProof/>
            <w:kern w:val="2"/>
            <w14:ligatures w14:val="standardContextual"/>
          </w:rPr>
          <w:tab/>
        </w:r>
        <w:r w:rsidRPr="00A51CCB">
          <w:rPr>
            <w:rStyle w:val="Hipervnculo"/>
            <w:noProof/>
          </w:rPr>
          <w:t>“Título 3” del menú de estilos</w:t>
        </w:r>
        <w:r>
          <w:rPr>
            <w:noProof/>
            <w:webHidden/>
          </w:rPr>
          <w:tab/>
        </w:r>
        <w:r>
          <w:rPr>
            <w:noProof/>
            <w:webHidden/>
          </w:rPr>
          <w:fldChar w:fldCharType="begin"/>
        </w:r>
        <w:r>
          <w:rPr>
            <w:noProof/>
            <w:webHidden/>
          </w:rPr>
          <w:instrText xml:space="preserve"> PAGEREF _Toc230636001 \h </w:instrText>
        </w:r>
        <w:r>
          <w:rPr>
            <w:noProof/>
            <w:webHidden/>
          </w:rPr>
        </w:r>
        <w:r>
          <w:rPr>
            <w:noProof/>
            <w:webHidden/>
          </w:rPr>
          <w:fldChar w:fldCharType="separate"/>
        </w:r>
        <w:r>
          <w:rPr>
            <w:noProof/>
            <w:webHidden/>
          </w:rPr>
          <w:t>28</w:t>
        </w:r>
        <w:r>
          <w:rPr>
            <w:noProof/>
            <w:webHidden/>
          </w:rPr>
          <w:fldChar w:fldCharType="end"/>
        </w:r>
      </w:hyperlink>
    </w:p>
    <w:p w14:paraId="0935B265" w14:textId="1203C751" w:rsidR="00FA10CF" w:rsidRDefault="00FA10CF">
      <w:pPr>
        <w:pStyle w:val="TDC2"/>
        <w:tabs>
          <w:tab w:val="left" w:pos="960"/>
          <w:tab w:val="right" w:leader="dot" w:pos="9061"/>
        </w:tabs>
        <w:rPr>
          <w:rFonts w:eastAsiaTheme="minorEastAsia" w:cstheme="minorBidi"/>
          <w:noProof/>
          <w:kern w:val="2"/>
          <w14:ligatures w14:val="standardContextual"/>
        </w:rPr>
      </w:pPr>
      <w:hyperlink w:anchor="_Toc230636002" w:history="1">
        <w:r w:rsidRPr="00A51CCB">
          <w:rPr>
            <w:rStyle w:val="Hipervnculo"/>
            <w:noProof/>
          </w:rPr>
          <w:t>6.2.</w:t>
        </w:r>
        <w:r>
          <w:rPr>
            <w:rFonts w:eastAsiaTheme="minorEastAsia" w:cstheme="minorBidi"/>
            <w:noProof/>
            <w:kern w:val="2"/>
            <w14:ligatures w14:val="standardContextual"/>
          </w:rPr>
          <w:tab/>
        </w:r>
        <w:r w:rsidRPr="00A51CCB">
          <w:rPr>
            <w:rStyle w:val="Hipervnculo"/>
            <w:noProof/>
          </w:rPr>
          <w:t>Líneas de investigación futuras</w:t>
        </w:r>
        <w:r>
          <w:rPr>
            <w:noProof/>
            <w:webHidden/>
          </w:rPr>
          <w:tab/>
        </w:r>
        <w:r>
          <w:rPr>
            <w:noProof/>
            <w:webHidden/>
          </w:rPr>
          <w:fldChar w:fldCharType="begin"/>
        </w:r>
        <w:r>
          <w:rPr>
            <w:noProof/>
            <w:webHidden/>
          </w:rPr>
          <w:instrText xml:space="preserve"> PAGEREF _Toc230636002 \h </w:instrText>
        </w:r>
        <w:r>
          <w:rPr>
            <w:noProof/>
            <w:webHidden/>
          </w:rPr>
        </w:r>
        <w:r>
          <w:rPr>
            <w:noProof/>
            <w:webHidden/>
          </w:rPr>
          <w:fldChar w:fldCharType="separate"/>
        </w:r>
        <w:r>
          <w:rPr>
            <w:noProof/>
            <w:webHidden/>
          </w:rPr>
          <w:t>28</w:t>
        </w:r>
        <w:r>
          <w:rPr>
            <w:noProof/>
            <w:webHidden/>
          </w:rPr>
          <w:fldChar w:fldCharType="end"/>
        </w:r>
      </w:hyperlink>
    </w:p>
    <w:p w14:paraId="6C097ED1" w14:textId="0A1235A5" w:rsidR="00FA10CF" w:rsidRDefault="00FA10CF">
      <w:pPr>
        <w:pStyle w:val="TDC3"/>
        <w:tabs>
          <w:tab w:val="left" w:pos="1440"/>
          <w:tab w:val="right" w:leader="dot" w:pos="9061"/>
        </w:tabs>
        <w:rPr>
          <w:rFonts w:eastAsiaTheme="minorEastAsia" w:cstheme="minorBidi"/>
          <w:noProof/>
          <w:kern w:val="2"/>
          <w14:ligatures w14:val="standardContextual"/>
        </w:rPr>
      </w:pPr>
      <w:hyperlink w:anchor="_Toc230636003" w:history="1">
        <w:r w:rsidRPr="00A51CCB">
          <w:rPr>
            <w:rStyle w:val="Hipervnculo"/>
            <w:noProof/>
          </w:rPr>
          <w:t>6.2.1.</w:t>
        </w:r>
        <w:r>
          <w:rPr>
            <w:rFonts w:eastAsiaTheme="minorEastAsia" w:cstheme="minorBidi"/>
            <w:noProof/>
            <w:kern w:val="2"/>
            <w14:ligatures w14:val="standardContextual"/>
          </w:rPr>
          <w:tab/>
        </w:r>
        <w:r w:rsidRPr="00A51CCB">
          <w:rPr>
            <w:rStyle w:val="Hipervnculo"/>
            <w:noProof/>
          </w:rPr>
          <w:t>“Título 3” del menú de estilos</w:t>
        </w:r>
        <w:r>
          <w:rPr>
            <w:noProof/>
            <w:webHidden/>
          </w:rPr>
          <w:tab/>
        </w:r>
        <w:r>
          <w:rPr>
            <w:noProof/>
            <w:webHidden/>
          </w:rPr>
          <w:fldChar w:fldCharType="begin"/>
        </w:r>
        <w:r>
          <w:rPr>
            <w:noProof/>
            <w:webHidden/>
          </w:rPr>
          <w:instrText xml:space="preserve"> PAGEREF _Toc230636003 \h </w:instrText>
        </w:r>
        <w:r>
          <w:rPr>
            <w:noProof/>
            <w:webHidden/>
          </w:rPr>
        </w:r>
        <w:r>
          <w:rPr>
            <w:noProof/>
            <w:webHidden/>
          </w:rPr>
          <w:fldChar w:fldCharType="separate"/>
        </w:r>
        <w:r>
          <w:rPr>
            <w:noProof/>
            <w:webHidden/>
          </w:rPr>
          <w:t>28</w:t>
        </w:r>
        <w:r>
          <w:rPr>
            <w:noProof/>
            <w:webHidden/>
          </w:rPr>
          <w:fldChar w:fldCharType="end"/>
        </w:r>
      </w:hyperlink>
    </w:p>
    <w:p w14:paraId="4353059F" w14:textId="6D3B6EEA" w:rsidR="00FA10CF" w:rsidRDefault="00FA10CF">
      <w:pPr>
        <w:pStyle w:val="TDC1"/>
        <w:tabs>
          <w:tab w:val="right" w:leader="dot" w:pos="9061"/>
        </w:tabs>
        <w:rPr>
          <w:rFonts w:eastAsiaTheme="minorEastAsia" w:cstheme="minorBidi"/>
          <w:noProof/>
          <w:kern w:val="2"/>
          <w14:ligatures w14:val="standardContextual"/>
        </w:rPr>
      </w:pPr>
      <w:hyperlink w:anchor="_Toc230636004" w:history="1">
        <w:r w:rsidRPr="00A51CCB">
          <w:rPr>
            <w:rStyle w:val="Hipervnculo"/>
            <w:noProof/>
          </w:rPr>
          <w:t>Referencias bibliográficas</w:t>
        </w:r>
        <w:r>
          <w:rPr>
            <w:noProof/>
            <w:webHidden/>
          </w:rPr>
          <w:tab/>
        </w:r>
        <w:r>
          <w:rPr>
            <w:noProof/>
            <w:webHidden/>
          </w:rPr>
          <w:fldChar w:fldCharType="begin"/>
        </w:r>
        <w:r>
          <w:rPr>
            <w:noProof/>
            <w:webHidden/>
          </w:rPr>
          <w:instrText xml:space="preserve"> PAGEREF _Toc230636004 \h </w:instrText>
        </w:r>
        <w:r>
          <w:rPr>
            <w:noProof/>
            <w:webHidden/>
          </w:rPr>
        </w:r>
        <w:r>
          <w:rPr>
            <w:noProof/>
            <w:webHidden/>
          </w:rPr>
          <w:fldChar w:fldCharType="separate"/>
        </w:r>
        <w:r>
          <w:rPr>
            <w:noProof/>
            <w:webHidden/>
          </w:rPr>
          <w:t>29</w:t>
        </w:r>
        <w:r>
          <w:rPr>
            <w:noProof/>
            <w:webHidden/>
          </w:rPr>
          <w:fldChar w:fldCharType="end"/>
        </w:r>
      </w:hyperlink>
    </w:p>
    <w:p w14:paraId="630B7B9A" w14:textId="544C703A" w:rsidR="00FA10CF" w:rsidRDefault="00FA10CF">
      <w:pPr>
        <w:pStyle w:val="TDC1"/>
        <w:tabs>
          <w:tab w:val="left" w:pos="1200"/>
          <w:tab w:val="right" w:leader="dot" w:pos="9061"/>
        </w:tabs>
        <w:rPr>
          <w:rFonts w:eastAsiaTheme="minorEastAsia" w:cstheme="minorBidi"/>
          <w:noProof/>
          <w:kern w:val="2"/>
          <w14:ligatures w14:val="standardContextual"/>
        </w:rPr>
      </w:pPr>
      <w:hyperlink w:anchor="_Toc230636005" w:history="1">
        <w:r w:rsidRPr="00A51CCB">
          <w:rPr>
            <w:rStyle w:val="Hipervnculo"/>
            <w:noProof/>
          </w:rPr>
          <w:t>Anexo A.</w:t>
        </w:r>
        <w:r>
          <w:rPr>
            <w:rFonts w:eastAsiaTheme="minorEastAsia" w:cstheme="minorBidi"/>
            <w:noProof/>
            <w:kern w:val="2"/>
            <w14:ligatures w14:val="standardContextual"/>
          </w:rPr>
          <w:tab/>
        </w:r>
        <w:r w:rsidRPr="00A51CCB">
          <w:rPr>
            <w:rStyle w:val="Hipervnculo"/>
            <w:noProof/>
          </w:rPr>
          <w:t>Encuestas realizadas</w:t>
        </w:r>
        <w:r>
          <w:rPr>
            <w:noProof/>
            <w:webHidden/>
          </w:rPr>
          <w:tab/>
        </w:r>
        <w:r>
          <w:rPr>
            <w:noProof/>
            <w:webHidden/>
          </w:rPr>
          <w:fldChar w:fldCharType="begin"/>
        </w:r>
        <w:r>
          <w:rPr>
            <w:noProof/>
            <w:webHidden/>
          </w:rPr>
          <w:instrText xml:space="preserve"> PAGEREF _Toc230636005 \h </w:instrText>
        </w:r>
        <w:r>
          <w:rPr>
            <w:noProof/>
            <w:webHidden/>
          </w:rPr>
        </w:r>
        <w:r>
          <w:rPr>
            <w:noProof/>
            <w:webHidden/>
          </w:rPr>
          <w:fldChar w:fldCharType="separate"/>
        </w:r>
        <w:r>
          <w:rPr>
            <w:noProof/>
            <w:webHidden/>
          </w:rPr>
          <w:t>30</w:t>
        </w:r>
        <w:r>
          <w:rPr>
            <w:noProof/>
            <w:webHidden/>
          </w:rPr>
          <w:fldChar w:fldCharType="end"/>
        </w:r>
      </w:hyperlink>
    </w:p>
    <w:p w14:paraId="5177810C" w14:textId="4A91B0CA"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r w:rsidR="00A7686B">
        <w:t xml:space="preserve"> </w:t>
      </w:r>
    </w:p>
    <w:p w14:paraId="7F66CA4B" w14:textId="6AF31DAB" w:rsidR="00D34BAD" w:rsidRDefault="00C10A65">
      <w:pPr>
        <w:pStyle w:val="TDC1"/>
        <w:tabs>
          <w:tab w:val="right" w:leader="dot" w:pos="9061"/>
        </w:tabs>
        <w:rPr>
          <w:rFonts w:eastAsiaTheme="minorEastAsia" w:cstheme="minorBidi"/>
          <w:noProof/>
          <w:sz w:val="22"/>
          <w:szCs w:val="22"/>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20304756" w:history="1">
        <w:r w:rsidR="00D34BAD" w:rsidRPr="001A50E6">
          <w:rPr>
            <w:rStyle w:val="Hipervnculo"/>
            <w:noProof/>
          </w:rPr>
          <w:t>Figura 1. “Figuras” del menú de estilos. (Elaboración propia)</w:t>
        </w:r>
        <w:r w:rsidR="00D34BAD">
          <w:rPr>
            <w:noProof/>
            <w:webHidden/>
          </w:rPr>
          <w:tab/>
        </w:r>
        <w:r w:rsidR="00D34BAD">
          <w:rPr>
            <w:noProof/>
            <w:webHidden/>
          </w:rPr>
          <w:fldChar w:fldCharType="begin"/>
        </w:r>
        <w:r w:rsidR="00D34BAD">
          <w:rPr>
            <w:noProof/>
            <w:webHidden/>
          </w:rPr>
          <w:instrText xml:space="preserve"> PAGEREF _Toc20304756 \h </w:instrText>
        </w:r>
        <w:r w:rsidR="00D34BAD">
          <w:rPr>
            <w:noProof/>
            <w:webHidden/>
          </w:rPr>
        </w:r>
        <w:r w:rsidR="00D34BAD">
          <w:rPr>
            <w:noProof/>
            <w:webHidden/>
          </w:rPr>
          <w:fldChar w:fldCharType="separate"/>
        </w:r>
        <w:r w:rsidR="00B615AD">
          <w:rPr>
            <w:noProof/>
            <w:webHidden/>
          </w:rPr>
          <w:t>36</w:t>
        </w:r>
        <w:r w:rsidR="00D34BAD">
          <w:rPr>
            <w:noProof/>
            <w:webHidden/>
          </w:rPr>
          <w:fldChar w:fldCharType="end"/>
        </w:r>
      </w:hyperlink>
    </w:p>
    <w:p w14:paraId="0BBA519A" w14:textId="338D05F8" w:rsidR="005D549B" w:rsidRDefault="00C10A65" w:rsidP="006403BD">
      <w:r w:rsidRPr="00B34BF5">
        <w:rPr>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0747186F" w14:textId="4954E7B1" w:rsidR="00AE7A29" w:rsidRDefault="00C10A65">
      <w:pPr>
        <w:pStyle w:val="Tabladeilustraciones"/>
        <w:tabs>
          <w:tab w:val="right" w:leader="dot" w:pos="9061"/>
        </w:tabs>
        <w:rPr>
          <w:rFonts w:eastAsiaTheme="minorEastAsia" w:cstheme="minorBidi"/>
          <w:noProof/>
          <w:kern w:val="2"/>
          <w14:ligatures w14:val="standardContextual"/>
        </w:rPr>
      </w:pPr>
      <w:r w:rsidRPr="00B56FB6">
        <w:fldChar w:fldCharType="begin"/>
      </w:r>
      <w:r w:rsidRPr="00B56FB6">
        <w:instrText xml:space="preserve"> TOC \h \z \t "Título de TDC;Tablas" \c </w:instrText>
      </w:r>
      <w:r w:rsidRPr="00B56FB6">
        <w:fldChar w:fldCharType="separate"/>
      </w:r>
      <w:hyperlink w:anchor="_Toc229999212" w:history="1">
        <w:r w:rsidR="00AE7A29" w:rsidRPr="003A045A">
          <w:rPr>
            <w:rStyle w:val="Hipervnculo"/>
            <w:noProof/>
          </w:rPr>
          <w:t>Tabla 1. Resumen de los datasets de RNA-seq integrados y características del diseño experimental.</w:t>
        </w:r>
        <w:r w:rsidR="00AE7A29">
          <w:rPr>
            <w:noProof/>
            <w:webHidden/>
          </w:rPr>
          <w:tab/>
        </w:r>
        <w:r w:rsidR="00AE7A29">
          <w:rPr>
            <w:noProof/>
            <w:webHidden/>
          </w:rPr>
          <w:fldChar w:fldCharType="begin"/>
        </w:r>
        <w:r w:rsidR="00AE7A29">
          <w:rPr>
            <w:noProof/>
            <w:webHidden/>
          </w:rPr>
          <w:instrText xml:space="preserve"> PAGEREF _Toc229999212 \h </w:instrText>
        </w:r>
        <w:r w:rsidR="00AE7A29">
          <w:rPr>
            <w:noProof/>
            <w:webHidden/>
          </w:rPr>
        </w:r>
        <w:r w:rsidR="00AE7A29">
          <w:rPr>
            <w:noProof/>
            <w:webHidden/>
          </w:rPr>
          <w:fldChar w:fldCharType="separate"/>
        </w:r>
        <w:r w:rsidR="00B615AD">
          <w:rPr>
            <w:noProof/>
            <w:webHidden/>
          </w:rPr>
          <w:t>20</w:t>
        </w:r>
        <w:r w:rsidR="00AE7A29">
          <w:rPr>
            <w:noProof/>
            <w:webHidden/>
          </w:rPr>
          <w:fldChar w:fldCharType="end"/>
        </w:r>
      </w:hyperlink>
    </w:p>
    <w:p w14:paraId="4D810AA7" w14:textId="6EDF72B3" w:rsidR="00AE7A29" w:rsidRDefault="00AE7A29">
      <w:pPr>
        <w:pStyle w:val="Tabladeilustraciones"/>
        <w:tabs>
          <w:tab w:val="right" w:leader="dot" w:pos="9061"/>
        </w:tabs>
        <w:rPr>
          <w:rFonts w:eastAsiaTheme="minorEastAsia" w:cstheme="minorBidi"/>
          <w:noProof/>
          <w:kern w:val="2"/>
          <w14:ligatures w14:val="standardContextual"/>
        </w:rPr>
      </w:pPr>
      <w:hyperlink w:anchor="_Toc229999213" w:history="1">
        <w:r w:rsidRPr="003A045A">
          <w:rPr>
            <w:rStyle w:val="Hipervnculo"/>
            <w:noProof/>
          </w:rPr>
          <w:t>Tabla 1. “Tablas” del menú de estilos</w:t>
        </w:r>
        <w:r>
          <w:rPr>
            <w:noProof/>
            <w:webHidden/>
          </w:rPr>
          <w:tab/>
        </w:r>
        <w:r>
          <w:rPr>
            <w:noProof/>
            <w:webHidden/>
          </w:rPr>
          <w:fldChar w:fldCharType="begin"/>
        </w:r>
        <w:r>
          <w:rPr>
            <w:noProof/>
            <w:webHidden/>
          </w:rPr>
          <w:instrText xml:space="preserve"> PAGEREF _Toc229999213 \h </w:instrText>
        </w:r>
        <w:r>
          <w:rPr>
            <w:noProof/>
            <w:webHidden/>
          </w:rPr>
        </w:r>
        <w:r>
          <w:rPr>
            <w:noProof/>
            <w:webHidden/>
          </w:rPr>
          <w:fldChar w:fldCharType="separate"/>
        </w:r>
        <w:r w:rsidR="00B615AD">
          <w:rPr>
            <w:noProof/>
            <w:webHidden/>
          </w:rPr>
          <w:t>36</w:t>
        </w:r>
        <w:r>
          <w:rPr>
            <w:noProof/>
            <w:webHidden/>
          </w:rPr>
          <w:fldChar w:fldCharType="end"/>
        </w:r>
      </w:hyperlink>
    </w:p>
    <w:p w14:paraId="111F1A94" w14:textId="6A828893" w:rsidR="005D549B" w:rsidRPr="00727AE8" w:rsidRDefault="00C10A65" w:rsidP="006403BD">
      <w:pPr>
        <w:pStyle w:val="TtuloTDC"/>
      </w:pPr>
      <w:r w:rsidRPr="00B56FB6">
        <w:fldChar w:fldCharType="end"/>
      </w:r>
    </w:p>
    <w:p w14:paraId="714B5BC8" w14:textId="77777777" w:rsidR="005D549B" w:rsidRPr="00727AE8" w:rsidRDefault="005D549B" w:rsidP="006403BD"/>
    <w:p w14:paraId="730CF473" w14:textId="47487400" w:rsidR="00C84740" w:rsidRPr="000D09A0" w:rsidRDefault="00A976F0" w:rsidP="000D09A0">
      <w:pPr>
        <w:pStyle w:val="Ttulo1"/>
      </w:pPr>
      <w:r w:rsidRPr="00727AE8">
        <w:br w:type="page"/>
      </w:r>
      <w:bookmarkStart w:id="4" w:name="_Toc230635965"/>
      <w:r w:rsidR="001B665F" w:rsidRPr="001B665F">
        <w:rPr>
          <w:caps w:val="0"/>
        </w:rPr>
        <w:lastRenderedPageBreak/>
        <w:t>Introducción</w:t>
      </w:r>
      <w:bookmarkEnd w:id="4"/>
    </w:p>
    <w:p w14:paraId="7BE321D2" w14:textId="77777777" w:rsidR="00F3241D" w:rsidRDefault="00F3241D" w:rsidP="00F3241D">
      <w:pPr>
        <w:pStyle w:val="Ttulo2"/>
        <w:rPr>
          <w:caps w:val="0"/>
        </w:rPr>
      </w:pPr>
      <w:bookmarkStart w:id="5" w:name="_Toc230635966"/>
      <w:r>
        <w:rPr>
          <w:caps w:val="0"/>
        </w:rPr>
        <w:t>Justificación</w:t>
      </w:r>
      <w:bookmarkEnd w:id="5"/>
    </w:p>
    <w:p w14:paraId="0026EA99" w14:textId="11C360EA" w:rsidR="00F3241D" w:rsidRDefault="00F3241D" w:rsidP="00F3241D">
      <w:pPr>
        <w:pStyle w:val="Ttulo2"/>
        <w:rPr>
          <w:caps w:val="0"/>
        </w:rPr>
      </w:pPr>
      <w:bookmarkStart w:id="6" w:name="_Toc230635967"/>
      <w:r>
        <w:rPr>
          <w:caps w:val="0"/>
        </w:rPr>
        <w:t>Planteamiento del Problema</w:t>
      </w:r>
      <w:bookmarkEnd w:id="6"/>
    </w:p>
    <w:p w14:paraId="5395641B" w14:textId="57A7A439" w:rsidR="00F3241D" w:rsidRDefault="00F3241D" w:rsidP="00F3241D">
      <w:pPr>
        <w:pStyle w:val="Ttulo2"/>
        <w:rPr>
          <w:caps w:val="0"/>
        </w:rPr>
      </w:pPr>
      <w:bookmarkStart w:id="7" w:name="_Toc230635968"/>
      <w:r>
        <w:rPr>
          <w:caps w:val="0"/>
        </w:rPr>
        <w:t>Objetivos del Estudio</w:t>
      </w:r>
      <w:bookmarkEnd w:id="7"/>
    </w:p>
    <w:p w14:paraId="0893E796" w14:textId="77777777" w:rsidR="00693159" w:rsidRDefault="00693159" w:rsidP="00693159">
      <w:r w:rsidRPr="00693159">
        <w:t>El propósito central de esta investigación radica en la caracterización del perfil transcriptómico del adenocarcinoma colorrectal mediante el uso de herramientas bioinformáticas avanzadas. A través de la integración de datos genómicos de gran escala y la aplicación de flujos de trabajo estandarizados, se pretende identificar y validar una firma molecular robusta que permita diferenciar el tejido tumoral del tejido sano. Para alcanzar esta meta, se establece el siguiente objetivo general y se desglosan los objetivos específicos que guiarán el desarrollo del estudio:</w:t>
      </w:r>
    </w:p>
    <w:p w14:paraId="2B477D89" w14:textId="77777777" w:rsidR="00693159" w:rsidRPr="00693159" w:rsidRDefault="00F3241D" w:rsidP="00693159">
      <w:r w:rsidRPr="00693159">
        <w:rPr>
          <w:u w:val="single"/>
        </w:rPr>
        <w:t>Objetivo General</w:t>
      </w:r>
      <w:r w:rsidRPr="00693159">
        <w:t>:</w:t>
      </w:r>
    </w:p>
    <w:p w14:paraId="3510B7DD" w14:textId="77777777" w:rsidR="00693159" w:rsidRDefault="00693159">
      <w:pPr>
        <w:pStyle w:val="Prrafodelista"/>
        <w:numPr>
          <w:ilvl w:val="0"/>
          <w:numId w:val="17"/>
        </w:numPr>
      </w:pPr>
      <w:r w:rsidRPr="001724F1">
        <w:t>Realizar un análisis bioinformático comparativo</w:t>
      </w:r>
      <w:r w:rsidRPr="00693159">
        <w:t xml:space="preserve"> de la expresión diferencial de genes entre tejido tumoral colorrectal y tejido normal adyacente, empleando conjuntos de datos de dominio público para la identificación de biomarcadores candidatos.</w:t>
      </w:r>
    </w:p>
    <w:p w14:paraId="660ABBE8" w14:textId="518D4EB1" w:rsidR="00F3241D" w:rsidRPr="00693159" w:rsidRDefault="00F3241D" w:rsidP="00693159">
      <w:r w:rsidRPr="00693159">
        <w:rPr>
          <w:u w:val="single"/>
        </w:rPr>
        <w:t>Objetivos Específicos</w:t>
      </w:r>
      <w:r w:rsidRPr="00693159">
        <w:t>:</w:t>
      </w:r>
    </w:p>
    <w:p w14:paraId="7F8D28EE" w14:textId="35EC95B6" w:rsidR="00693159" w:rsidRDefault="00693159">
      <w:pPr>
        <w:numPr>
          <w:ilvl w:val="0"/>
          <w:numId w:val="16"/>
        </w:numPr>
      </w:pPr>
      <w:r w:rsidRPr="00693159">
        <w:t xml:space="preserve">Implementar un pipeline bioinformático robusto en el entorno estadístico R, utilizando el paquete </w:t>
      </w:r>
      <w:r w:rsidRPr="001724F1">
        <w:rPr>
          <w:i/>
          <w:iCs/>
        </w:rPr>
        <w:t>DESeq2</w:t>
      </w:r>
      <w:r w:rsidRPr="00693159">
        <w:t xml:space="preserve"> para el procesamiento, normalización </w:t>
      </w:r>
      <w:r w:rsidR="001724F1" w:rsidRPr="001724F1">
        <w:t>y análisis estadístico de datos procedentes de secuenciación masiva de ARN (</w:t>
      </w:r>
      <w:r w:rsidR="001724F1" w:rsidRPr="001724F1">
        <w:rPr>
          <w:i/>
          <w:iCs/>
        </w:rPr>
        <w:t>bulk RNA-seq</w:t>
      </w:r>
      <w:r w:rsidR="001724F1" w:rsidRPr="001724F1">
        <w:t>)</w:t>
      </w:r>
      <w:r w:rsidRPr="00693159">
        <w:t>.</w:t>
      </w:r>
    </w:p>
    <w:p w14:paraId="53CFE56B" w14:textId="0F71105B" w:rsidR="00693159" w:rsidRDefault="00F3241D">
      <w:pPr>
        <w:numPr>
          <w:ilvl w:val="0"/>
          <w:numId w:val="16"/>
        </w:numPr>
      </w:pPr>
      <w:r w:rsidRPr="00F3241D">
        <w:t>Identificar genes significativamente alterados</w:t>
      </w:r>
      <w:r w:rsidR="00693159">
        <w:t xml:space="preserve">, </w:t>
      </w:r>
      <w:r w:rsidR="00693159" w:rsidRPr="00693159">
        <w:t>estableciendo un perfil de expresión diferencial de referencia para el cáncer de colon.</w:t>
      </w:r>
    </w:p>
    <w:p w14:paraId="3CBAD293" w14:textId="3939B57C" w:rsidR="00693159" w:rsidRPr="00693159" w:rsidRDefault="00693159">
      <w:pPr>
        <w:numPr>
          <w:ilvl w:val="0"/>
          <w:numId w:val="16"/>
        </w:numPr>
      </w:pPr>
      <w:r w:rsidRPr="00693159">
        <w:t>Realizar una anotación funcional</w:t>
      </w:r>
      <w:r>
        <w:t xml:space="preserve"> de los genes identificados mediante el análisis de términos de </w:t>
      </w:r>
      <w:r w:rsidRPr="001724F1">
        <w:rPr>
          <w:i/>
          <w:iCs/>
        </w:rPr>
        <w:t>Gene Ontology</w:t>
      </w:r>
      <w:r>
        <w:t xml:space="preserve"> (GO) y rutas metabólicas (KEGG), proporcionando una interpretación biológica a los cambios de expresión detectados.</w:t>
      </w:r>
    </w:p>
    <w:p w14:paraId="662D265E" w14:textId="6D208168" w:rsidR="00C47481" w:rsidRDefault="00693159">
      <w:pPr>
        <w:numPr>
          <w:ilvl w:val="0"/>
          <w:numId w:val="16"/>
        </w:numPr>
      </w:pPr>
      <w:r w:rsidRPr="00693159">
        <w:t>Evaluar la consistencia de los resultados</w:t>
      </w:r>
      <w:r>
        <w:t xml:space="preserve"> obtenidos entre los datasets analizados, destacando aquellos biomarcadores candidatos que presenten un comportamiento reproducible en diferentes entornos de secuenciación.</w:t>
      </w:r>
    </w:p>
    <w:p w14:paraId="13117768" w14:textId="77777777" w:rsidR="00C47481" w:rsidRDefault="00C47481">
      <w:pPr>
        <w:spacing w:before="0" w:after="0" w:line="240" w:lineRule="auto"/>
        <w:jc w:val="left"/>
      </w:pPr>
      <w:r>
        <w:br w:type="page"/>
      </w:r>
    </w:p>
    <w:p w14:paraId="60808182" w14:textId="55D5D2B6" w:rsidR="00F3241D" w:rsidRPr="000D09A0" w:rsidRDefault="00F3241D" w:rsidP="00F3241D">
      <w:pPr>
        <w:pStyle w:val="Ttulo1"/>
      </w:pPr>
      <w:bookmarkStart w:id="8" w:name="_Toc230635969"/>
      <w:r>
        <w:rPr>
          <w:caps w:val="0"/>
        </w:rPr>
        <w:lastRenderedPageBreak/>
        <w:t>Marco teórico</w:t>
      </w:r>
      <w:bookmarkEnd w:id="8"/>
    </w:p>
    <w:p w14:paraId="2C0FD14A" w14:textId="77777777" w:rsidR="00F3241D" w:rsidRDefault="00F3241D" w:rsidP="00F3241D">
      <w:pPr>
        <w:pStyle w:val="Ttulo2"/>
        <w:rPr>
          <w:caps w:val="0"/>
        </w:rPr>
      </w:pPr>
      <w:bookmarkStart w:id="9" w:name="_Toc230635970"/>
      <w:r>
        <w:rPr>
          <w:caps w:val="0"/>
        </w:rPr>
        <w:t>El Adenocarcinoma Colorrectal (CRC)</w:t>
      </w:r>
      <w:bookmarkEnd w:id="9"/>
    </w:p>
    <w:p w14:paraId="54B6EDA1" w14:textId="10645AA5" w:rsidR="00416F2B" w:rsidRDefault="00FE07F0" w:rsidP="00416F2B">
      <w:r w:rsidRPr="00FE07F0">
        <w:t xml:space="preserve">El cáncer colorrectal (CRC) representa un desafío de primer orden para la salud debido a su elevada incidencia y mortalidad. </w:t>
      </w:r>
      <w:r w:rsidR="00FA2090">
        <w:t>De acuerdo con</w:t>
      </w:r>
      <w:r w:rsidRPr="00FE07F0">
        <w:t xml:space="preserve"> las estimaciones más recientes del proyecto GLOBOCAN</w:t>
      </w:r>
      <w:r>
        <w:fldChar w:fldCharType="begin"/>
      </w:r>
      <w:r>
        <w:instrText xml:space="preserve"> ADDIN ZOTERO_ITEM CSL_CITATION {"citationID":"yuU3R4M3","properties":{"unsorted":false,"formattedCitation":"(1)","plainCitation":"(1)","noteIndex":0},"citationItems":[{"id":17,"uris":["http://zotero.org/users/local/sechomLT/items/6Y52Z7JV"],"itemData":{"id":17,"type":"article-journal","abstract":"This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clinicians","DOI":"10.3322/caac.21834","ISSN":"1542-4863","issue":"3","journalAbbreviation":"CA Cancer J Clin","language":"eng","page":"229-263","PMID":"38572751","source":"PubMed","title":"Global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fldChar w:fldCharType="separate"/>
      </w:r>
      <w:r w:rsidRPr="00FE07F0">
        <w:rPr>
          <w:rFonts w:ascii="Calibri" w:hAnsi="Calibri" w:cs="Calibri"/>
        </w:rPr>
        <w:t>(1)</w:t>
      </w:r>
      <w:r>
        <w:fldChar w:fldCharType="end"/>
      </w:r>
      <w:r w:rsidRPr="00FE07F0">
        <w:t xml:space="preserve">, el CRC se sitúa como el tercer tipo de cáncer más diagnosticado a nivel mundial </w:t>
      </w:r>
      <w:r w:rsidR="00E95810">
        <w:t xml:space="preserve">(9.6 %) </w:t>
      </w:r>
      <w:r w:rsidRPr="00FE07F0">
        <w:t>y la segunda causa principal de muerte por cáncer</w:t>
      </w:r>
      <w:r w:rsidR="00E95810">
        <w:t xml:space="preserve"> (</w:t>
      </w:r>
      <w:r w:rsidR="00980219">
        <w:t>9.3 %</w:t>
      </w:r>
      <w:r w:rsidR="00E95810">
        <w:t>)</w:t>
      </w:r>
      <w:r w:rsidRPr="00FE07F0">
        <w:t>, con aproximadamente 1.9 millones de nuevos casos y más de 900,000 defunciones anuales.</w:t>
      </w:r>
      <w:r w:rsidR="00416F2B">
        <w:t xml:space="preserve"> S</w:t>
      </w:r>
      <w:r w:rsidR="00416F2B" w:rsidRPr="00416F2B">
        <w:t xml:space="preserve">egún los cálculos de </w:t>
      </w:r>
      <w:r w:rsidR="00416F2B">
        <w:t xml:space="preserve">la </w:t>
      </w:r>
      <w:r w:rsidR="00416F2B" w:rsidRPr="00416F2B">
        <w:t>Red Española de Registros de Cáncer (REDECAN)</w:t>
      </w:r>
      <w:r w:rsidR="00416F2B">
        <w:t xml:space="preserve">, se prevé que este tipo de </w:t>
      </w:r>
      <w:r w:rsidR="00FA2090">
        <w:t>neoplasia</w:t>
      </w:r>
      <w:r w:rsidR="00416F2B">
        <w:t xml:space="preserve"> sea </w:t>
      </w:r>
      <w:r w:rsidR="00FA2090">
        <w:t>la</w:t>
      </w:r>
      <w:r w:rsidR="00416F2B">
        <w:t xml:space="preserve"> que más se diagnostique en España en 2026 con </w:t>
      </w:r>
      <w:r w:rsidR="00DA52C0">
        <w:t xml:space="preserve">aproximadamente </w:t>
      </w:r>
      <w:r w:rsidR="00416F2B" w:rsidRPr="00416F2B">
        <w:t>44.</w:t>
      </w:r>
      <w:r w:rsidR="00DA52C0">
        <w:t>000</w:t>
      </w:r>
      <w:r w:rsidR="00416F2B" w:rsidRPr="00416F2B">
        <w:t xml:space="preserve"> </w:t>
      </w:r>
      <w:r w:rsidR="00DA52C0" w:rsidRPr="00416F2B">
        <w:t xml:space="preserve">nuevos </w:t>
      </w:r>
      <w:r w:rsidR="00416F2B" w:rsidRPr="00416F2B">
        <w:t>casos</w:t>
      </w:r>
      <w:r w:rsidR="00A266E8">
        <w:t xml:space="preserve">; siendo también </w:t>
      </w:r>
      <w:r w:rsidR="00FA2090">
        <w:t>la</w:t>
      </w:r>
      <w:r w:rsidR="00A266E8">
        <w:t xml:space="preserve"> segund</w:t>
      </w:r>
      <w:r w:rsidR="00FA2090">
        <w:t>a</w:t>
      </w:r>
      <w:r w:rsidR="00A266E8">
        <w:t xml:space="preserve"> con mayor tasa de mortalidad (</w:t>
      </w:r>
      <w:r w:rsidR="00A266E8" w:rsidRPr="00A266E8">
        <w:t>10.451</w:t>
      </w:r>
      <w:r w:rsidR="00A266E8">
        <w:t xml:space="preserve"> fallecidos</w:t>
      </w:r>
      <w:r w:rsidR="00FA2090">
        <w:t xml:space="preserve"> en 2024</w:t>
      </w:r>
      <w:r w:rsidR="00A266E8">
        <w:t>)</w:t>
      </w:r>
      <w:r w:rsidR="00FA2090">
        <w:fldChar w:fldCharType="begin"/>
      </w:r>
      <w:r w:rsidR="001E19BF">
        <w:instrText xml:space="preserve"> ADDIN ZOTERO_ITEM CSL_CITATION {"citationID":"ekXX4HLj","properties":{"unsorted":false,"formattedCitation":"(2)","plainCitation":"(2)","noteIndex":0},"citationItems":[{"id":32,"uris":["http://zotero.org/users/local/sechomLT/items/TI8CZ6KY"],"itemData":{"id":32,"type":"report","ISBN":"978-84-09-82151-8","publisher":"SEOM","title":"Las Cifras del Cáncer en España 2026","URL":"https://seom.org/images/Las_Cifras_del_Cancer_en_Espanya_2026.pdf","author":[{"literal":"Sociedad Española de Oncología Médica (SEOM)"}],"issued":{"date-parts":[["2026"]]}}}],"schema":"https://github.com/citation-style-language/schema/raw/master/csl-citation.json"} </w:instrText>
      </w:r>
      <w:r w:rsidR="00FA2090">
        <w:fldChar w:fldCharType="separate"/>
      </w:r>
      <w:r w:rsidR="00FA2090" w:rsidRPr="00FA2090">
        <w:rPr>
          <w:rFonts w:ascii="Calibri" w:hAnsi="Calibri" w:cs="Calibri"/>
        </w:rPr>
        <w:t>(2)</w:t>
      </w:r>
      <w:r w:rsidR="00FA2090">
        <w:fldChar w:fldCharType="end"/>
      </w:r>
      <w:r w:rsidR="00A266E8">
        <w:t>.</w:t>
      </w:r>
    </w:p>
    <w:p w14:paraId="08B336C3" w14:textId="638E1188" w:rsidR="00A0019C" w:rsidRPr="00A0019C" w:rsidRDefault="00F17224" w:rsidP="00A0019C">
      <w:r w:rsidRPr="00F17224">
        <w:t>Más allá de estas cifras, se ha documentado un incremento notable de la incidencia en regiones en vías de desarrollo, tales como Europa del Este, el sudeste y centro de Asia, y América del Sur</w:t>
      </w:r>
      <w:r>
        <w:fldChar w:fldCharType="begin"/>
      </w:r>
      <w:r>
        <w:instrText xml:space="preserve"> ADDIN ZOTERO_ITEM CSL_CITATION {"citationID":"OHiW2Rj1","properties":{"unsorted":false,"formattedCitation":"(1)","plainCitation":"(1)","noteIndex":0},"citationItems":[{"id":17,"uris":["http://zotero.org/users/local/sechomLT/items/6Y52Z7JV"],"itemData":{"id":17,"type":"article-journal","abstract":"This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clinicians","DOI":"10.3322/caac.21834","ISSN":"1542-4863","issue":"3","journalAbbreviation":"CA Cancer J Clin","language":"eng","page":"229-263","PMID":"38572751","source":"PubMed","title":"Global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fldChar w:fldCharType="separate"/>
      </w:r>
      <w:r w:rsidRPr="00F17224">
        <w:rPr>
          <w:rFonts w:ascii="Calibri" w:hAnsi="Calibri" w:cs="Calibri"/>
        </w:rPr>
        <w:t>(1)</w:t>
      </w:r>
      <w:r>
        <w:fldChar w:fldCharType="end"/>
      </w:r>
      <w:r w:rsidRPr="00F17224">
        <w:t>.</w:t>
      </w:r>
      <w:r w:rsidR="00A0019C" w:rsidRPr="00A0019C">
        <w:rPr>
          <w:rFonts w:ascii="Times New Roman" w:hAnsi="Times New Roman"/>
        </w:rPr>
        <w:t xml:space="preserve"> </w:t>
      </w:r>
      <w:r w:rsidR="00A0019C" w:rsidRPr="00A0019C">
        <w:t>Este fenómeno se atribuye, en gran medida, a la adopción de hábitos de vida</w:t>
      </w:r>
      <w:r w:rsidR="00A0019C">
        <w:t xml:space="preserve"> </w:t>
      </w:r>
      <w:r w:rsidR="00A0019C" w:rsidRPr="00A0019C">
        <w:t xml:space="preserve">occidentalizados, </w:t>
      </w:r>
      <w:r w:rsidR="00A0019C">
        <w:t>los cuales suponen</w:t>
      </w:r>
      <w:r w:rsidR="00A0019C" w:rsidRPr="00A0019C">
        <w:t xml:space="preserve"> cambios drásticos en los patrones dietéticos y de conducta. Factores ambientales como el sedentarismo, el tabaquismo</w:t>
      </w:r>
      <w:r w:rsidR="00A839A3">
        <w:t>, la disbiosis intestinal</w:t>
      </w:r>
      <w:r w:rsidR="00A0019C" w:rsidRPr="00A0019C">
        <w:t>, el consumo de alcohol y una dieta caracterizada por el exceso de carnes rojas y alimentos ultraprocesados actúan como promotores críticos de la carcinogénesis, elevando significativamente el riesgo de desarrollar esta patología</w:t>
      </w:r>
      <w:r w:rsidR="00CB0BD9">
        <w:fldChar w:fldCharType="begin"/>
      </w:r>
      <w:r w:rsidR="00A839A3">
        <w:instrText xml:space="preserve"> ADDIN ZOTERO_ITEM CSL_CITATION {"citationID":"AX4TLJIH","properties":{"unsorted":false,"formattedCitation":"(1\\uc0\\u8211{}3)","plainCitation":"(1–3)","noteIndex":0},"citationItems":[{"id":17,"uris":["http://zotero.org/users/local/sechomLT/items/6Y52Z7JV"],"itemData":{"id":17,"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clinicians","DOI":"10.3322/caac.21834","ISSN":"1542-4863","issue":"3","journalAbbreviation":"CA Cancer J Clin","language":"eng","page":"229-263","PMID":"38572751","source":"PubMed","title":"Global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id":32,"uris":["http://zotero.org/users/local/sechomLT/items/TI8CZ6KY"],"itemData":{"id":32,"type":"report","ISBN":"978-84-09-82151-8","publisher":"SEOM","title":"Las Cifras del Cáncer en España 2026","URL":"https://seom.org/images/Las_Cifras_del_Cancer_en_Espanya_2026.pdf","author":[{"literal":"Sociedad Española de Oncología Médica (SEOM)"}],"issued":{"date-parts":[["2026"]]}}},{"id":35,"uris":["http://zotero.org/users/local/sechomLT/items/BQ8KHV3Z"],"itemData":{"id":35,"type":"article-journal","abstract":"Colorectal cancer (CRC) constitutes a prominent global health burden, being the third most frequently diagnosed malignancy in terms of incidence and the second leading cause of cancer-associated death across the globe. Malignant transformation of colonic epithelial cells stems from the intricate dysregulation of intracellular signal transduction networks. Although targeted therapies have substantially improved patient survival relative to traditional treatments, the complexity of the molecular networks driving carcinogenesis continues to limit the overall prognosis. This review delineates the core signaling cascades governing CRC initiation and progression, with emphasis on the molecular hallmarks of the disease. Drawing on a growing body of high-quality preclinical and clinical evidence, we summarize currently available targeted agents and critically evaluate their underlying mechanisms of action and clinical curative effects, and inherent limitations within the contemporary therapeutic landscape. In addition, we discuss how recent advances in immune checkpoint inhibitors (ICIs) along with a deeper understanding of the tumor microenvironment are shaping global clinical guidelines and revealing promising new targets and combinatorial strategies. In summary, expanding insights into oncogenic signaling pathways are guiding the development of novel treatments and enabling the identification of key elements amenable to pharmacological intervention. Ultimately, this review aims to support the rational design of precise and personalized therapeutic strategies to improve CRC prognosis.","container-title":"Molecular Biomedicine","DOI":"10.1186/s43556-026-00433-4","ISSN":"2662-8651","journalAbbreviation":"Mol Biomed","page":"32","PMID":"41826571","PMCID":"PMC12988139","source":"PubMed Central","title":"Colorectal cancer pathogenesis, oncogenic signaling networks and targeted therapeutic advances","URL":"https://pmc.ncbi.nlm.nih.gov/articles/PMC12988139/","volume":"7","author":[{"family":"Chen","given":"Yue"},{"family":"Zhang","given":"Jiaqi"},{"family":"Ding","given":"Yi"},{"family":"Zhu","given":"Fang"},{"family":"Chen","given":"Yinnan"}],"accessed":{"date-parts":[["2026",5,11]]},"issued":{"date-parts":[["2026",3,14]]}}}],"schema":"https://github.com/citation-style-language/schema/raw/master/csl-citation.json"} </w:instrText>
      </w:r>
      <w:r w:rsidR="00CB0BD9">
        <w:fldChar w:fldCharType="separate"/>
      </w:r>
      <w:r w:rsidR="00A839A3" w:rsidRPr="00A839A3">
        <w:rPr>
          <w:rFonts w:ascii="Calibri" w:hAnsi="Calibri" w:cs="Calibri"/>
        </w:rPr>
        <w:t>(1–3)</w:t>
      </w:r>
      <w:r w:rsidR="00CB0BD9">
        <w:fldChar w:fldCharType="end"/>
      </w:r>
      <w:r w:rsidR="00A0019C" w:rsidRPr="00A0019C">
        <w:t>.</w:t>
      </w:r>
    </w:p>
    <w:p w14:paraId="1E23660E" w14:textId="05B0A77D" w:rsidR="003B6702" w:rsidRDefault="00A839A3" w:rsidP="003B6702">
      <w:r w:rsidRPr="00A839A3">
        <w:t xml:space="preserve">Desde una perspectiva clínica, el CRC se define como una neoplasia maligna </w:t>
      </w:r>
      <w:r>
        <w:t>caracterizada</w:t>
      </w:r>
      <w:r w:rsidRPr="00A839A3">
        <w:t xml:space="preserve"> por la proliferación celular descontrolada en los tejidos que conforman el tramo distal del tracto digestivo, específicamente en el colon y el recto</w:t>
      </w:r>
      <w:r w:rsidR="001E19BF">
        <w:fldChar w:fldCharType="begin"/>
      </w:r>
      <w:r w:rsidR="005324F0">
        <w:instrText xml:space="preserve"> ADDIN ZOTERO_ITEM CSL_CITATION {"citationID":"b6Gg8Iop","properties":{"unsorted":false,"formattedCitation":"(4)","plainCitation":"(4)","noteIndex":0},"citationItems":[{"id":10,"uris":["http://zotero.org/users/local/sechomLT/items/PUDVKYZ9"],"itemData":{"id":10,"type":"article-journal","abstract":"Colorectal cancer (CRC) is a diverse disease entity and a leading cause of cancer-related mortality worldwide. CRC results from the accumulation of multiple genetic and epigenetic alterations. This heterogeneity of CRC underscores the significance of understanding its molecular landscape, as variations in tumor genetics can greatly influence both patient prognosis and therapeutic response. The molecular complexity of CRC is defined by three major carcinogenesis pathways: chromosomal instability (CIN), microsatellite instability (MSI), and the CpG island methylator phenotype (CIMP). These pathways contribute to the onset and progression of CRC through mutations, epigenetic modifications, and dysregulated cellular signalling networks. The heterogeneous nature of CRC continues to pose challenges in identifying universally effective treatments, highlighting the need for personalized approaches. Hence, the present review aims at unravelling the molecular complexity of CRC that is essential for improving diagnosis, prognostication, and treatment. We detail on the current understanding of the molecular framework of CRC, central signalling pathways of CRC associated with its initiation to a malignant phenotype, further invasion, progression, metastases, and response to therapy. Continued research into CRC’s pathways and biomarkers will pave the way for the development of more precise and effective therapeutic strategies, ultimately improving patient outcomes.","container-title":"Cancer Management and Research","DOI":"10.2147/CMAR.S481656","ISSN":"1179-1322","journalAbbreviation":"Cancer Manag Res","page":"1389-1403","PMID":"39403607","PMCID":"PMC11472760","source":"PubMed Central","title":"Molecular Complexity of Colorectal Cancer: Pathways, Biomarkers, and Therapeutic Strategies","title-short":"Molecular Complexity of Colorectal Cancer","URL":"https://pmc.ncbi.nlm.nih.gov/articles/PMC11472760/","volume":"16","author":[{"family":"Yang","given":"Zhengdong"},{"family":"Wang","given":"Xinyang"},{"family":"Zhou","given":"Huiying"},{"family":"Jiang","given":"Minghan"},{"family":"Wang","given":"Jinghui"},{"family":"Sui","given":"Bowen"}],"accessed":{"date-parts":[["2026",5,11]]},"issued":{"date-parts":[["2024",10,10]]}}}],"schema":"https://github.com/citation-style-language/schema/raw/master/csl-citation.json"} </w:instrText>
      </w:r>
      <w:r w:rsidR="001E19BF">
        <w:fldChar w:fldCharType="separate"/>
      </w:r>
      <w:r w:rsidR="005324F0" w:rsidRPr="005324F0">
        <w:rPr>
          <w:rFonts w:ascii="Calibri" w:hAnsi="Calibri" w:cs="Calibri"/>
        </w:rPr>
        <w:t>(4)</w:t>
      </w:r>
      <w:r w:rsidR="001E19BF">
        <w:fldChar w:fldCharType="end"/>
      </w:r>
      <w:r w:rsidR="006339BA" w:rsidRPr="006339BA">
        <w:t>.</w:t>
      </w:r>
      <w:r w:rsidRPr="00A839A3">
        <w:t xml:space="preserve"> </w:t>
      </w:r>
      <w:r w:rsidR="003B6702" w:rsidRPr="003B6702">
        <w:t xml:space="preserve">No obstante, esta definición morfológica simplifica una realidad biológica mucho más compleja. Si bien los factores ambientales </w:t>
      </w:r>
      <w:r w:rsidR="00F47B28">
        <w:t xml:space="preserve">previamente </w:t>
      </w:r>
      <w:r w:rsidR="003B6702" w:rsidRPr="003B6702">
        <w:t>descritos desempeñan un papel iniciador, su desarrollo está ligado a un entramado de alteraciones moleculares altamente variables.</w:t>
      </w:r>
      <w:r w:rsidR="003B6702">
        <w:t xml:space="preserve"> </w:t>
      </w:r>
      <w:r w:rsidR="003B6702" w:rsidRPr="003B6702">
        <w:t>En este sentido, el CRC</w:t>
      </w:r>
      <w:r w:rsidR="003B6702">
        <w:t xml:space="preserve"> </w:t>
      </w:r>
      <w:r w:rsidR="003B6702" w:rsidRPr="003B6702">
        <w:t>debe entenderse como</w:t>
      </w:r>
      <w:r w:rsidR="003B6702">
        <w:t xml:space="preserve"> </w:t>
      </w:r>
      <w:r w:rsidR="003B6702" w:rsidRPr="003B6702">
        <w:t>una patología de marcada heterogeneidad</w:t>
      </w:r>
      <w:r w:rsidR="004408D1">
        <w:t xml:space="preserve"> intertumoral</w:t>
      </w:r>
      <w:r w:rsidR="003B6702" w:rsidRPr="003B6702">
        <w:t>.</w:t>
      </w:r>
    </w:p>
    <w:p w14:paraId="0D333110" w14:textId="2AF549D1" w:rsidR="003B6702" w:rsidRDefault="003B6702" w:rsidP="003B6702">
      <w:r w:rsidRPr="003B6702">
        <w:t>Su origen reside en la acumulación progresiva de alteraciones genéticas y epigenéticas que desregulan la homeostasis del epitelio intestinal</w:t>
      </w:r>
      <w:r w:rsidR="00F47B28">
        <w:fldChar w:fldCharType="begin"/>
      </w:r>
      <w:r w:rsidR="00F47B28">
        <w:instrText xml:space="preserve"> ADDIN ZOTERO_ITEM CSL_CITATION {"citationID":"2rqgNYtq","properties":{"unsorted":false,"formattedCitation":"(3,4)","plainCitation":"(3,4)","noteIndex":0},"citationItems":[{"id":10,"uris":["http://zotero.org/users/local/sechomLT/items/PUDVKYZ9"],"itemData":{"id":10,"type":"article-journal","abstract":"Colorectal cancer (CRC) is a diverse disease entity and a leading cause of cancer-related mortality worldwide. CRC results from the accumulation of multiple genetic and epigenetic alterations. This heterogeneity of CRC underscores the significance of understanding its molecular landscape, as variations in tumor genetics can greatly influence both patient prognosis and therapeutic response. The molecular complexity of CRC is defined by three major carcinogenesis pathways: chromosomal instability (CIN), microsatellite instability (MSI), and the CpG island methylator phenotype (CIMP). These pathways contribute to the onset and progression of CRC through mutations, epigenetic modifications, and dysregulated cellular signalling networks. The heterogeneous nature of CRC continues to pose challenges in identifying universally effective treatments, highlighting the need for personalized approaches. Hence, the present review aims at unravelling the molecular complexity of CRC that is essential for improving diagnosis, prognostication, and treatment. We detail on the current understanding of the molecular framework of CRC, central signalling pathways of CRC associated with its initiation to a malignant phenotype, further invasion, progression, metastases, and response to therapy. Continued research into CRC’s pathways and biomarkers will pave the way for the development of more precise and effective therapeutic strategies, ultimately improving patient outcomes.","container-title":"Cancer Management and Research","DOI":"10.2147/CMAR.S481656","ISSN":"1179-1322","journalAbbreviation":"Cancer Manag Res","page":"1389-1403","PMID":"39403607","PMCID":"PMC11472760","source":"PubMed Central","title":"Molecular Complexity of Colorectal Cancer: Pathways, Biomarkers, and Therapeutic Strategies","title-short":"Molecular Complexity of Colorectal Cancer","URL":"https://pmc.ncbi.nlm.nih.gov/articles/PMC11472760/","volume":"16","author":[{"family":"Yang","given":"Zhengdong"},{"family":"Wang","given":"Xinyang"},{"family":"Zhou","given":"Huiying"},{"family":"Jiang","given":"Minghan"},{"family":"Wang","given":"Jinghui"},{"family":"Sui","given":"Bowen"}],"accessed":{"date-parts":[["2026",5,11]]},"issued":{"date-parts":[["2024",10,10]]}}},{"id":35,"uris":["http://zotero.org/users/local/sechomLT/items/BQ8KHV3Z"],"itemData":{"id":35,"type":"article-journal","abstract":"Colorectal cancer (CRC) constitutes a prominent global health burden, being the third most frequently diagnosed malignancy in terms of incidence and the second leading cause of cancer-associated death across the globe. Malignant transformation of colonic epithelial cells stems from the intricate dysregulation of intracellular signal transduction networks. Although targeted therapies have substantially improved patient survival relative to traditional treatments, the complexity of the molecular networks driving carcinogenesis continues to limit the overall prognosis. This review delineates the core signaling cascades governing CRC initiation and progression, with emphasis on the molecular hallmarks of the disease. Drawing on a growing body of high-quality preclinical and clinical evidence, we summarize currently available targeted agents and critically evaluate their underlying mechanisms of action and clinical curative effects, and inherent limitations within the contemporary therapeutic landscape. In addition, we discuss how recent advances in immune checkpoint inhibitors (ICIs) along with a deeper understanding of the tumor microenvironment are shaping global clinical guidelines and revealing promising new targets and combinatorial strategies. In summary, expanding insights into oncogenic signaling pathways are guiding the development of novel treatments and enabling the identification of key elements amenable to pharmacological intervention. Ultimately, this review aims to support the rational design of precise and personalized therapeutic strategies to improve CRC prognosis.","container-title":"Molecular Biomedicine","DOI":"10.1186/s43556-026-00433-4","ISSN":"2662-8651","journalAbbreviation":"Mol Biomed","page":"32","PMID":"41826571","PMCID":"PMC12988139","source":"PubMed Central","title":"Colorectal cancer pathogenesis, oncogenic signaling networks and targeted therapeutic advances","URL":"https://pmc.ncbi.nlm.nih.gov/articles/PMC12988139/","volume":"7","author":[{"family":"Chen","given":"Yue"},{"family":"Zhang","given":"Jiaqi"},{"family":"Ding","given":"Yi"},{"family":"Zhu","given":"Fang"},{"family":"Chen","given":"Yinnan"}],"accessed":{"date-parts":[["2026",5,11]]},"issued":{"date-parts":[["2026",3,14]]}}}],"schema":"https://github.com/citation-style-language/schema/raw/master/csl-citation.json"} </w:instrText>
      </w:r>
      <w:r w:rsidR="00F47B28">
        <w:fldChar w:fldCharType="separate"/>
      </w:r>
      <w:r w:rsidR="00F47B28" w:rsidRPr="00136B06">
        <w:rPr>
          <w:rFonts w:ascii="Calibri" w:hAnsi="Calibri" w:cs="Calibri"/>
        </w:rPr>
        <w:t>(3,4)</w:t>
      </w:r>
      <w:r w:rsidR="00F47B28">
        <w:fldChar w:fldCharType="end"/>
      </w:r>
      <w:r w:rsidR="00F47B28">
        <w:t>.</w:t>
      </w:r>
      <w:r w:rsidR="00F47B28" w:rsidRPr="00F47B28">
        <w:t xml:space="preserve"> Sin embargo, la variabilidad en la combinación y expresión de estos perfiles moleculares deriva en u</w:t>
      </w:r>
      <w:r w:rsidR="004408D1">
        <w:t>n desarrollo neoplásico</w:t>
      </w:r>
      <w:r w:rsidR="00F47B28" w:rsidRPr="00F47B28">
        <w:t xml:space="preserve"> muy diferente en cada paciente.</w:t>
      </w:r>
    </w:p>
    <w:p w14:paraId="178A538E" w14:textId="3E002AC2" w:rsidR="008C1A7C" w:rsidRDefault="008C1A7C" w:rsidP="003B6702">
      <w:r>
        <w:lastRenderedPageBreak/>
        <w:t>EXPLIICAR SUBTIPOS MOLECULARES DE CONSENSO?????</w:t>
      </w:r>
    </w:p>
    <w:p w14:paraId="640E43FA" w14:textId="28552B24" w:rsidR="00F3241D" w:rsidRDefault="00F3241D" w:rsidP="00F3241D">
      <w:pPr>
        <w:pStyle w:val="Ttulo2"/>
        <w:rPr>
          <w:caps w:val="0"/>
        </w:rPr>
      </w:pPr>
      <w:bookmarkStart w:id="10" w:name="_Toc230635971"/>
      <w:r>
        <w:rPr>
          <w:caps w:val="0"/>
        </w:rPr>
        <w:t>Bioinformática y Transcriptómica</w:t>
      </w:r>
      <w:bookmarkEnd w:id="10"/>
    </w:p>
    <w:p w14:paraId="3535B3C0" w14:textId="749DFBEC" w:rsidR="00F3241D" w:rsidRDefault="00F3241D" w:rsidP="00F3241D">
      <w:pPr>
        <w:pStyle w:val="Ttulo2"/>
        <w:rPr>
          <w:caps w:val="0"/>
        </w:rPr>
      </w:pPr>
      <w:bookmarkStart w:id="11" w:name="_Toc230635972"/>
      <w:r>
        <w:rPr>
          <w:caps w:val="0"/>
        </w:rPr>
        <w:t>Análisis de Expresión Diferencial</w:t>
      </w:r>
      <w:bookmarkEnd w:id="11"/>
    </w:p>
    <w:p w14:paraId="683DA217" w14:textId="27C6086F" w:rsidR="00F3241D" w:rsidRDefault="00F3241D" w:rsidP="00F3241D">
      <w:pPr>
        <w:pStyle w:val="Ttulo2"/>
        <w:rPr>
          <w:caps w:val="0"/>
        </w:rPr>
      </w:pPr>
      <w:bookmarkStart w:id="12" w:name="_Toc230635973"/>
      <w:r w:rsidRPr="00F3241D">
        <w:rPr>
          <w:caps w:val="0"/>
        </w:rPr>
        <w:t>Anotación y Ontología Génica (GO)</w:t>
      </w:r>
      <w:bookmarkEnd w:id="12"/>
    </w:p>
    <w:p w14:paraId="57C25AE3" w14:textId="77777777" w:rsidR="00FA10CF" w:rsidRDefault="00FA10CF">
      <w:pPr>
        <w:spacing w:before="0" w:after="0" w:line="240" w:lineRule="auto"/>
        <w:jc w:val="left"/>
        <w:rPr>
          <w:rFonts w:asciiTheme="majorHAnsi" w:hAnsiTheme="majorHAnsi"/>
          <w:bCs/>
          <w:color w:val="0098CD"/>
          <w:kern w:val="32"/>
          <w:sz w:val="36"/>
          <w:szCs w:val="32"/>
        </w:rPr>
      </w:pPr>
      <w:r>
        <w:rPr>
          <w:caps/>
        </w:rPr>
        <w:br w:type="page"/>
      </w:r>
    </w:p>
    <w:p w14:paraId="6A277C3F" w14:textId="5E5AAD97" w:rsidR="00F3241D" w:rsidRDefault="00F3241D" w:rsidP="00F3241D">
      <w:pPr>
        <w:pStyle w:val="Ttulo1"/>
        <w:rPr>
          <w:caps w:val="0"/>
        </w:rPr>
      </w:pPr>
      <w:bookmarkStart w:id="13" w:name="_Toc230635974"/>
      <w:r w:rsidRPr="00D17170">
        <w:rPr>
          <w:caps w:val="0"/>
        </w:rPr>
        <w:lastRenderedPageBreak/>
        <w:t>Metodología</w:t>
      </w:r>
      <w:bookmarkEnd w:id="13"/>
    </w:p>
    <w:p w14:paraId="7AD689D0" w14:textId="6E58BDD6" w:rsidR="00B54C94" w:rsidRDefault="00B54C94" w:rsidP="00B54C94">
      <w:pPr>
        <w:rPr>
          <w:rFonts w:ascii="Times New Roman" w:hAnsi="Times New Roman"/>
        </w:rPr>
      </w:pPr>
      <w:r>
        <w:t xml:space="preserve">Con el propósito de garantizar la transparencia y la reproducibilidad de este estudio, todos los recursos empleados y generados a lo largo del flujo de trabajo se han puesto a disposición pública. De este modo, tanto los datos de entrada como los </w:t>
      </w:r>
      <w:r>
        <w:rPr>
          <w:i/>
          <w:iCs/>
        </w:rPr>
        <w:t>scripts</w:t>
      </w:r>
      <w:r>
        <w:t xml:space="preserve"> de código desarrollados y los resultados derivados del análisis se encuentran alojados en un repositorio de GitHub. Todo este material puede ser consultado de forma íntegra a través del siguiente enlace: </w:t>
      </w:r>
      <w:hyperlink r:id="rId15" w:tgtFrame="_blank" w:history="1">
        <w:r>
          <w:rPr>
            <w:rStyle w:val="Hipervnculo"/>
          </w:rPr>
          <w:t>https://github.com/VeronicaCVT/TFM_Bioinfo_Colon_Cancer</w:t>
        </w:r>
      </w:hyperlink>
      <w:r>
        <w:t>.</w:t>
      </w:r>
    </w:p>
    <w:p w14:paraId="07D6651E" w14:textId="77777777" w:rsidR="00F3241D" w:rsidRDefault="00F3241D" w:rsidP="00F3241D">
      <w:pPr>
        <w:pStyle w:val="Ttulo2"/>
        <w:rPr>
          <w:caps w:val="0"/>
        </w:rPr>
      </w:pPr>
      <w:bookmarkStart w:id="14" w:name="_Toc230635975"/>
      <w:commentRangeStart w:id="15"/>
      <w:r w:rsidRPr="00352D17">
        <w:rPr>
          <w:caps w:val="0"/>
        </w:rPr>
        <w:t xml:space="preserve">Obtención </w:t>
      </w:r>
      <w:commentRangeEnd w:id="15"/>
      <w:r w:rsidR="00FA10CF" w:rsidRPr="00352D17">
        <w:rPr>
          <w:rStyle w:val="Refdecomentario"/>
          <w:caps w:val="0"/>
          <w:sz w:val="28"/>
          <w:szCs w:val="28"/>
        </w:rPr>
        <w:commentReference w:id="15"/>
      </w:r>
      <w:r w:rsidRPr="00352D17">
        <w:rPr>
          <w:caps w:val="0"/>
        </w:rPr>
        <w:t>de los Datos y Criterios de Selección</w:t>
      </w:r>
      <w:bookmarkEnd w:id="14"/>
    </w:p>
    <w:p w14:paraId="46F1E4CC" w14:textId="77777777" w:rsidR="00F3241D" w:rsidRPr="004A1570" w:rsidRDefault="00F3241D" w:rsidP="00F3241D">
      <w:r w:rsidRPr="00C661F2">
        <w:t>La recopilación de datos adecuados para el estudio es un paso fundamental, ya que estos constituyen la base de todos los análisis bioinformáticos y estadísticos posteriores. En este apartado se describe detalladamente el procedimiento seguido para la búsqueda de información y los criterios técnicos aplicados para garantizar la calidad de los datos resultantes.</w:t>
      </w:r>
    </w:p>
    <w:p w14:paraId="48E34917" w14:textId="77777777" w:rsidR="00F3241D" w:rsidRDefault="00F3241D" w:rsidP="00F3241D">
      <w:pPr>
        <w:pStyle w:val="Ttulo3"/>
      </w:pPr>
      <w:bookmarkStart w:id="16" w:name="_Toc230635976"/>
      <w:r>
        <w:t>Fuente de datos</w:t>
      </w:r>
      <w:bookmarkEnd w:id="16"/>
    </w:p>
    <w:p w14:paraId="5953A054" w14:textId="520214A4" w:rsidR="00F3241D" w:rsidRDefault="00F3241D" w:rsidP="006055C8">
      <w:r w:rsidRPr="00C661F2">
        <w:t>Las bases de datos consultadas en esta investigación son de carácter público, específicamente los repositorios</w:t>
      </w:r>
      <w:r w:rsidR="0045010B" w:rsidRPr="0045010B">
        <w:t xml:space="preserve"> </w:t>
      </w:r>
      <w:commentRangeStart w:id="17"/>
      <w:r w:rsidR="0045010B">
        <w:fldChar w:fldCharType="begin"/>
      </w:r>
      <w:r w:rsidR="0045010B">
        <w:instrText>HYPERLINK "https://www.ncbi.nlm.nih.gov/geo/"</w:instrText>
      </w:r>
      <w:r w:rsidR="0045010B">
        <w:fldChar w:fldCharType="separate"/>
      </w:r>
      <w:r w:rsidR="0045010B" w:rsidRPr="0045010B">
        <w:rPr>
          <w:rStyle w:val="Hipervnculo"/>
        </w:rPr>
        <w:t>Gene Expression Omnibus</w:t>
      </w:r>
      <w:r w:rsidR="0045010B">
        <w:fldChar w:fldCharType="end"/>
      </w:r>
      <w:commentRangeEnd w:id="17"/>
      <w:r w:rsidR="0066759C" w:rsidRPr="00C661F2">
        <w:rPr>
          <w:rStyle w:val="Refdecomentario"/>
          <w:sz w:val="24"/>
          <w:szCs w:val="24"/>
        </w:rPr>
        <w:commentReference w:id="17"/>
      </w:r>
      <w:r w:rsidR="0045010B" w:rsidRPr="00C661F2">
        <w:t xml:space="preserve"> (GEO) </w:t>
      </w:r>
      <w:r w:rsidR="0045010B" w:rsidRPr="00CB7DBC">
        <w:t xml:space="preserve">del </w:t>
      </w:r>
      <w:hyperlink r:id="rId16" w:history="1">
        <w:r w:rsidR="0045010B" w:rsidRPr="0045010B">
          <w:rPr>
            <w:rStyle w:val="Hipervnculo"/>
          </w:rPr>
          <w:t>National Center for Biotechnology Information</w:t>
        </w:r>
      </w:hyperlink>
      <w:r w:rsidR="0045010B" w:rsidRPr="00CB7DBC">
        <w:t xml:space="preserve"> (NCBI)</w:t>
      </w:r>
      <w:r w:rsidRPr="00C661F2">
        <w:t xml:space="preserve"> y </w:t>
      </w:r>
      <w:hyperlink r:id="rId17" w:history="1">
        <w:r w:rsidRPr="0045010B">
          <w:rPr>
            <w:rStyle w:val="Hipervnculo"/>
          </w:rPr>
          <w:t>The Cancer Genome Atlas</w:t>
        </w:r>
      </w:hyperlink>
      <w:r w:rsidRPr="00C661F2">
        <w:t xml:space="preserve"> (TCGA). Al trabajar con datos secundarios de acceso abierto, no se ha requerido la obtención de consentimientos informados adicionales ni compromisos de confidencialidad específicos, dado que el anonimato de los participantes originales está plenamente garantizado por los protocolos de los repositorios de origen</w:t>
      </w:r>
      <w:r>
        <w:t>.</w:t>
      </w:r>
    </w:p>
    <w:p w14:paraId="7F9479CC" w14:textId="30D46A13" w:rsidR="006055C8" w:rsidRPr="00CB7DBC" w:rsidRDefault="006055C8" w:rsidP="00F3241D">
      <w:r w:rsidRPr="006055C8">
        <w:t>A fin de garantizar la validez estadística y la relevancia biológica de los resultados, la selección de los conjuntos de datos no se realizó de manera arbitraria, sino mediante la aplicación de los siguientes criterios estrictos de inclusión y exclusión</w:t>
      </w:r>
      <w:r>
        <w:t>:</w:t>
      </w:r>
    </w:p>
    <w:p w14:paraId="791CEC19" w14:textId="77777777" w:rsidR="00F3241D" w:rsidRPr="00CB7DBC" w:rsidRDefault="00F3241D" w:rsidP="00F3241D">
      <w:pPr>
        <w:tabs>
          <w:tab w:val="num" w:pos="360"/>
        </w:tabs>
        <w:rPr>
          <w:u w:val="single"/>
        </w:rPr>
      </w:pPr>
      <w:r w:rsidRPr="00CB7DBC">
        <w:rPr>
          <w:u w:val="single"/>
        </w:rPr>
        <w:t>Criterios de inclusión</w:t>
      </w:r>
    </w:p>
    <w:p w14:paraId="659A7FA1" w14:textId="6C29BDC3" w:rsidR="00F3241D" w:rsidRDefault="00F3241D">
      <w:pPr>
        <w:pStyle w:val="Prrafodelista"/>
        <w:numPr>
          <w:ilvl w:val="0"/>
          <w:numId w:val="11"/>
        </w:numPr>
        <w:tabs>
          <w:tab w:val="num" w:pos="720"/>
        </w:tabs>
      </w:pPr>
      <w:r w:rsidRPr="00CB7DBC">
        <w:rPr>
          <w:b/>
          <w:bCs/>
        </w:rPr>
        <w:t>Organismo y Patología</w:t>
      </w:r>
      <w:r w:rsidRPr="00CB7DBC">
        <w:t>: Muestras de origen humano</w:t>
      </w:r>
      <w:r w:rsidR="0045010B">
        <w:t xml:space="preserve"> </w:t>
      </w:r>
      <w:r w:rsidRPr="00CB7DBC">
        <w:t>con diagnóstico confirmado de adenocarcinoma colorrectal.</w:t>
      </w:r>
    </w:p>
    <w:p w14:paraId="731F29C3" w14:textId="56F133F4" w:rsidR="00F3241D" w:rsidRDefault="00F3241D">
      <w:pPr>
        <w:pStyle w:val="Prrafodelista"/>
        <w:numPr>
          <w:ilvl w:val="0"/>
          <w:numId w:val="11"/>
        </w:numPr>
        <w:tabs>
          <w:tab w:val="num" w:pos="720"/>
        </w:tabs>
      </w:pPr>
      <w:r w:rsidRPr="00CB7DBC">
        <w:rPr>
          <w:b/>
          <w:bCs/>
        </w:rPr>
        <w:t>Tipo de Secuenciación</w:t>
      </w:r>
      <w:r w:rsidRPr="00CB7DBC">
        <w:t xml:space="preserve">: Estudios basados exclusivamente en secuenciación </w:t>
      </w:r>
      <w:r w:rsidR="0045010B" w:rsidRPr="00CB7DBC">
        <w:t xml:space="preserve">masiva </w:t>
      </w:r>
      <w:r w:rsidRPr="00CB7DBC">
        <w:t>de ARN (</w:t>
      </w:r>
      <w:r w:rsidRPr="00CB7DBC">
        <w:rPr>
          <w:i/>
          <w:iCs/>
        </w:rPr>
        <w:t>Bulk RNA-seq</w:t>
      </w:r>
      <w:r w:rsidRPr="00CB7DBC">
        <w:t>).</w:t>
      </w:r>
    </w:p>
    <w:p w14:paraId="0D921BB9" w14:textId="77777777" w:rsidR="00F3241D" w:rsidRDefault="00F3241D">
      <w:pPr>
        <w:pStyle w:val="Prrafodelista"/>
        <w:numPr>
          <w:ilvl w:val="0"/>
          <w:numId w:val="11"/>
        </w:numPr>
        <w:tabs>
          <w:tab w:val="num" w:pos="720"/>
        </w:tabs>
      </w:pPr>
      <w:r w:rsidRPr="00CB7DBC">
        <w:rPr>
          <w:b/>
          <w:bCs/>
        </w:rPr>
        <w:lastRenderedPageBreak/>
        <w:t>Diseño Experimental</w:t>
      </w:r>
      <w:r w:rsidRPr="00CB7DBC">
        <w:t>: Muestras que permitan la comparación directa entre tejido tumoral colorrectal y tejido no tumoral (normal/adyacente).</w:t>
      </w:r>
    </w:p>
    <w:p w14:paraId="4B03C287" w14:textId="347BB7AE" w:rsidR="00ED735F" w:rsidRPr="0020681F" w:rsidRDefault="00F3241D" w:rsidP="0020681F">
      <w:pPr>
        <w:pStyle w:val="Prrafodelista"/>
        <w:numPr>
          <w:ilvl w:val="0"/>
          <w:numId w:val="11"/>
        </w:numPr>
        <w:tabs>
          <w:tab w:val="num" w:pos="720"/>
        </w:tabs>
        <w:rPr>
          <w:u w:val="single"/>
        </w:rPr>
      </w:pPr>
      <w:r w:rsidRPr="00CB7DBC">
        <w:rPr>
          <w:b/>
          <w:bCs/>
        </w:rPr>
        <w:t>Naturaleza de los Datos</w:t>
      </w:r>
      <w:r w:rsidRPr="00CB7DBC">
        <w:t>: Disponibilidad de matrices de conteos crudos (</w:t>
      </w:r>
      <w:r w:rsidRPr="0045010B">
        <w:rPr>
          <w:i/>
          <w:iCs/>
        </w:rPr>
        <w:t>Raw Counts</w:t>
      </w:r>
      <w:r w:rsidRPr="00CB7DBC">
        <w:t>).</w:t>
      </w:r>
      <w:r>
        <w:t xml:space="preserve"> Esto implica que las matrices están compuestas por </w:t>
      </w:r>
      <w:r w:rsidRPr="00CB7DBC">
        <w:t>números enteros</w:t>
      </w:r>
      <w:r>
        <w:t xml:space="preserve">, </w:t>
      </w:r>
      <w:r w:rsidRPr="00CB7DBC">
        <w:t>criterio indispensable para la correcta aplicación del paquete bioinformático DESeq2</w:t>
      </w:r>
      <w:r>
        <w:t>.</w:t>
      </w:r>
    </w:p>
    <w:p w14:paraId="246A6FE7" w14:textId="19898017" w:rsidR="00F3241D" w:rsidRDefault="00F3241D" w:rsidP="00F3241D">
      <w:pPr>
        <w:ind w:left="360"/>
        <w:rPr>
          <w:u w:val="single"/>
        </w:rPr>
      </w:pPr>
      <w:r w:rsidRPr="00F31CF8">
        <w:rPr>
          <w:u w:val="single"/>
        </w:rPr>
        <w:t>Criterios de exclusión</w:t>
      </w:r>
    </w:p>
    <w:p w14:paraId="2253B388" w14:textId="28FD087E" w:rsidR="00F3241D" w:rsidRPr="00F31CF8" w:rsidRDefault="00F3241D">
      <w:pPr>
        <w:pStyle w:val="Prrafodelista"/>
        <w:numPr>
          <w:ilvl w:val="0"/>
          <w:numId w:val="12"/>
        </w:numPr>
        <w:tabs>
          <w:tab w:val="num" w:pos="720"/>
        </w:tabs>
      </w:pPr>
      <w:r w:rsidRPr="00F31CF8">
        <w:rPr>
          <w:b/>
          <w:bCs/>
        </w:rPr>
        <w:t>Datos de Lectura Primaria (Archivos FASTQ)</w:t>
      </w:r>
      <w:r w:rsidRPr="00F31CF8">
        <w:t xml:space="preserve">: Se excluyó el procesamiento inicial de lecturas crudas y el correspondiente flujo de preprocesamiento (control de calidad de lecturas, </w:t>
      </w:r>
      <w:r w:rsidRPr="0045010B">
        <w:rPr>
          <w:i/>
          <w:iCs/>
        </w:rPr>
        <w:t>trimming</w:t>
      </w:r>
      <w:r w:rsidRPr="00F31CF8">
        <w:t xml:space="preserve">, alineamiento genómico y cuantificación). </w:t>
      </w:r>
      <w:r w:rsidR="0045010B" w:rsidRPr="001800DA">
        <w:t>Esta decisión se fundamenta en la limitación de recursos computacionales de alto rendimiento (HPC) necesarios para gestionar el elevado volumen de datos y la carga de CPU/RAM que demandan los algoritmos de alineamiento (ej. STAR o HISAT2).</w:t>
      </w:r>
    </w:p>
    <w:p w14:paraId="59AD6554" w14:textId="77777777" w:rsidR="00D8579A" w:rsidRDefault="00D8579A">
      <w:pPr>
        <w:pStyle w:val="Prrafodelista"/>
        <w:numPr>
          <w:ilvl w:val="0"/>
          <w:numId w:val="12"/>
        </w:numPr>
        <w:tabs>
          <w:tab w:val="num" w:pos="720"/>
        </w:tabs>
      </w:pPr>
      <w:r w:rsidRPr="00C4392D">
        <w:rPr>
          <w:b/>
          <w:bCs/>
        </w:rPr>
        <w:t>Datos Normalizados o Transformados: </w:t>
      </w:r>
      <w:r w:rsidRPr="00345CDD">
        <w:t>Se excluyeron los conjuntos de datos que proporcionaban exclusivamente valores ya normalizados (ej. RPKM, FPKM o TPM). Esta restricción es necesaria debido a que el modelo estadístico de DESeq2 requiere obligatoriamente conteo</w:t>
      </w:r>
      <w:r>
        <w:t>s crudos</w:t>
      </w:r>
      <w:r w:rsidRPr="00345CDD">
        <w:t xml:space="preserve"> para estimar la dispersión y aplicar sus propios algoritmos de normalización interna.</w:t>
      </w:r>
    </w:p>
    <w:p w14:paraId="2DC9BF17" w14:textId="7691FD40" w:rsidR="00F3241D" w:rsidRPr="00EA15E4" w:rsidRDefault="00F3241D">
      <w:pPr>
        <w:pStyle w:val="Prrafodelista"/>
        <w:numPr>
          <w:ilvl w:val="0"/>
          <w:numId w:val="12"/>
        </w:numPr>
        <w:tabs>
          <w:tab w:val="num" w:pos="720"/>
        </w:tabs>
      </w:pPr>
      <w:r w:rsidRPr="00EA15E4">
        <w:rPr>
          <w:b/>
          <w:bCs/>
        </w:rPr>
        <w:t>Otras Fracciones de ARN</w:t>
      </w:r>
      <w:r w:rsidRPr="00EA15E4">
        <w:t>:</w:t>
      </w:r>
      <w:r>
        <w:t xml:space="preserve"> Se descartaron específicamente los datos procedentes de </w:t>
      </w:r>
      <w:r w:rsidRPr="00EA15E4">
        <w:t>micro-ARN (miRNA)</w:t>
      </w:r>
      <w:r>
        <w:t>, ARN pequeño nuclear (snRNA) y otros tipos de ARN no codificante de cadena corta; debido a que sus perfiles de expresión requieren métodos de normalización y librerías de secuenciación específicas.</w:t>
      </w:r>
    </w:p>
    <w:p w14:paraId="2FB4A289" w14:textId="77777777" w:rsidR="00F3241D" w:rsidRPr="00EA15E4" w:rsidRDefault="00F3241D">
      <w:pPr>
        <w:pStyle w:val="Prrafodelista"/>
        <w:numPr>
          <w:ilvl w:val="0"/>
          <w:numId w:val="12"/>
        </w:numPr>
        <w:tabs>
          <w:tab w:val="num" w:pos="720"/>
        </w:tabs>
        <w:rPr>
          <w:u w:val="single"/>
        </w:rPr>
      </w:pPr>
      <w:r w:rsidRPr="00EA15E4">
        <w:rPr>
          <w:b/>
          <w:bCs/>
        </w:rPr>
        <w:t>Enfoque Mitocondrial Específico</w:t>
      </w:r>
      <w:r w:rsidRPr="00EA15E4">
        <w:t xml:space="preserve">: </w:t>
      </w:r>
      <w:r>
        <w:t xml:space="preserve">Exclusión de </w:t>
      </w:r>
      <w:r w:rsidRPr="00EA15E4">
        <w:t>aquellos trabajos cuyo objetivo de estudio principal fuera el transcriptoma mitocondrial o patologías de herencia mitocondrial, manteniendo el foco de la investigación en la regulación génica del genoma nuclear.</w:t>
      </w:r>
    </w:p>
    <w:p w14:paraId="3FCC2714" w14:textId="77777777" w:rsidR="00F3241D" w:rsidRPr="00F31CF8" w:rsidRDefault="00F3241D">
      <w:pPr>
        <w:pStyle w:val="Prrafodelista"/>
        <w:numPr>
          <w:ilvl w:val="0"/>
          <w:numId w:val="12"/>
        </w:numPr>
        <w:tabs>
          <w:tab w:val="num" w:pos="720"/>
        </w:tabs>
        <w:rPr>
          <w:u w:val="single"/>
        </w:rPr>
      </w:pPr>
      <w:r w:rsidRPr="00EA15E4">
        <w:rPr>
          <w:b/>
          <w:bCs/>
        </w:rPr>
        <w:t>Tecnologías Alternativas</w:t>
      </w:r>
      <w:r w:rsidRPr="00F31CF8">
        <w:t>: Estudios de microarrays o de célula única (single-cell), por requerir pipelines de análisis distintos al objetivo de este estudio.</w:t>
      </w:r>
    </w:p>
    <w:p w14:paraId="35A52141" w14:textId="77777777" w:rsidR="00D8579A" w:rsidRPr="008A5115" w:rsidRDefault="00D8579A">
      <w:pPr>
        <w:pStyle w:val="Prrafodelista"/>
        <w:numPr>
          <w:ilvl w:val="0"/>
          <w:numId w:val="12"/>
        </w:numPr>
        <w:tabs>
          <w:tab w:val="num" w:pos="720"/>
        </w:tabs>
      </w:pPr>
      <w:r w:rsidRPr="00C4392D">
        <w:rPr>
          <w:b/>
          <w:bCs/>
        </w:rPr>
        <w:t>Preservación de las Muestras:</w:t>
      </w:r>
      <w:r w:rsidRPr="00C4392D">
        <w:t> Se excluyeron los tejidos fijados en formalina y embebidos en parafina (FFPE), seleccionando únicamente muestras conservadas mediante congelación inmediata (</w:t>
      </w:r>
      <w:r w:rsidRPr="00C4392D">
        <w:rPr>
          <w:i/>
          <w:iCs/>
        </w:rPr>
        <w:t>fresh frozen</w:t>
      </w:r>
      <w:r w:rsidRPr="00C4392D">
        <w:t>). Esto garantiza una mayor integridad del ARN y evita los sesgos de degradación técnica asociados al proceso de fijación.</w:t>
      </w:r>
    </w:p>
    <w:p w14:paraId="0DA26E18" w14:textId="79775F61" w:rsidR="00F3241D" w:rsidRDefault="00B31CC2" w:rsidP="00F3241D">
      <w:r w:rsidRPr="00B31CC2">
        <w:lastRenderedPageBreak/>
        <w:t xml:space="preserve">En consonancia con </w:t>
      </w:r>
      <w:r>
        <w:t>los criterios de selección establecidos</w:t>
      </w:r>
      <w:r w:rsidRPr="00B31CC2">
        <w:t>, el primer repositorio analizado fue GEO</w:t>
      </w:r>
      <w:r>
        <w:t xml:space="preserve">. </w:t>
      </w:r>
      <w:r w:rsidRPr="00B31CC2">
        <w:t xml:space="preserve">El proceso de búsqueda y selección de datos transcriptómicos en esta plataforma se ejecutó a través de la base de datos </w:t>
      </w:r>
      <w:r w:rsidRPr="00B31CC2">
        <w:rPr>
          <w:i/>
          <w:iCs/>
        </w:rPr>
        <w:t>GEO DataSets</w:t>
      </w:r>
      <w:r w:rsidRPr="00B31CC2">
        <w:t>, diseñando una estrategia orientada a maximizar la especificidad mediante el uso de operadores booleanos y términos controlados:</w:t>
      </w:r>
    </w:p>
    <w:p w14:paraId="6B016543" w14:textId="2F201CD2" w:rsidR="00D8579A" w:rsidRPr="00CB7DBC" w:rsidRDefault="00D8579A" w:rsidP="00D8579A">
      <w:pPr>
        <w:jc w:val="center"/>
      </w:pPr>
      <w:r w:rsidRPr="00345CDD">
        <w:rPr>
          <w:i/>
          <w:iCs/>
          <w:lang w:val="en-US"/>
        </w:rPr>
        <w:t>(colon cancer[Title] OR colorectal cancer[Title]) AND "Homo sapiens"[Organism] AND "Expression profiling by high throughput sequencing"[All Fields]</w:t>
      </w:r>
    </w:p>
    <w:p w14:paraId="2B6639F4" w14:textId="75CC596B" w:rsidR="00F3241D" w:rsidRDefault="00D8579A" w:rsidP="00F3241D">
      <w:r w:rsidRPr="0096477E">
        <w:t>A excepción del dataset </w:t>
      </w:r>
      <w:r w:rsidRPr="00345CDD">
        <w:t>GSE164541</w:t>
      </w:r>
      <w:r w:rsidRPr="0096477E">
        <w:t>, que facilita la matriz de conteos crudos en formato </w:t>
      </w:r>
      <w:commentRangeStart w:id="18"/>
      <w:r w:rsidRPr="00345CDD">
        <w:rPr>
          <w:i/>
          <w:iCs/>
        </w:rPr>
        <w:t>.csv</w:t>
      </w:r>
      <w:commentRangeEnd w:id="18"/>
      <w:r w:rsidR="0066759C" w:rsidRPr="0096477E">
        <w:rPr>
          <w:rStyle w:val="Refdecomentario"/>
          <w:sz w:val="24"/>
          <w:szCs w:val="24"/>
        </w:rPr>
        <w:commentReference w:id="18"/>
      </w:r>
      <w:r w:rsidRPr="0096477E">
        <w:t>, los demás estudios (</w:t>
      </w:r>
      <w:r w:rsidRPr="00345CDD">
        <w:t>GSE50760</w:t>
      </w:r>
      <w:r w:rsidRPr="0096477E">
        <w:t>, </w:t>
      </w:r>
      <w:r w:rsidRPr="00345CDD">
        <w:t>GSE92914</w:t>
      </w:r>
      <w:r w:rsidRPr="0096477E">
        <w:t>, </w:t>
      </w:r>
      <w:r w:rsidRPr="00345CDD">
        <w:t>GSE104836</w:t>
      </w:r>
      <w:r w:rsidRPr="0096477E">
        <w:t>, </w:t>
      </w:r>
      <w:r w:rsidRPr="00345CDD">
        <w:t>GSE142279</w:t>
      </w:r>
      <w:r w:rsidRPr="0096477E">
        <w:t> y </w:t>
      </w:r>
      <w:r w:rsidRPr="00345CDD">
        <w:t>GSE156451</w:t>
      </w:r>
      <w:r w:rsidRPr="0096477E">
        <w:t>) fueron obtenidos como matrices de conteo preprocesadas mediante el </w:t>
      </w:r>
      <w:r w:rsidRPr="0096477E">
        <w:rPr>
          <w:i/>
          <w:iCs/>
        </w:rPr>
        <w:t>pipeline</w:t>
      </w:r>
      <w:r w:rsidRPr="0096477E">
        <w:t> de análisis estandarizado del NCBI (GEO)</w:t>
      </w:r>
      <w:r w:rsidR="00F3241D">
        <w:t xml:space="preserve">. </w:t>
      </w:r>
      <w:commentRangeStart w:id="19"/>
      <w:r w:rsidR="00DF66A3" w:rsidRPr="00DF66A3">
        <w:t>Es fundamental destacar que, aunque algunas de estas series se asociaron originalmente a publicaciones basadas en el ensamblaje antiguo hg19 (GRCh37), el reanálisis centralizado de GEO actualiza y unifica la versión del genoma a hg38 (GRCh38).</w:t>
      </w:r>
      <w:commentRangeEnd w:id="19"/>
      <w:r w:rsidR="00DF66A3" w:rsidRPr="00DF66A3">
        <w:rPr>
          <w:rStyle w:val="Refdecomentario"/>
          <w:sz w:val="24"/>
          <w:szCs w:val="24"/>
        </w:rPr>
        <w:commentReference w:id="19"/>
      </w:r>
      <w:r w:rsidR="00DF66A3" w:rsidRPr="00DF66A3">
        <w:t xml:space="preserve"> Este procedimiento </w:t>
      </w:r>
      <w:r w:rsidR="00F3241D">
        <w:t xml:space="preserve">consiste en el alineamiento de </w:t>
      </w:r>
      <w:r w:rsidR="00F3241D" w:rsidRPr="00A90667">
        <w:t xml:space="preserve">las ejecuciones de secuenciación del </w:t>
      </w:r>
      <w:r w:rsidR="00F3241D" w:rsidRPr="00A90667">
        <w:rPr>
          <w:i/>
          <w:iCs/>
        </w:rPr>
        <w:t>Sequence Read Archive</w:t>
      </w:r>
      <w:r w:rsidR="00F3241D" w:rsidRPr="00A90667">
        <w:t xml:space="preserve"> (SRA) clasificadas como transcriptómicas y correspondientes a </w:t>
      </w:r>
      <w:r w:rsidR="00F3241D" w:rsidRPr="00A90667">
        <w:rPr>
          <w:i/>
          <w:iCs/>
        </w:rPr>
        <w:t>Homo sapiens</w:t>
      </w:r>
      <w:r w:rsidR="00F3241D" w:rsidRPr="00A90667">
        <w:t xml:space="preserve"> contra el ensamblaje del genoma de referencia GCA_000001405.15 utilizando el algoritmo HISAT2. Aquellas ejecuciones que logran superar una tasa de alineamiento mínima del 50% son procesadas a continuación con el programa </w:t>
      </w:r>
      <w:r w:rsidR="00F3241D" w:rsidRPr="00A90667">
        <w:rPr>
          <w:i/>
          <w:iCs/>
        </w:rPr>
        <w:t>featureCounts</w:t>
      </w:r>
      <w:r w:rsidR="00F3241D" w:rsidRPr="00A90667">
        <w:t xml:space="preserve"> (paquete </w:t>
      </w:r>
      <w:r w:rsidR="00F3241D" w:rsidRPr="00801974">
        <w:rPr>
          <w:i/>
          <w:iCs/>
        </w:rPr>
        <w:t>Subread</w:t>
      </w:r>
      <w:r w:rsidR="00F3241D" w:rsidRPr="00A90667">
        <w:t>), el cual genera un archivo de conteo crudo individual para cada ejecución. Posteriormente, GEO integra estos archivos individuales en matrices de conteo crudo a nivel de Serie (</w:t>
      </w:r>
      <w:r w:rsidR="00F3241D" w:rsidRPr="00A90667">
        <w:rPr>
          <w:i/>
          <w:iCs/>
        </w:rPr>
        <w:t>GEO Series raw counts matrices</w:t>
      </w:r>
      <w:r w:rsidR="00F3241D" w:rsidRPr="00A90667">
        <w:t xml:space="preserve">). Como paso final </w:t>
      </w:r>
      <w:r w:rsidR="00F3241D">
        <w:t xml:space="preserve">de este </w:t>
      </w:r>
      <w:r w:rsidR="00F3241D" w:rsidRPr="003C39D5">
        <w:rPr>
          <w:i/>
          <w:iCs/>
        </w:rPr>
        <w:t>pipeline</w:t>
      </w:r>
      <w:r w:rsidR="00F3241D" w:rsidRPr="00A90667">
        <w:t xml:space="preserve">, los valores cuantitativos de las matrices se redondean para asegurar que sean </w:t>
      </w:r>
      <w:r w:rsidR="00F3241D" w:rsidRPr="00A90667">
        <w:rPr>
          <w:i/>
          <w:iCs/>
        </w:rPr>
        <w:t>inputs</w:t>
      </w:r>
      <w:r w:rsidR="00F3241D" w:rsidRPr="00A90667">
        <w:t xml:space="preserve"> compatibles con los programas estándar de </w:t>
      </w:r>
      <w:r w:rsidRPr="00A90667">
        <w:t xml:space="preserve">análisis de expresión </w:t>
      </w:r>
      <w:commentRangeStart w:id="20"/>
      <w:r w:rsidRPr="00A90667">
        <w:t>diferencial</w:t>
      </w:r>
      <w:commentRangeEnd w:id="20"/>
      <w:r w:rsidR="0066759C" w:rsidRPr="00A90667">
        <w:rPr>
          <w:rStyle w:val="Refdecomentario"/>
          <w:sz w:val="24"/>
          <w:szCs w:val="24"/>
        </w:rPr>
        <w:commentReference w:id="20"/>
      </w:r>
      <w:r w:rsidR="00F3241D" w:rsidRPr="00A90667">
        <w:t>.</w:t>
      </w:r>
    </w:p>
    <w:p w14:paraId="0BCA1811" w14:textId="62DD1826" w:rsidR="00F3241D" w:rsidRDefault="00F3241D" w:rsidP="00F3241D">
      <w:r w:rsidRPr="00B115EA">
        <w:t xml:space="preserve">A pesar de que la generación de datos automatizada por el NCBI supone una herramienta valiosa, este procedimiento conlleva limitaciones relacionadas con los umbrales de calidad, la consistencia con las publicaciones originales o la </w:t>
      </w:r>
      <w:r>
        <w:t xml:space="preserve">ausencia </w:t>
      </w:r>
      <w:r w:rsidR="00801974">
        <w:t>d</w:t>
      </w:r>
      <w:r>
        <w:t>e incompatibilidad interna de las muestras</w:t>
      </w:r>
      <w:r w:rsidRPr="00B115EA">
        <w:t xml:space="preserve">. No obstante, </w:t>
      </w:r>
      <w:r w:rsidRPr="00DC7DBA">
        <w:t xml:space="preserve">se </w:t>
      </w:r>
      <w:r>
        <w:t>opta por</w:t>
      </w:r>
      <w:r w:rsidRPr="00DC7DBA">
        <w:t xml:space="preserve"> el uso de estos conjuntos de datos como una decisión estratégica que permite mitigar la carencia de recursos de computación de alto rendimiento</w:t>
      </w:r>
      <w:r w:rsidRPr="00B115EA">
        <w:rPr>
          <w:b/>
          <w:bCs/>
        </w:rPr>
        <w:t xml:space="preserve"> </w:t>
      </w:r>
      <w:r w:rsidRPr="00B115EA">
        <w:t>necesarios para el procesamiento de lecturas primarias.</w:t>
      </w:r>
    </w:p>
    <w:p w14:paraId="6309F028" w14:textId="15FBBA3A" w:rsidR="00F3241D" w:rsidRDefault="00F3241D" w:rsidP="00F3241D">
      <w:r>
        <w:t xml:space="preserve">Finalmente, se ha obtenido la información clínica a partir de </w:t>
      </w:r>
      <w:r w:rsidRPr="00BD053B">
        <w:t>la plataforma GREIN (</w:t>
      </w:r>
      <w:r w:rsidR="00FD53AE" w:rsidRPr="00FD53AE">
        <w:rPr>
          <w:i/>
          <w:iCs/>
        </w:rPr>
        <w:t>GEO RNA-seq Experiments Interactive Navigator</w:t>
      </w:r>
      <w:r w:rsidRPr="00BD053B">
        <w:t xml:space="preserve">), </w:t>
      </w:r>
      <w:r>
        <w:t>puesto que</w:t>
      </w:r>
      <w:r w:rsidRPr="00BD053B">
        <w:t xml:space="preserve"> permite la descarga de los metadatos en formato </w:t>
      </w:r>
      <w:r w:rsidRPr="00FD53AE">
        <w:rPr>
          <w:i/>
          <w:iCs/>
        </w:rPr>
        <w:t>.csv</w:t>
      </w:r>
      <w:r w:rsidRPr="00BD053B">
        <w:t xml:space="preserve">. Esta elección técnica facilita la interoperabilidad con el entorno R y agiliza la </w:t>
      </w:r>
      <w:r w:rsidRPr="00BD053B">
        <w:lastRenderedPageBreak/>
        <w:t xml:space="preserve">estructuración de los objetos de datos necesarios. Como medida de control de calidad, la información obtenida se contrasta sistemáticamente con los archivos </w:t>
      </w:r>
      <w:r w:rsidRPr="00C333A7">
        <w:rPr>
          <w:i/>
          <w:iCs/>
        </w:rPr>
        <w:t>Series Matrix</w:t>
      </w:r>
      <w:r w:rsidRPr="00BD053B">
        <w:t xml:space="preserve"> originales de GEO</w:t>
      </w:r>
      <w:r>
        <w:t>;</w:t>
      </w:r>
      <w:r w:rsidRPr="00BD053B">
        <w:t xml:space="preserve"> garantizando así una correspondencia precisa entre la</w:t>
      </w:r>
      <w:r>
        <w:t>s condiciones biológicas</w:t>
      </w:r>
      <w:r w:rsidRPr="00BD053B">
        <w:t xml:space="preserve"> y las muestras procesada</w:t>
      </w:r>
      <w:r>
        <w:t>s.</w:t>
      </w:r>
    </w:p>
    <w:p w14:paraId="4E7A4E2D" w14:textId="3C19AA53" w:rsidR="007F7310" w:rsidRDefault="001538B9" w:rsidP="001538B9">
      <w:r w:rsidRPr="001538B9">
        <w:t xml:space="preserve">Con el objetivo de ampliar el espectro de análisis e integrar una cohorte independiente de gran dimensionalidad, el presente estudio incorporó también los datos procedentes de </w:t>
      </w:r>
      <w:r w:rsidRPr="001538B9">
        <w:rPr>
          <w:i/>
          <w:iCs/>
        </w:rPr>
        <w:t>The Cancer Genome Atlas</w:t>
      </w:r>
      <w:r w:rsidRPr="001538B9">
        <w:t xml:space="preserve"> (TCGA). A tal efecto, se accedió a la plataforma oficial </w:t>
      </w:r>
      <w:hyperlink r:id="rId18" w:history="1">
        <w:r w:rsidRPr="001538B9">
          <w:rPr>
            <w:rStyle w:val="Hipervnculo"/>
            <w:i/>
            <w:iCs/>
          </w:rPr>
          <w:t>Genomics Data Commons</w:t>
        </w:r>
        <w:r w:rsidRPr="001538B9">
          <w:rPr>
            <w:rStyle w:val="Hipervnculo"/>
          </w:rPr>
          <w:t xml:space="preserve"> (GDC) Data Portal</w:t>
        </w:r>
      </w:hyperlink>
      <w:r w:rsidRPr="001538B9">
        <w:t xml:space="preserve">. Mediante la interfaz interactiva </w:t>
      </w:r>
      <w:r w:rsidRPr="001538B9">
        <w:rPr>
          <w:i/>
          <w:iCs/>
        </w:rPr>
        <w:t>Cohort Builder</w:t>
      </w:r>
      <w:r w:rsidRPr="001538B9">
        <w:t>, se delimitó la población de estudio seleccionando el proyecto TCGA-COAD (</w:t>
      </w:r>
      <w:r w:rsidRPr="001538B9">
        <w:rPr>
          <w:i/>
          <w:iCs/>
        </w:rPr>
        <w:t>Colorectal Adenocarcinoma</w:t>
      </w:r>
      <w:r w:rsidRPr="001538B9">
        <w:t>) dentro de los filtros de categorización de proyectos.</w:t>
      </w:r>
      <w:r w:rsidR="00F50238">
        <w:t xml:space="preserve"> </w:t>
      </w:r>
      <w:r w:rsidRPr="001538B9">
        <w:t xml:space="preserve">Posteriormente, a través del módulo </w:t>
      </w:r>
      <w:r w:rsidRPr="001538B9">
        <w:rPr>
          <w:i/>
          <w:iCs/>
        </w:rPr>
        <w:t>Repository</w:t>
      </w:r>
      <w:r w:rsidRPr="001538B9">
        <w:t xml:space="preserve">, se aplicaron restricciones técnicas dirigidas a aislar la fracción transcriptómica de interés que </w:t>
      </w:r>
      <w:r>
        <w:t>cumpliese con los criterios previamente establecidos</w:t>
      </w:r>
      <w:r w:rsidRPr="001538B9">
        <w:t xml:space="preserve">. Estos parámetros incluyeron la selección de </w:t>
      </w:r>
      <w:r w:rsidRPr="001538B9">
        <w:rPr>
          <w:i/>
          <w:iCs/>
        </w:rPr>
        <w:t>Transcriptome Profiling</w:t>
      </w:r>
      <w:r w:rsidRPr="001538B9">
        <w:t xml:space="preserve"> en la categoría de datos (</w:t>
      </w:r>
      <w:r w:rsidRPr="001538B9">
        <w:rPr>
          <w:i/>
          <w:iCs/>
        </w:rPr>
        <w:t>Data Category</w:t>
      </w:r>
      <w:r w:rsidRPr="001538B9">
        <w:t xml:space="preserve">), </w:t>
      </w:r>
      <w:r w:rsidRPr="001538B9">
        <w:rPr>
          <w:i/>
          <w:iCs/>
        </w:rPr>
        <w:t>Gene Expression Quantification</w:t>
      </w:r>
      <w:r w:rsidRPr="001538B9">
        <w:t xml:space="preserve"> como tipo de dato (</w:t>
      </w:r>
      <w:r w:rsidRPr="001538B9">
        <w:rPr>
          <w:i/>
          <w:iCs/>
        </w:rPr>
        <w:t>Data Type</w:t>
      </w:r>
      <w:r w:rsidRPr="001538B9">
        <w:t xml:space="preserve">) y </w:t>
      </w:r>
      <w:r w:rsidRPr="001538B9">
        <w:rPr>
          <w:i/>
          <w:iCs/>
        </w:rPr>
        <w:t>RNA-Seq</w:t>
      </w:r>
      <w:r w:rsidRPr="001538B9">
        <w:t xml:space="preserve"> como estrategia experimental (</w:t>
      </w:r>
      <w:r w:rsidRPr="001538B9">
        <w:rPr>
          <w:i/>
          <w:iCs/>
        </w:rPr>
        <w:t>Experimental Strategy</w:t>
      </w:r>
      <w:r w:rsidRPr="001538B9">
        <w:t xml:space="preserve">). Asimismo, se especificó el pipeline de preprocesamiento mediante la opción </w:t>
      </w:r>
      <w:r w:rsidRPr="001538B9">
        <w:rPr>
          <w:i/>
          <w:iCs/>
        </w:rPr>
        <w:t>STAR – Counts</w:t>
      </w:r>
      <w:r w:rsidRPr="001538B9">
        <w:t xml:space="preserve"> en el tipo de flujo de trabajo (</w:t>
      </w:r>
      <w:r w:rsidRPr="001538B9">
        <w:rPr>
          <w:i/>
          <w:iCs/>
        </w:rPr>
        <w:t>Workflow Type</w:t>
      </w:r>
      <w:r w:rsidRPr="001538B9">
        <w:t>).</w:t>
      </w:r>
    </w:p>
    <w:p w14:paraId="7A904459" w14:textId="566AC8F9" w:rsidR="007F7310" w:rsidRDefault="00F50238" w:rsidP="001538B9">
      <w:r w:rsidRPr="00F50238">
        <w:t xml:space="preserve">Una vez agregados los archivos seleccionados al contenedor virtual de la plataforma, se descargó de manera exitosa la </w:t>
      </w:r>
      <w:r w:rsidRPr="00F50238">
        <w:rPr>
          <w:i/>
          <w:iCs/>
        </w:rPr>
        <w:t>Sample Sheet</w:t>
      </w:r>
      <w:r w:rsidRPr="00F50238">
        <w:t xml:space="preserve">. Este documento recopila múltiples variables técnicas y clínicas de las muestras, tales como el </w:t>
      </w:r>
      <w:r w:rsidRPr="00F50238">
        <w:rPr>
          <w:i/>
          <w:iCs/>
        </w:rPr>
        <w:t>Project ID</w:t>
      </w:r>
      <w:r w:rsidRPr="00F50238">
        <w:t xml:space="preserve">, </w:t>
      </w:r>
      <w:r w:rsidRPr="00F50238">
        <w:rPr>
          <w:i/>
          <w:iCs/>
        </w:rPr>
        <w:t>Case ID</w:t>
      </w:r>
      <w:r w:rsidRPr="00F50238">
        <w:t xml:space="preserve"> o el </w:t>
      </w:r>
      <w:r w:rsidR="00422153">
        <w:rPr>
          <w:i/>
          <w:iCs/>
        </w:rPr>
        <w:t>Specymen Type</w:t>
      </w:r>
      <w:r w:rsidRPr="00F50238">
        <w:t xml:space="preserve">. No obstante, para los fines analíticos de este flujo de trabajo, únicamente se extrajeron y utilizaron los campos </w:t>
      </w:r>
      <w:r w:rsidRPr="00F50238">
        <w:rPr>
          <w:i/>
          <w:iCs/>
        </w:rPr>
        <w:t>File Name</w:t>
      </w:r>
      <w:r w:rsidRPr="00F50238">
        <w:t xml:space="preserve">, </w:t>
      </w:r>
      <w:r w:rsidRPr="00F50238">
        <w:rPr>
          <w:i/>
          <w:iCs/>
        </w:rPr>
        <w:t>Sample ID</w:t>
      </w:r>
      <w:r w:rsidRPr="00F50238">
        <w:t xml:space="preserve"> y </w:t>
      </w:r>
      <w:r w:rsidRPr="00F50238">
        <w:rPr>
          <w:i/>
          <w:iCs/>
        </w:rPr>
        <w:t>Tissue Type</w:t>
      </w:r>
      <w:r w:rsidRPr="00F50238">
        <w:t>. Esta selección específica de metadatos fue suficiente para asociar cada archivo de secuenciación con el identificador correspondiente de la muestra y clasificarla según su origen tisular (</w:t>
      </w:r>
      <w:r w:rsidRPr="00F50238">
        <w:rPr>
          <w:i/>
          <w:iCs/>
        </w:rPr>
        <w:t>Normal</w:t>
      </w:r>
      <w:r w:rsidRPr="00F50238">
        <w:t xml:space="preserve"> o </w:t>
      </w:r>
      <w:r w:rsidRPr="00F50238">
        <w:rPr>
          <w:i/>
          <w:iCs/>
        </w:rPr>
        <w:t>Tumor</w:t>
      </w:r>
      <w:r w:rsidRPr="00F50238">
        <w:t>). Por el contrario, la descarga directa de los archivos de conteos individuales a través del navegador resultó inviable. Debido al elevado volumen de archivos y a las limitaciones intrínsecas del tráfico de red, el proceso por interfaz web sufría constantes interrupciones.</w:t>
      </w:r>
    </w:p>
    <w:p w14:paraId="2BADCB8C" w14:textId="0410D410" w:rsidR="001538B9" w:rsidRPr="001538B9" w:rsidRDefault="00422153" w:rsidP="001538B9">
      <w:r w:rsidRPr="00422153">
        <w:t>Con el fin de superar esta limitación técnica, se descargó el archivo de manifiesto (</w:t>
      </w:r>
      <w:r w:rsidRPr="00422153">
        <w:rPr>
          <w:i/>
          <w:iCs/>
        </w:rPr>
        <w:t>manifest file</w:t>
      </w:r>
      <w:r w:rsidRPr="00422153">
        <w:t>). Este documento centraliza tanto los identificadores únicos (UUID) como las sumas de verificación (MD5) de las muestras seleccionadas, garantizando así una descarga automatizada y libre de errores de integridad</w:t>
      </w:r>
      <w:r w:rsidR="001538B9" w:rsidRPr="001538B9">
        <w:t xml:space="preserve">. Finalmente, haciendo uso de este manifiesto, </w:t>
      </w:r>
      <w:r w:rsidR="001538B9" w:rsidRPr="001538B9">
        <w:lastRenderedPageBreak/>
        <w:t xml:space="preserve">se ejecutó la descarga de las matrices de conteo desde la terminal del sistema operativo mediante la herramienta de línea de comandos </w:t>
      </w:r>
      <w:r w:rsidR="001538B9" w:rsidRPr="00422153">
        <w:rPr>
          <w:i/>
          <w:iCs/>
        </w:rPr>
        <w:t>GDC Data Transfer Tool</w:t>
      </w:r>
      <w:r w:rsidR="001538B9" w:rsidRPr="001538B9">
        <w:t>. Est</w:t>
      </w:r>
      <w:r w:rsidR="004C332E">
        <w:t xml:space="preserve">e </w:t>
      </w:r>
      <w:r w:rsidR="004C332E" w:rsidRPr="004C332E">
        <w:rPr>
          <w:i/>
          <w:iCs/>
        </w:rPr>
        <w:t>software</w:t>
      </w:r>
      <w:r w:rsidR="004C332E">
        <w:t xml:space="preserve"> oficial</w:t>
      </w:r>
      <w:r w:rsidR="001538B9" w:rsidRPr="001538B9">
        <w:t xml:space="preserve"> del </w:t>
      </w:r>
      <w:r w:rsidR="001538B9" w:rsidRPr="001538B9">
        <w:rPr>
          <w:i/>
          <w:iCs/>
        </w:rPr>
        <w:t>National Cancer Institute</w:t>
      </w:r>
      <w:r w:rsidR="001538B9" w:rsidRPr="001538B9">
        <w:t xml:space="preserve"> (NCI) optimiza la transferencia de datos masivos mediante protocolos de reanudación y verificación de integridad de archivos, garantizando la </w:t>
      </w:r>
      <w:r w:rsidR="004C332E">
        <w:t xml:space="preserve">correcta </w:t>
      </w:r>
      <w:r w:rsidR="001538B9" w:rsidRPr="001538B9">
        <w:t xml:space="preserve">obtención de los conteos crudos locales que posteriormente </w:t>
      </w:r>
      <w:r w:rsidR="004C332E">
        <w:t>fueron</w:t>
      </w:r>
      <w:r w:rsidR="001538B9" w:rsidRPr="001538B9">
        <w:t xml:space="preserve"> procesados en el entorno de análisis estadístico R.</w:t>
      </w:r>
    </w:p>
    <w:p w14:paraId="1AABD81C" w14:textId="77777777" w:rsidR="00F3241D" w:rsidRDefault="00F3241D" w:rsidP="00F3241D">
      <w:pPr>
        <w:pStyle w:val="Ttulo3"/>
      </w:pPr>
      <w:bookmarkStart w:id="21" w:name="_Toc230635977"/>
      <w:r>
        <w:t>Descripción de la cohorte</w:t>
      </w:r>
      <w:bookmarkEnd w:id="21"/>
    </w:p>
    <w:p w14:paraId="1845F83F" w14:textId="64F60A8D" w:rsidR="00553ECF" w:rsidRPr="00553ECF" w:rsidRDefault="00553ECF" w:rsidP="00553ECF">
      <w:r w:rsidRPr="00553ECF">
        <w:t xml:space="preserve">Tras aplicar los criterios de selección, la cohorte global quedó constituida por </w:t>
      </w:r>
      <w:r w:rsidRPr="0066759C">
        <w:t>715 muestras</w:t>
      </w:r>
      <w:r w:rsidRPr="00553ECF">
        <w:t xml:space="preserve"> (141 normales y 574 tumorales) de un total inicial de 748. Las 33 muestras restantes fueron excluidas por motivos de control de calidad o discordancia con el objetivo del estudio, incluyendo la eliminación de réplicas técnicas en TCGA-COAD y el descarte de estadios preneoplásicos (adenomas) o metastásicos en las series de GEO (</w:t>
      </w:r>
      <w:hyperlink w:anchor="Tabla_datasets" w:history="1">
        <w:r w:rsidRPr="0066759C">
          <w:rPr>
            <w:rStyle w:val="Hipervnculo"/>
          </w:rPr>
          <w:t>Tabla 1</w:t>
        </w:r>
      </w:hyperlink>
      <w:r w:rsidRPr="00553ECF">
        <w:t>).</w:t>
      </w:r>
      <w:r w:rsidR="00ED735F">
        <w:t xml:space="preserve"> </w:t>
      </w:r>
      <w:r w:rsidR="00DF66A3" w:rsidRPr="00DF66A3">
        <w:t>Cabe recalcar que, dadas las particularidades y el origen de cada estudio, las muestras no se agruparon en una única matriz en las fases iniciales, sino que se mantuvieron divididas en sus respectivos conjuntos de datos para la ejecución de un flujo de trabajo independiente.</w:t>
      </w:r>
    </w:p>
    <w:p w14:paraId="1CB37DEF" w14:textId="00672AC1" w:rsidR="00553ECF" w:rsidRDefault="00DF66A3" w:rsidP="00F3241D">
      <w:commentRangeStart w:id="22"/>
      <w:r w:rsidRPr="00DF66A3">
        <w:t>Desde el punto de vista del diseño experimental, la cohorte presenta una estructura mixta. Los datasets procedentes de GEO aportan un entorno controlado de diseño pareado (tejido tumoral y normal adyacente del mismo paciente), idóneo para mitigar la variabilidad interindividual. Por su parte, la cohorte de TCGA-COAD introduce un diseño no pareado de gran dimensionalidad.</w:t>
      </w:r>
      <w:r w:rsidR="007302DE">
        <w:t xml:space="preserve"> Asimismo</w:t>
      </w:r>
      <w:r w:rsidRPr="00DF66A3">
        <w:t>, contar con una cohorte genómicamente unificada de partida aporta un gran valor metodológico. El hecho de que todos los conjuntos de datos compartan el ensamblaje de referencia GRCh38 (hg38) elimina una fuente crítica de variabilidad técnica inter-estudio. Esta homogeneidad estructural garantiza la robustez y validez de las representaciones gráficas y de los análisis funcionales de la fase final de integración.</w:t>
      </w:r>
      <w:commentRangeEnd w:id="22"/>
      <w:r w:rsidR="00A505C5">
        <w:rPr>
          <w:rStyle w:val="Refdecomentario"/>
          <w:sz w:val="24"/>
          <w:szCs w:val="24"/>
        </w:rPr>
        <w:commentReference w:id="22"/>
      </w:r>
    </w:p>
    <w:p w14:paraId="039889AF" w14:textId="77777777" w:rsidR="00F3241D" w:rsidRDefault="00F3241D" w:rsidP="00F3241D">
      <w:pPr>
        <w:pStyle w:val="TtuloTDC"/>
        <w:spacing w:after="0"/>
      </w:pPr>
      <w:bookmarkStart w:id="23" w:name="_Toc229999212"/>
      <w:bookmarkStart w:id="24" w:name="Tabla_datasets"/>
      <w:r w:rsidRPr="00CF3B8A">
        <w:t>Tabla 1. Resumen de los datasets de RNA-seq integrados y características del diseño experimental.</w:t>
      </w:r>
      <w:bookmarkEnd w:id="23"/>
    </w:p>
    <w:tbl>
      <w:tblPr>
        <w:tblStyle w:val="Tablaconcuadrcula7concolores"/>
        <w:tblW w:w="5000" w:type="pct"/>
        <w:tblLook w:val="04A0" w:firstRow="1" w:lastRow="0" w:firstColumn="1" w:lastColumn="0" w:noHBand="0" w:noVBand="1"/>
      </w:tblPr>
      <w:tblGrid>
        <w:gridCol w:w="1550"/>
        <w:gridCol w:w="1145"/>
        <w:gridCol w:w="1275"/>
        <w:gridCol w:w="1275"/>
        <w:gridCol w:w="2518"/>
        <w:gridCol w:w="1308"/>
      </w:tblGrid>
      <w:tr w:rsidR="00DF66A3" w:rsidRPr="00970175" w14:paraId="3AA1DF29" w14:textId="77777777" w:rsidTr="00DF66A3">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854" w:type="pct"/>
            <w:vAlign w:val="center"/>
          </w:tcPr>
          <w:bookmarkEnd w:id="24"/>
          <w:p w14:paraId="0DE69EDF" w14:textId="77777777" w:rsidR="00DF66A3" w:rsidRPr="00E83CAD" w:rsidRDefault="00DF66A3" w:rsidP="00ED735F">
            <w:pPr>
              <w:jc w:val="center"/>
              <w:rPr>
                <w:rFonts w:cstheme="minorHAnsi"/>
                <w:i w:val="0"/>
                <w:iCs w:val="0"/>
                <w:color w:val="auto"/>
              </w:rPr>
            </w:pPr>
            <w:r w:rsidRPr="00E83CAD">
              <w:rPr>
                <w:rFonts w:cstheme="minorHAnsi"/>
                <w:b w:val="0"/>
                <w:bCs w:val="0"/>
                <w:i w:val="0"/>
                <w:iCs w:val="0"/>
                <w:color w:val="auto"/>
              </w:rPr>
              <w:lastRenderedPageBreak/>
              <w:t>ID Dataset</w:t>
            </w:r>
          </w:p>
        </w:tc>
        <w:tc>
          <w:tcPr>
            <w:tcW w:w="631" w:type="pct"/>
            <w:vAlign w:val="center"/>
          </w:tcPr>
          <w:p w14:paraId="63698F80" w14:textId="77777777" w:rsidR="00DF66A3" w:rsidRPr="00970175" w:rsidRDefault="00DF66A3"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N (Original)</w:t>
            </w:r>
          </w:p>
        </w:tc>
        <w:tc>
          <w:tcPr>
            <w:tcW w:w="703" w:type="pct"/>
            <w:vAlign w:val="center"/>
          </w:tcPr>
          <w:p w14:paraId="63B30E12" w14:textId="0512E5FE" w:rsidR="00DF66A3" w:rsidRPr="00970175" w:rsidRDefault="00DF66A3"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Tejido Normal</w:t>
            </w:r>
          </w:p>
        </w:tc>
        <w:tc>
          <w:tcPr>
            <w:tcW w:w="703" w:type="pct"/>
            <w:vAlign w:val="center"/>
          </w:tcPr>
          <w:p w14:paraId="672FA9F2" w14:textId="77777777" w:rsidR="00DF66A3" w:rsidRPr="00970175" w:rsidRDefault="00DF66A3"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Tejido Tumoral</w:t>
            </w:r>
          </w:p>
        </w:tc>
        <w:tc>
          <w:tcPr>
            <w:tcW w:w="1388" w:type="pct"/>
            <w:vAlign w:val="center"/>
          </w:tcPr>
          <w:p w14:paraId="2A9787DA" w14:textId="77777777" w:rsidR="00DF66A3" w:rsidRPr="00970175" w:rsidRDefault="00DF66A3"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Muestras excluidas (Motivo)</w:t>
            </w:r>
          </w:p>
        </w:tc>
        <w:tc>
          <w:tcPr>
            <w:tcW w:w="721" w:type="pct"/>
            <w:vAlign w:val="center"/>
          </w:tcPr>
          <w:p w14:paraId="12436EFE" w14:textId="77777777" w:rsidR="00DF66A3" w:rsidRPr="00970175" w:rsidRDefault="00DF66A3"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Diseño Pareado</w:t>
            </w:r>
          </w:p>
        </w:tc>
      </w:tr>
      <w:tr w:rsidR="00DF66A3" w:rsidRPr="00970175" w14:paraId="79C21BA1" w14:textId="77777777" w:rsidTr="00DF6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 w:type="pct"/>
            <w:vAlign w:val="center"/>
          </w:tcPr>
          <w:p w14:paraId="6EFAEA5A" w14:textId="77777777" w:rsidR="00DF66A3" w:rsidRPr="00970175" w:rsidRDefault="00DF66A3" w:rsidP="00ED735F">
            <w:pPr>
              <w:jc w:val="center"/>
              <w:rPr>
                <w:rFonts w:cstheme="minorHAnsi"/>
              </w:rPr>
            </w:pPr>
            <w:r w:rsidRPr="00970175">
              <w:rPr>
                <w:rFonts w:cstheme="minorHAnsi"/>
                <w:color w:val="000000"/>
              </w:rPr>
              <w:t>GSE50760</w:t>
            </w:r>
          </w:p>
        </w:tc>
        <w:tc>
          <w:tcPr>
            <w:tcW w:w="631" w:type="pct"/>
            <w:vAlign w:val="center"/>
          </w:tcPr>
          <w:p w14:paraId="2AFD8352"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54</w:t>
            </w:r>
          </w:p>
        </w:tc>
        <w:tc>
          <w:tcPr>
            <w:tcW w:w="703" w:type="pct"/>
            <w:vAlign w:val="center"/>
          </w:tcPr>
          <w:p w14:paraId="5AA3A7BF"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w:t>
            </w:r>
          </w:p>
        </w:tc>
        <w:tc>
          <w:tcPr>
            <w:tcW w:w="703" w:type="pct"/>
            <w:vAlign w:val="center"/>
          </w:tcPr>
          <w:p w14:paraId="536724C0"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w:t>
            </w:r>
          </w:p>
        </w:tc>
        <w:tc>
          <w:tcPr>
            <w:tcW w:w="1388" w:type="pct"/>
            <w:vAlign w:val="center"/>
          </w:tcPr>
          <w:p w14:paraId="36F9B5D6"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 (Metástasis hepática)</w:t>
            </w:r>
          </w:p>
        </w:tc>
        <w:tc>
          <w:tcPr>
            <w:tcW w:w="721" w:type="pct"/>
            <w:vAlign w:val="center"/>
          </w:tcPr>
          <w:p w14:paraId="24C1B5A6"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r>
      <w:tr w:rsidR="00DF66A3" w:rsidRPr="00970175" w14:paraId="6843205E" w14:textId="77777777" w:rsidTr="00DF66A3">
        <w:tc>
          <w:tcPr>
            <w:cnfStyle w:val="001000000000" w:firstRow="0" w:lastRow="0" w:firstColumn="1" w:lastColumn="0" w:oddVBand="0" w:evenVBand="0" w:oddHBand="0" w:evenHBand="0" w:firstRowFirstColumn="0" w:firstRowLastColumn="0" w:lastRowFirstColumn="0" w:lastRowLastColumn="0"/>
            <w:tcW w:w="854" w:type="pct"/>
            <w:vAlign w:val="center"/>
          </w:tcPr>
          <w:p w14:paraId="2882B792" w14:textId="77777777" w:rsidR="00DF66A3" w:rsidRPr="00970175" w:rsidRDefault="00DF66A3" w:rsidP="00ED735F">
            <w:pPr>
              <w:jc w:val="center"/>
              <w:rPr>
                <w:rFonts w:cstheme="minorHAnsi"/>
              </w:rPr>
            </w:pPr>
            <w:r w:rsidRPr="00970175">
              <w:rPr>
                <w:rFonts w:cstheme="minorHAnsi"/>
                <w:color w:val="000000"/>
              </w:rPr>
              <w:t>GSE104836</w:t>
            </w:r>
          </w:p>
        </w:tc>
        <w:tc>
          <w:tcPr>
            <w:tcW w:w="631" w:type="pct"/>
            <w:vAlign w:val="center"/>
          </w:tcPr>
          <w:p w14:paraId="39C91955"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20</w:t>
            </w:r>
          </w:p>
        </w:tc>
        <w:tc>
          <w:tcPr>
            <w:tcW w:w="703" w:type="pct"/>
            <w:vAlign w:val="center"/>
          </w:tcPr>
          <w:p w14:paraId="72DD9BAE"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10</w:t>
            </w:r>
          </w:p>
        </w:tc>
        <w:tc>
          <w:tcPr>
            <w:tcW w:w="703" w:type="pct"/>
            <w:vAlign w:val="center"/>
          </w:tcPr>
          <w:p w14:paraId="3AAA5F31"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10</w:t>
            </w:r>
          </w:p>
        </w:tc>
        <w:tc>
          <w:tcPr>
            <w:tcW w:w="1388" w:type="pct"/>
            <w:vAlign w:val="center"/>
          </w:tcPr>
          <w:p w14:paraId="3512B3BE"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N/A</w:t>
            </w:r>
          </w:p>
        </w:tc>
        <w:tc>
          <w:tcPr>
            <w:tcW w:w="721" w:type="pct"/>
            <w:vAlign w:val="center"/>
          </w:tcPr>
          <w:p w14:paraId="29864ACE"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Sí</w:t>
            </w:r>
          </w:p>
        </w:tc>
      </w:tr>
      <w:tr w:rsidR="00DF66A3" w:rsidRPr="00970175" w14:paraId="0BBE9110" w14:textId="77777777" w:rsidTr="00DF6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 w:type="pct"/>
            <w:vAlign w:val="center"/>
          </w:tcPr>
          <w:p w14:paraId="723DAC28" w14:textId="77777777" w:rsidR="00DF66A3" w:rsidRPr="00970175" w:rsidRDefault="00DF66A3" w:rsidP="00ED735F">
            <w:pPr>
              <w:jc w:val="center"/>
              <w:rPr>
                <w:rFonts w:cstheme="minorHAnsi"/>
              </w:rPr>
            </w:pPr>
            <w:r w:rsidRPr="00970175">
              <w:rPr>
                <w:rFonts w:cstheme="minorHAnsi"/>
                <w:color w:val="000000"/>
              </w:rPr>
              <w:t>GSE142279</w:t>
            </w:r>
          </w:p>
        </w:tc>
        <w:tc>
          <w:tcPr>
            <w:tcW w:w="631" w:type="pct"/>
            <w:vAlign w:val="center"/>
          </w:tcPr>
          <w:p w14:paraId="43027DF5"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40</w:t>
            </w:r>
          </w:p>
        </w:tc>
        <w:tc>
          <w:tcPr>
            <w:tcW w:w="703" w:type="pct"/>
            <w:vAlign w:val="center"/>
          </w:tcPr>
          <w:p w14:paraId="51A6EA8F"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20</w:t>
            </w:r>
          </w:p>
        </w:tc>
        <w:tc>
          <w:tcPr>
            <w:tcW w:w="703" w:type="pct"/>
            <w:vAlign w:val="center"/>
          </w:tcPr>
          <w:p w14:paraId="0B813F87"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20</w:t>
            </w:r>
          </w:p>
        </w:tc>
        <w:tc>
          <w:tcPr>
            <w:tcW w:w="1388" w:type="pct"/>
            <w:vAlign w:val="center"/>
          </w:tcPr>
          <w:p w14:paraId="786ECDC5"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N/A</w:t>
            </w:r>
          </w:p>
        </w:tc>
        <w:tc>
          <w:tcPr>
            <w:tcW w:w="721" w:type="pct"/>
            <w:vAlign w:val="center"/>
          </w:tcPr>
          <w:p w14:paraId="4DD8F374"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r>
      <w:tr w:rsidR="00DF66A3" w:rsidRPr="00970175" w14:paraId="3D2748B6" w14:textId="77777777" w:rsidTr="00DF66A3">
        <w:tc>
          <w:tcPr>
            <w:cnfStyle w:val="001000000000" w:firstRow="0" w:lastRow="0" w:firstColumn="1" w:lastColumn="0" w:oddVBand="0" w:evenVBand="0" w:oddHBand="0" w:evenHBand="0" w:firstRowFirstColumn="0" w:firstRowLastColumn="0" w:lastRowFirstColumn="0" w:lastRowLastColumn="0"/>
            <w:tcW w:w="854" w:type="pct"/>
            <w:vAlign w:val="center"/>
          </w:tcPr>
          <w:p w14:paraId="28CFCED5" w14:textId="77777777" w:rsidR="00DF66A3" w:rsidRPr="00970175" w:rsidRDefault="00DF66A3" w:rsidP="00ED735F">
            <w:pPr>
              <w:jc w:val="center"/>
              <w:rPr>
                <w:rFonts w:cstheme="minorHAnsi"/>
              </w:rPr>
            </w:pPr>
            <w:r w:rsidRPr="00970175">
              <w:rPr>
                <w:rFonts w:cstheme="minorHAnsi"/>
                <w:color w:val="000000"/>
              </w:rPr>
              <w:t>GSE156451</w:t>
            </w:r>
          </w:p>
        </w:tc>
        <w:tc>
          <w:tcPr>
            <w:tcW w:w="631" w:type="pct"/>
            <w:vAlign w:val="center"/>
          </w:tcPr>
          <w:p w14:paraId="473E87D0"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95</w:t>
            </w:r>
          </w:p>
        </w:tc>
        <w:tc>
          <w:tcPr>
            <w:tcW w:w="703" w:type="pct"/>
            <w:vAlign w:val="center"/>
          </w:tcPr>
          <w:p w14:paraId="44ED0683"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47</w:t>
            </w:r>
          </w:p>
        </w:tc>
        <w:tc>
          <w:tcPr>
            <w:tcW w:w="703" w:type="pct"/>
            <w:vAlign w:val="center"/>
          </w:tcPr>
          <w:p w14:paraId="541FA229"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48</w:t>
            </w:r>
          </w:p>
        </w:tc>
        <w:tc>
          <w:tcPr>
            <w:tcW w:w="1388" w:type="pct"/>
            <w:vAlign w:val="center"/>
          </w:tcPr>
          <w:p w14:paraId="5C9CDF2D"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N/A</w:t>
            </w:r>
          </w:p>
        </w:tc>
        <w:tc>
          <w:tcPr>
            <w:tcW w:w="721" w:type="pct"/>
            <w:vAlign w:val="center"/>
          </w:tcPr>
          <w:p w14:paraId="092AAADA"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Sí</w:t>
            </w:r>
          </w:p>
        </w:tc>
      </w:tr>
      <w:tr w:rsidR="00DF66A3" w:rsidRPr="00970175" w14:paraId="05D72BD0" w14:textId="77777777" w:rsidTr="00DF6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 w:type="pct"/>
            <w:vAlign w:val="center"/>
          </w:tcPr>
          <w:p w14:paraId="271D3DEB" w14:textId="77777777" w:rsidR="00DF66A3" w:rsidRPr="00970175" w:rsidRDefault="00DF66A3" w:rsidP="00ED735F">
            <w:pPr>
              <w:jc w:val="center"/>
              <w:rPr>
                <w:rFonts w:cstheme="minorHAnsi"/>
              </w:rPr>
            </w:pPr>
            <w:r w:rsidRPr="00970175">
              <w:rPr>
                <w:rFonts w:cstheme="minorHAnsi"/>
                <w:color w:val="000000"/>
              </w:rPr>
              <w:t>GSE164541</w:t>
            </w:r>
          </w:p>
        </w:tc>
        <w:tc>
          <w:tcPr>
            <w:tcW w:w="631" w:type="pct"/>
            <w:vAlign w:val="center"/>
          </w:tcPr>
          <w:p w14:paraId="27DD2502"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15</w:t>
            </w:r>
          </w:p>
        </w:tc>
        <w:tc>
          <w:tcPr>
            <w:tcW w:w="703" w:type="pct"/>
            <w:vAlign w:val="center"/>
          </w:tcPr>
          <w:p w14:paraId="69E17FE3"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w:t>
            </w:r>
          </w:p>
        </w:tc>
        <w:tc>
          <w:tcPr>
            <w:tcW w:w="703" w:type="pct"/>
            <w:vAlign w:val="center"/>
          </w:tcPr>
          <w:p w14:paraId="0AF41038"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w:t>
            </w:r>
          </w:p>
        </w:tc>
        <w:tc>
          <w:tcPr>
            <w:tcW w:w="1388" w:type="pct"/>
            <w:vAlign w:val="center"/>
          </w:tcPr>
          <w:p w14:paraId="501EE545"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 (Adenoma)</w:t>
            </w:r>
          </w:p>
        </w:tc>
        <w:tc>
          <w:tcPr>
            <w:tcW w:w="721" w:type="pct"/>
            <w:vAlign w:val="center"/>
          </w:tcPr>
          <w:p w14:paraId="4C4E795C" w14:textId="77777777" w:rsidR="00DF66A3" w:rsidRPr="00970175" w:rsidRDefault="00DF66A3"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r>
      <w:tr w:rsidR="00DF66A3" w:rsidRPr="00970175" w14:paraId="05FBC6CA" w14:textId="77777777" w:rsidTr="00DF66A3">
        <w:tc>
          <w:tcPr>
            <w:cnfStyle w:val="001000000000" w:firstRow="0" w:lastRow="0" w:firstColumn="1" w:lastColumn="0" w:oddVBand="0" w:evenVBand="0" w:oddHBand="0" w:evenHBand="0" w:firstRowFirstColumn="0" w:firstRowLastColumn="0" w:lastRowFirstColumn="0" w:lastRowLastColumn="0"/>
            <w:tcW w:w="854" w:type="pct"/>
            <w:vAlign w:val="center"/>
          </w:tcPr>
          <w:p w14:paraId="2AB874C0" w14:textId="77777777" w:rsidR="00DF66A3" w:rsidRPr="00970175" w:rsidRDefault="00DF66A3" w:rsidP="00ED735F">
            <w:pPr>
              <w:jc w:val="center"/>
              <w:rPr>
                <w:rFonts w:cstheme="minorHAnsi"/>
              </w:rPr>
            </w:pPr>
            <w:r w:rsidRPr="00970175">
              <w:rPr>
                <w:rFonts w:cstheme="minorHAnsi"/>
                <w:color w:val="000000"/>
              </w:rPr>
              <w:t>TCGA-COAD</w:t>
            </w:r>
          </w:p>
        </w:tc>
        <w:tc>
          <w:tcPr>
            <w:tcW w:w="631" w:type="pct"/>
            <w:vAlign w:val="center"/>
          </w:tcPr>
          <w:p w14:paraId="0163A758"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524</w:t>
            </w:r>
          </w:p>
        </w:tc>
        <w:tc>
          <w:tcPr>
            <w:tcW w:w="703" w:type="pct"/>
            <w:vAlign w:val="center"/>
          </w:tcPr>
          <w:p w14:paraId="67179A48" w14:textId="5F81D819"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41</w:t>
            </w:r>
          </w:p>
        </w:tc>
        <w:tc>
          <w:tcPr>
            <w:tcW w:w="703" w:type="pct"/>
            <w:vAlign w:val="center"/>
          </w:tcPr>
          <w:p w14:paraId="0F86A8A8" w14:textId="1516803D"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0456EB">
              <w:rPr>
                <w:rFonts w:cstheme="minorHAnsi"/>
              </w:rPr>
              <w:t>473</w:t>
            </w:r>
          </w:p>
        </w:tc>
        <w:tc>
          <w:tcPr>
            <w:tcW w:w="1388" w:type="pct"/>
            <w:vAlign w:val="center"/>
          </w:tcPr>
          <w:p w14:paraId="3C00F492" w14:textId="65D402DC"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color w:val="000000"/>
              </w:rPr>
              <w:t>10 (Eliminación de duplicados)</w:t>
            </w:r>
          </w:p>
        </w:tc>
        <w:tc>
          <w:tcPr>
            <w:tcW w:w="721" w:type="pct"/>
            <w:vAlign w:val="center"/>
          </w:tcPr>
          <w:p w14:paraId="0BB36015" w14:textId="77777777" w:rsidR="00DF66A3" w:rsidRPr="00970175" w:rsidRDefault="00DF66A3"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No</w:t>
            </w:r>
          </w:p>
        </w:tc>
      </w:tr>
    </w:tbl>
    <w:p w14:paraId="7EB09FB2" w14:textId="7BFBC99F" w:rsidR="00F3241D" w:rsidRDefault="00F3241D" w:rsidP="00ED735F">
      <w:pPr>
        <w:pStyle w:val="Ttulo2"/>
        <w:spacing w:before="360"/>
        <w:rPr>
          <w:caps w:val="0"/>
        </w:rPr>
      </w:pPr>
      <w:bookmarkStart w:id="25" w:name="_Toc230635978"/>
      <w:r w:rsidRPr="00D17170">
        <w:rPr>
          <w:caps w:val="0"/>
        </w:rPr>
        <w:t>Análisis</w:t>
      </w:r>
      <w:r w:rsidR="00881FFC">
        <w:rPr>
          <w:caps w:val="0"/>
        </w:rPr>
        <w:t xml:space="preserve"> Exploratorio Inicial y Control de Calidad de los Conteos Crudos</w:t>
      </w:r>
      <w:bookmarkEnd w:id="25"/>
    </w:p>
    <w:p w14:paraId="16A8B447" w14:textId="2B108390" w:rsidR="00AA22E1" w:rsidRDefault="00BF6DBA" w:rsidP="007E20B6">
      <w:commentRangeStart w:id="26"/>
      <w:r w:rsidRPr="00BF6DBA">
        <w:t xml:space="preserve">Con el propósito de </w:t>
      </w:r>
      <w:r>
        <w:t xml:space="preserve">mitigar el efecto lote </w:t>
      </w:r>
      <w:r w:rsidRPr="002C7A1D">
        <w:t>(</w:t>
      </w:r>
      <w:r w:rsidRPr="002C7A1D">
        <w:rPr>
          <w:i/>
          <w:iCs/>
        </w:rPr>
        <w:t>batch effect</w:t>
      </w:r>
      <w:r w:rsidRPr="002C7A1D">
        <w:t>)</w:t>
      </w:r>
      <w:r>
        <w:t xml:space="preserve"> derivado de la combinación de datos de distintos estudios, se analizó cada conjunto de datos por separado. De esta forma, se protegió la señal biológica real y se evitaron sesgos técnicos artificiales. Por tanto, todo el flujo bioinformático —desde el control de calidad inicial hasta la obtención de los DEG</w:t>
      </w:r>
      <w:r w:rsidR="001E61D6">
        <w:t>s</w:t>
      </w:r>
      <w:r>
        <w:t xml:space="preserve">— se ejecutó de manera independiente para cada uno de los seis datasets. La integración de la información se realizó al final del proceso, mediante la intersección de las listas de DEGs obtenidos de cada estudio. </w:t>
      </w:r>
      <w:r w:rsidR="001E61D6">
        <w:t>Por consiguiente</w:t>
      </w:r>
      <w:r>
        <w:t xml:space="preserve">, es preciso aclarar que </w:t>
      </w:r>
      <w:r w:rsidRPr="00BF6DBA">
        <w:t>las menciones en singular a las estructuras de datos</w:t>
      </w:r>
      <w:r>
        <w:t xml:space="preserve"> </w:t>
      </w:r>
      <w:r w:rsidRPr="00BF6DBA">
        <w:t>a lo largo de este bloque metodológico hacen referencia al procesamiento individualizado y paralelo aplicado a cada serie</w:t>
      </w:r>
      <w:r>
        <w:t>.</w:t>
      </w:r>
      <w:commentRangeEnd w:id="26"/>
      <w:r w:rsidR="001E61D6">
        <w:rPr>
          <w:rStyle w:val="Refdecomentario"/>
          <w:sz w:val="24"/>
          <w:szCs w:val="24"/>
        </w:rPr>
        <w:commentReference w:id="26"/>
      </w:r>
    </w:p>
    <w:p w14:paraId="658C12F7" w14:textId="50D01E99" w:rsidR="007E20B6" w:rsidRPr="007E20B6" w:rsidRDefault="00AA22E1" w:rsidP="007E20B6">
      <w:r w:rsidRPr="00AA22E1">
        <w:t>Bajo esta premisa analítica, el flujo de trabajo de cada bloque comenzó</w:t>
      </w:r>
      <w:r>
        <w:t xml:space="preserve"> </w:t>
      </w:r>
      <w:r w:rsidR="007E20B6" w:rsidRPr="007E20B6">
        <w:t>con la carga de las matrices de expresión y sus correspondientes metadatos en el entorno de programación R</w:t>
      </w:r>
      <w:r w:rsidR="007E20B6">
        <w:t xml:space="preserve"> (</w:t>
      </w:r>
      <w:r w:rsidR="007E20B6" w:rsidRPr="007E20B6">
        <w:rPr>
          <w:i/>
          <w:iCs/>
        </w:rPr>
        <w:t>RStudio</w:t>
      </w:r>
      <w:r w:rsidR="007E20B6">
        <w:t>)</w:t>
      </w:r>
      <w:r w:rsidR="007E20B6" w:rsidRPr="007E20B6">
        <w:t xml:space="preserve">. Inicialmente, se realizó una inspección preliminar de </w:t>
      </w:r>
      <w:r w:rsidR="00791528">
        <w:t>ambos archivos</w:t>
      </w:r>
      <w:r w:rsidR="007E20B6" w:rsidRPr="007E20B6">
        <w:t xml:space="preserve"> para verificar la integridad de las estructuras y la correcta asignación de las clases de</w:t>
      </w:r>
      <w:r w:rsidR="00D638A7">
        <w:t xml:space="preserve"> las</w:t>
      </w:r>
      <w:r w:rsidR="007E20B6" w:rsidRPr="007E20B6">
        <w:t xml:space="preserve"> variables. Posteriormente, se construyó el objeto de metadatos </w:t>
      </w:r>
      <w:r w:rsidR="007E20B6" w:rsidRPr="00D638A7">
        <w:rPr>
          <w:i/>
          <w:iCs/>
        </w:rPr>
        <w:t>coldata</w:t>
      </w:r>
      <w:r w:rsidR="007E20B6" w:rsidRPr="007E20B6">
        <w:t xml:space="preserve">, un elemento indispensable para el posterior análisis de expresión diferencial con el paquete </w:t>
      </w:r>
      <w:r w:rsidR="007E20B6" w:rsidRPr="00D638A7">
        <w:rPr>
          <w:i/>
          <w:iCs/>
        </w:rPr>
        <w:t>DESeq2</w:t>
      </w:r>
      <w:r w:rsidR="007E20B6" w:rsidRPr="007E20B6">
        <w:t xml:space="preserve">. Este dataframe </w:t>
      </w:r>
      <w:r w:rsidR="007E20B6" w:rsidRPr="007E20B6">
        <w:lastRenderedPageBreak/>
        <w:t>consolida la información esencial extraída de los metadatos originales, incluyendo la condición biológica (Tejido Tumoral frente a Tejido Normal) y el identificador del paciente de origen. Como medidas de control de calidad y consistencia bioinformática, se estableció el tejido normal como el nivel de referencia basal (</w:t>
      </w:r>
      <w:r w:rsidR="007E20B6" w:rsidRPr="007E20B6">
        <w:rPr>
          <w:i/>
          <w:iCs/>
        </w:rPr>
        <w:t>relevel</w:t>
      </w:r>
      <w:r w:rsidR="007E20B6" w:rsidRPr="007E20B6">
        <w:t xml:space="preserve">) y se corroboró la perfecta correspondencia unívoca entre las filas del objeto </w:t>
      </w:r>
      <w:r w:rsidR="007E20B6" w:rsidRPr="00E64C96">
        <w:rPr>
          <w:i/>
          <w:iCs/>
        </w:rPr>
        <w:t>coldata</w:t>
      </w:r>
      <w:r w:rsidR="007E20B6" w:rsidRPr="007E20B6">
        <w:t xml:space="preserve"> y las columnas de la matriz de conteos crudos.</w:t>
      </w:r>
    </w:p>
    <w:p w14:paraId="49C08B9C" w14:textId="78E29A2F" w:rsidR="007E20B6" w:rsidRPr="007E20B6" w:rsidRDefault="007E20B6" w:rsidP="007E20B6">
      <w:r w:rsidRPr="007E20B6">
        <w:t xml:space="preserve">Cabe destacar que el dataset procedente de TCGA-COAD requirió una fase adicional de </w:t>
      </w:r>
      <w:r w:rsidR="00FD18D3" w:rsidRPr="00FD18D3">
        <w:t>unificación y mapeo de las matrices de conteo</w:t>
      </w:r>
      <w:r w:rsidRPr="007E20B6">
        <w:t>. Para ello, se implementó una función automatizada diseñada para extraer la columna de conteos crudos no direccionados (</w:t>
      </w:r>
      <w:r w:rsidRPr="007E20B6">
        <w:rPr>
          <w:i/>
          <w:iCs/>
        </w:rPr>
        <w:t>unstranded counts</w:t>
      </w:r>
      <w:r w:rsidRPr="007E20B6">
        <w:t>) de los archivos individuales en formato</w:t>
      </w:r>
      <w:r w:rsidR="0087285C">
        <w:t xml:space="preserve"> </w:t>
      </w:r>
      <w:r w:rsidRPr="0087285C">
        <w:rPr>
          <w:i/>
          <w:iCs/>
        </w:rPr>
        <w:t>.tsv</w:t>
      </w:r>
      <w:r w:rsidRPr="007E20B6">
        <w:t xml:space="preserve">, fusionándolos recursivamente en una única matriz mediante la variable común </w:t>
      </w:r>
      <w:r w:rsidRPr="0087285C">
        <w:rPr>
          <w:i/>
          <w:iCs/>
        </w:rPr>
        <w:t>gene_id</w:t>
      </w:r>
      <w:r w:rsidRPr="007E20B6">
        <w:t xml:space="preserve">. </w:t>
      </w:r>
      <w:r w:rsidR="002F3B63" w:rsidRPr="002F3B63">
        <w:t>Posteriormente, estos códigos se sustituyeron por el identificador oficial de la muestra (</w:t>
      </w:r>
      <w:r w:rsidR="002F3B63" w:rsidRPr="002F3B63">
        <w:rPr>
          <w:i/>
          <w:iCs/>
        </w:rPr>
        <w:t>Sample ID</w:t>
      </w:r>
      <w:r w:rsidR="002F3B63" w:rsidRPr="002F3B63">
        <w:t xml:space="preserve">) extraído de los metadatos mediante un diccionario de correspondencias. De esta manera, se obtuvo una matriz unificada definitiva, con una estructura óptima para </w:t>
      </w:r>
      <w:r w:rsidR="002F3B63">
        <w:t>este estudio</w:t>
      </w:r>
      <w:r w:rsidR="002F3B63" w:rsidRPr="002F3B63">
        <w:t>.</w:t>
      </w:r>
    </w:p>
    <w:p w14:paraId="7AB8BF80" w14:textId="12D35A21" w:rsidR="007E20B6" w:rsidRPr="007E20B6" w:rsidRDefault="007E20B6" w:rsidP="007E20B6">
      <w:r w:rsidRPr="007E20B6">
        <w:t>A continuación, se procedió a la evaluación de la integridad y la distribución de los datos de secuenciación sin procesar. La estrategia de visualización de los conteos se adaptó de manera específica según la dimensionalidad muestral (</w:t>
      </w:r>
      <m:oMath>
        <m:r>
          <w:rPr>
            <w:rFonts w:ascii="Cambria Math" w:hAnsi="Cambria Math"/>
          </w:rPr>
          <m:t>n</m:t>
        </m:r>
      </m:oMath>
      <w:r w:rsidRPr="007E20B6">
        <w:t>) de cada conjunto de datos:</w:t>
      </w:r>
    </w:p>
    <w:p w14:paraId="1C979DEB" w14:textId="72425AE4" w:rsidR="007E20B6" w:rsidRPr="007E20B6" w:rsidRDefault="007E20B6" w:rsidP="007E20B6">
      <w:pPr>
        <w:numPr>
          <w:ilvl w:val="0"/>
          <w:numId w:val="33"/>
        </w:numPr>
      </w:pPr>
      <w:r w:rsidRPr="007E20B6">
        <w:rPr>
          <w:b/>
          <w:bCs/>
        </w:rPr>
        <w:t>Para datasets de baja dimensionalidad (</w:t>
      </w:r>
      <m:oMath>
        <m:r>
          <m:rPr>
            <m:sty m:val="bi"/>
          </m:rPr>
          <w:rPr>
            <w:rFonts w:ascii="Cambria Math" w:hAnsi="Cambria Math"/>
          </w:rPr>
          <m:t>n≤ 20</m:t>
        </m:r>
      </m:oMath>
      <w:r w:rsidRPr="007E20B6">
        <w:rPr>
          <w:b/>
          <w:bCs/>
        </w:rPr>
        <w:t>):</w:t>
      </w:r>
      <w:r w:rsidRPr="007E20B6">
        <w:t xml:space="preserve"> Se generaron histogramas de frecuencias globales por muestra, aplicando una transformación logarítmica en el eje de abscisas (</w:t>
      </w:r>
      <w:r w:rsidRPr="002F3B63">
        <w:rPr>
          <w:i/>
          <w:iCs/>
        </w:rPr>
        <w:t>scale_x_log10()</w:t>
      </w:r>
      <w:r w:rsidRPr="007E20B6">
        <w:t>) para facilitar la interpretación de los rangos de lectura.</w:t>
      </w:r>
    </w:p>
    <w:p w14:paraId="7F920321" w14:textId="290036E0" w:rsidR="007E20B6" w:rsidRPr="007E20B6" w:rsidRDefault="007E20B6" w:rsidP="007E20B6">
      <w:pPr>
        <w:numPr>
          <w:ilvl w:val="0"/>
          <w:numId w:val="33"/>
        </w:numPr>
      </w:pPr>
      <w:r w:rsidRPr="007E20B6">
        <w:rPr>
          <w:b/>
          <w:bCs/>
        </w:rPr>
        <w:t>Para datasets de dimensionalidad intermedia</w:t>
      </w:r>
      <w:r w:rsidR="002F3B63">
        <w:rPr>
          <w:b/>
          <w:bCs/>
        </w:rPr>
        <w:t xml:space="preserve"> </w:t>
      </w:r>
      <w:r w:rsidR="002F3B63" w:rsidRPr="007E20B6">
        <w:rPr>
          <w:b/>
          <w:bCs/>
        </w:rPr>
        <w:t>(</w:t>
      </w:r>
      <m:oMath>
        <m:r>
          <m:rPr>
            <m:sty m:val="bi"/>
          </m:rPr>
          <w:rPr>
            <w:rFonts w:ascii="Cambria Math" w:hAnsi="Cambria Math"/>
          </w:rPr>
          <m:t>20&lt;n≤ 50</m:t>
        </m:r>
      </m:oMath>
      <w:r w:rsidR="002F3B63" w:rsidRPr="007E20B6">
        <w:rPr>
          <w:b/>
          <w:bCs/>
        </w:rPr>
        <w:t>)</w:t>
      </w:r>
      <w:r w:rsidRPr="007E20B6">
        <w:rPr>
          <w:b/>
          <w:bCs/>
        </w:rPr>
        <w:t>:</w:t>
      </w:r>
      <w:r w:rsidRPr="007E20B6">
        <w:t xml:space="preserve"> Se replicó el diseño analítico de los histogramas transformados, pero segregando las muestras en representaciones gráficas independientes según su condición biológica (normal o tumoral) para evitar la saturación visual.</w:t>
      </w:r>
    </w:p>
    <w:p w14:paraId="1F8F0320" w14:textId="28DF5555" w:rsidR="007E20B6" w:rsidRPr="007E20B6" w:rsidRDefault="007E20B6" w:rsidP="007E20B6">
      <w:pPr>
        <w:numPr>
          <w:ilvl w:val="0"/>
          <w:numId w:val="33"/>
        </w:numPr>
      </w:pPr>
      <w:r w:rsidRPr="007E20B6">
        <w:rPr>
          <w:b/>
          <w:bCs/>
        </w:rPr>
        <w:t>Para datasets de alta dimensionalidad (</w:t>
      </w:r>
      <m:oMath>
        <m:r>
          <m:rPr>
            <m:sty m:val="bi"/>
          </m:rPr>
          <w:rPr>
            <w:rFonts w:ascii="Cambria Math" w:hAnsi="Cambria Math"/>
          </w:rPr>
          <m:t>n &gt; 50</m:t>
        </m:r>
      </m:oMath>
      <w:r w:rsidRPr="007E20B6">
        <w:rPr>
          <w:b/>
          <w:bCs/>
        </w:rPr>
        <w:t>):</w:t>
      </w:r>
      <w:r w:rsidRPr="007E20B6">
        <w:t xml:space="preserve"> Como en el caso de la cohorte TCGA-COAD, </w:t>
      </w:r>
      <w:r w:rsidR="003447EF">
        <w:t xml:space="preserve">que </w:t>
      </w:r>
      <w:r w:rsidRPr="007E20B6">
        <w:t>se optó por la construcción de diagramas de densidad basados en la transformación</w:t>
      </w:r>
      <w:r w:rsidR="002101BA">
        <w:t xml:space="preserve">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(conteos+1)</m:t>
        </m:r>
      </m:oMath>
      <w:r w:rsidR="002101BA">
        <w:t>.</w:t>
      </w:r>
      <w:r w:rsidR="002101BA" w:rsidRPr="002101BA">
        <w:t xml:space="preserve"> Esta aproximación representa una alternativa matemáticamente más eficiente y visualmente legible al trabajar con grandes volúmenes de datos.</w:t>
      </w:r>
    </w:p>
    <w:p w14:paraId="1688F8E8" w14:textId="40F0D6BB" w:rsidR="000B0531" w:rsidRPr="00BB0B49" w:rsidRDefault="000B0531" w:rsidP="00BB0B49">
      <w:r w:rsidRPr="000B0531">
        <w:t xml:space="preserve">Finalmente, se realizó un Análisis de Componentes Principales (PCA) mediante la función </w:t>
      </w:r>
      <w:r w:rsidRPr="000B0531">
        <w:rPr>
          <w:i/>
          <w:iCs/>
        </w:rPr>
        <w:t>prcomp</w:t>
      </w:r>
      <w:r w:rsidRPr="000B0531">
        <w:t xml:space="preserve"> con el propósito de examinar el patrón de agrupación de las muestras en función de </w:t>
      </w:r>
      <w:r w:rsidRPr="000B0531">
        <w:lastRenderedPageBreak/>
        <w:t>la similitud de sus perfiles transcriptómicos (Normal frente a Tumor). Para su ejecución, este análisis exploratorio se restringió</w:t>
      </w:r>
      <w:r>
        <w:t xml:space="preserve"> </w:t>
      </w:r>
      <w:r w:rsidRPr="000B0531">
        <w:t>a aquell</w:t>
      </w:r>
      <w:r>
        <w:t>as variables</w:t>
      </w:r>
      <w:r w:rsidRPr="000B0531">
        <w:t xml:space="preserve"> que exhibieron una varianza superior a 0.1, eludiendo de este modo </w:t>
      </w:r>
      <w:r>
        <w:t>los genes</w:t>
      </w:r>
      <w:r w:rsidRPr="000B0531">
        <w:t xml:space="preserve"> con baja variabilidad o nula expresión que comprometen la </w:t>
      </w:r>
      <w:r w:rsidR="003447EF">
        <w:t>ejecución</w:t>
      </w:r>
      <w:r w:rsidRPr="000B0531">
        <w:t xml:space="preserve"> del algoritmo. Posteriormente, sobre esta matriz filtrada y previamente transpuesta, se aplicaron los parámetros de centrado respecto a la media (</w:t>
      </w:r>
      <w:r w:rsidRPr="000B0531">
        <w:rPr>
          <w:i/>
          <w:iCs/>
        </w:rPr>
        <w:t>center = TRUE</w:t>
      </w:r>
      <w:r w:rsidRPr="000B0531">
        <w:t>) y escalado a varianza unitaria (</w:t>
      </w:r>
      <w:r w:rsidRPr="000B0531">
        <w:rPr>
          <w:i/>
          <w:iCs/>
        </w:rPr>
        <w:t>scale. = TRUE</w:t>
      </w:r>
      <w:r w:rsidRPr="000B0531">
        <w:t>). Esta estandarización garantizó que la variabilidad global no se viese distorsionada por los rangos de magnitud de los genes, permitiendo una contribución equitativa de cada transcrito. Asimismo</w:t>
      </w:r>
      <w:r w:rsidR="003447EF">
        <w:t>/De esta manera</w:t>
      </w:r>
      <w:r w:rsidRPr="000B0531">
        <w:t xml:space="preserve">, esta </w:t>
      </w:r>
      <w:r w:rsidR="009E757C">
        <w:t>técnica</w:t>
      </w:r>
      <w:r w:rsidRPr="000B0531">
        <w:t xml:space="preserve"> permitió evaluar la homogeneidad biológica de las cohortes y asegurar la detección temprana de potenciales muestras atípicas (</w:t>
      </w:r>
      <w:r w:rsidRPr="000B0531">
        <w:rPr>
          <w:i/>
          <w:iCs/>
        </w:rPr>
        <w:t>outliers</w:t>
      </w:r>
      <w:r w:rsidRPr="000B0531">
        <w:t>).</w:t>
      </w:r>
    </w:p>
    <w:p w14:paraId="2D245D7E" w14:textId="3CC5794E" w:rsidR="00881FFC" w:rsidRDefault="00881FFC" w:rsidP="00881FFC">
      <w:pPr>
        <w:pStyle w:val="Ttulo2"/>
        <w:rPr>
          <w:caps w:val="0"/>
        </w:rPr>
      </w:pPr>
      <w:bookmarkStart w:id="27" w:name="_Toc230635979"/>
      <w:r>
        <w:rPr>
          <w:caps w:val="0"/>
        </w:rPr>
        <w:t xml:space="preserve">Modelado Estadístico y Normalización Transcriptómica mediante </w:t>
      </w:r>
      <w:r w:rsidRPr="004F46ED">
        <w:rPr>
          <w:i/>
          <w:iCs w:val="0"/>
          <w:caps w:val="0"/>
        </w:rPr>
        <w:t>DESeq2</w:t>
      </w:r>
      <w:bookmarkEnd w:id="27"/>
    </w:p>
    <w:p w14:paraId="77C9EC85" w14:textId="04AEB84F" w:rsidR="00E64C96" w:rsidRDefault="00E64C96" w:rsidP="00881FFC">
      <w:r w:rsidRPr="00E64C96">
        <w:t xml:space="preserve">Para la identificación de los genes diferencialmente expresados (DEGs), se utilizó la librería especializada </w:t>
      </w:r>
      <w:r w:rsidRPr="00E64C96">
        <w:rPr>
          <w:i/>
          <w:iCs/>
        </w:rPr>
        <w:t>DESeq2</w:t>
      </w:r>
      <w:r w:rsidRPr="00E64C96">
        <w:t xml:space="preserve">. Este modelo estadístico se basa en la aplicación de Modelos Lineales Generalizados (GLM) bajo una distribución binomial negativa. Dicha aproximación matemática </w:t>
      </w:r>
      <w:r>
        <w:t xml:space="preserve">es </w:t>
      </w:r>
      <w:r w:rsidRPr="00E64C96">
        <w:t>idónea para gestionar la naturaleza discreta de los conteos crudos de RNA-seq y corregir la sobredispersión intrínseca de estos datos ómicos. Su selección como estándar metodológico responde a su robustez para estabilizar las estimaciones de dispersión y contraer los cambios de expresión (</w:t>
      </w:r>
      <w:r w:rsidRPr="00E64C96">
        <w:rPr>
          <w:i/>
          <w:iCs/>
        </w:rPr>
        <w:t>Logarithmic Fold Change</w:t>
      </w:r>
      <w:r w:rsidR="00A23DCF" w:rsidRPr="00560B0F">
        <w:t xml:space="preserve"> - LFC</w:t>
      </w:r>
      <w:r w:rsidRPr="00E64C96">
        <w:t>) mediante aproximaciones bayesianas empíricas</w:t>
      </w:r>
      <w:r w:rsidR="00A23DCF">
        <w:t>. Esto da lugar a la o</w:t>
      </w:r>
      <w:r w:rsidRPr="00E64C96">
        <w:t>ptimiza</w:t>
      </w:r>
      <w:r w:rsidR="00A23DCF">
        <w:t>ción de</w:t>
      </w:r>
      <w:r w:rsidRPr="00E64C96">
        <w:t xml:space="preserve"> la sensibilidad del análisis incluso ante un número limitado de réplicas biológicas.</w:t>
      </w:r>
      <w:r w:rsidR="00A23DCF">
        <w:t xml:space="preserve"> </w:t>
      </w:r>
      <w:r w:rsidR="007F4312">
        <w:t>T</w:t>
      </w:r>
      <w:r w:rsidR="00A23DCF" w:rsidRPr="00E64C96">
        <w:t>ras depurar las matrices de conteos en la fase exploratoria, el flujo de trabajo avanzó hacia la estructuración de los datos de entrada necesarios para inicializar el algoritmo.</w:t>
      </w:r>
    </w:p>
    <w:p w14:paraId="4F843524" w14:textId="27FB0C57" w:rsidR="002C7A1D" w:rsidRPr="002C7A1D" w:rsidRDefault="002C7A1D" w:rsidP="002C7A1D">
      <w:r w:rsidRPr="002C7A1D">
        <w:t xml:space="preserve">La construcción del objeto central de análisis se ejecutó mediante la función </w:t>
      </w:r>
      <w:r w:rsidRPr="002C7A1D">
        <w:rPr>
          <w:i/>
          <w:iCs/>
        </w:rPr>
        <w:t>DESeqDataSetFromMatrix()</w:t>
      </w:r>
      <w:r w:rsidRPr="002C7A1D">
        <w:t>, integrando la matriz de conteos crudos (</w:t>
      </w:r>
      <w:r w:rsidRPr="002C7A1D">
        <w:rPr>
          <w:i/>
          <w:iCs/>
        </w:rPr>
        <w:t>countData</w:t>
      </w:r>
      <w:r w:rsidRPr="002C7A1D">
        <w:t xml:space="preserve">), </w:t>
      </w:r>
      <w:r>
        <w:t>el</w:t>
      </w:r>
      <w:r w:rsidRPr="002C7A1D">
        <w:t xml:space="preserve"> objeto simplificado con los metadatos de interés (</w:t>
      </w:r>
      <w:r w:rsidRPr="002C7A1D">
        <w:rPr>
          <w:i/>
          <w:iCs/>
        </w:rPr>
        <w:t>colData</w:t>
      </w:r>
      <w:r w:rsidRPr="002C7A1D">
        <w:t>) y la fórmula del diseño experimental (</w:t>
      </w:r>
      <w:r w:rsidRPr="002C7A1D">
        <w:rPr>
          <w:i/>
          <w:iCs/>
        </w:rPr>
        <w:t>design</w:t>
      </w:r>
      <w:r w:rsidRPr="002C7A1D">
        <w:t xml:space="preserve">). En el caso de las series procedentes de GEO, se aplicó un diseño multifactorial parametrizado como </w:t>
      </w:r>
      <w:r w:rsidRPr="002C7A1D">
        <w:rPr>
          <w:i/>
          <w:iCs/>
        </w:rPr>
        <w:t>design = ~ Patient + Condition</w:t>
      </w:r>
      <w:r w:rsidRPr="002C7A1D">
        <w:t xml:space="preserve">. Esta configuración permite incluir la variable </w:t>
      </w:r>
      <w:r w:rsidRPr="002C7A1D">
        <w:rPr>
          <w:i/>
          <w:iCs/>
        </w:rPr>
        <w:t>Patient</w:t>
      </w:r>
      <w:r w:rsidRPr="002C7A1D">
        <w:t xml:space="preserve"> como factor de bloqueo para aislar la variabilidad interindividual de los pacientes</w:t>
      </w:r>
      <w:r w:rsidR="003F0EF0">
        <w:t xml:space="preserve"> y eliminar el ruido</w:t>
      </w:r>
      <w:r w:rsidRPr="002C7A1D">
        <w:t xml:space="preserve">, </w:t>
      </w:r>
      <w:r w:rsidR="003F0EF0">
        <w:t>protegiendo así</w:t>
      </w:r>
      <w:r w:rsidRPr="002C7A1D">
        <w:t xml:space="preserve"> la verdadera señal</w:t>
      </w:r>
      <w:r w:rsidR="003F0EF0">
        <w:t xml:space="preserve"> biológica</w:t>
      </w:r>
      <w:r w:rsidRPr="002C7A1D">
        <w:t xml:space="preserve"> del tumor. Por el contrario, para la cohorte de TCGA-COAD se utilizó un modelo simple dada la ausencia de un diseño pareado en su estructura de origen. Cabe destacar que </w:t>
      </w:r>
      <w:r w:rsidR="001E61D6">
        <w:t>los efectos</w:t>
      </w:r>
      <w:r w:rsidRPr="002C7A1D">
        <w:t xml:space="preserve"> lote </w:t>
      </w:r>
      <w:r w:rsidR="001E61D6" w:rsidRPr="001E61D6">
        <w:t xml:space="preserve">de carácter </w:t>
      </w:r>
      <w:r w:rsidR="001E61D6" w:rsidRPr="001E61D6">
        <w:lastRenderedPageBreak/>
        <w:t xml:space="preserve">intra-estudio —como las tandas de secuenciación, el operador o las fechas de preparación de las librerías— </w:t>
      </w:r>
      <w:r w:rsidRPr="002C7A1D">
        <w:t>no fue</w:t>
      </w:r>
      <w:r w:rsidR="001E61D6">
        <w:t>ron</w:t>
      </w:r>
      <w:r w:rsidRPr="002C7A1D">
        <w:t xml:space="preserve"> incorporado</w:t>
      </w:r>
      <w:r w:rsidR="001E61D6">
        <w:t>s</w:t>
      </w:r>
      <w:r w:rsidRPr="002C7A1D">
        <w:t xml:space="preserve"> en </w:t>
      </w:r>
      <w:r w:rsidR="003F0EF0">
        <w:t>estos</w:t>
      </w:r>
      <w:r w:rsidRPr="002C7A1D">
        <w:t xml:space="preserve"> modelos debido a la inexistencia de dicha información técnica en los metadatos de las series analizadas.</w:t>
      </w:r>
    </w:p>
    <w:p w14:paraId="6281930F" w14:textId="1F024463" w:rsidR="000E1D0B" w:rsidRDefault="003F0EF0" w:rsidP="000E1D0B">
      <w:pPr>
        <w:rPr>
          <w:color w:val="000000" w:themeColor="text1"/>
        </w:rPr>
      </w:pPr>
      <w:r w:rsidRPr="00CE62C0">
        <w:rPr>
          <w:color w:val="000000" w:themeColor="text1"/>
        </w:rPr>
        <w:t>Una vez generado el objeto, se procedió al filtrado de aquellos transcritos con baja expresión. Este paso es fundamental</w:t>
      </w:r>
      <w:r w:rsidR="008C644D" w:rsidRPr="00CE62C0">
        <w:rPr>
          <w:color w:val="000000" w:themeColor="text1"/>
        </w:rPr>
        <w:t xml:space="preserve">, pues ayuda a eliminar el ruido de fondo de la matriz, reducir la penalización por pruebas de hipótesis múltiples y aumentar la potencia estadística del modelo. </w:t>
      </w:r>
      <w:r w:rsidR="000E1D0B" w:rsidRPr="00CE62C0">
        <w:rPr>
          <w:color w:val="000000" w:themeColor="text1"/>
        </w:rPr>
        <w:t xml:space="preserve">Siguiendo las directrices oficiales del manual de usuario de </w:t>
      </w:r>
      <w:r w:rsidR="000E1D0B" w:rsidRPr="00CE62C0">
        <w:rPr>
          <w:i/>
          <w:iCs/>
          <w:color w:val="000000" w:themeColor="text1"/>
        </w:rPr>
        <w:t>DESeq2</w:t>
      </w:r>
      <w:r w:rsidR="000E1D0B" w:rsidRPr="00CE62C0">
        <w:rPr>
          <w:color w:val="000000" w:themeColor="text1"/>
        </w:rPr>
        <w:t>, el umbral de corte exigió que un gen presentase un mínimo de 10 conteos crudos (</w:t>
      </w:r>
      <w:r w:rsidR="000E1D0B" w:rsidRPr="00CE62C0">
        <w:rPr>
          <w:i/>
          <w:iCs/>
          <w:color w:val="000000" w:themeColor="text1"/>
        </w:rPr>
        <w:t>counts(dds) &gt;= 10</w:t>
      </w:r>
      <w:r w:rsidR="000E1D0B" w:rsidRPr="00CE62C0">
        <w:rPr>
          <w:color w:val="000000" w:themeColor="text1"/>
        </w:rPr>
        <w:t xml:space="preserve">). Asimismo, esta condición debió cumplirse en un número de muestras igual o superior al tamaño del grupo biológico más pequeño de cada dataset independiente. </w:t>
      </w:r>
      <w:r w:rsidR="00CE62C0" w:rsidRPr="00CE62C0">
        <w:rPr>
          <w:color w:val="000000" w:themeColor="text1"/>
        </w:rPr>
        <w:t>De esta manera, el filtro se adaptó de forma personalizada al tamaño de cada cohorte</w:t>
      </w:r>
      <w:r w:rsidR="000E1D0B" w:rsidRPr="00CE62C0">
        <w:rPr>
          <w:color w:val="000000" w:themeColor="text1"/>
        </w:rPr>
        <w:t xml:space="preserve">, preparando adecuadamente la matriz para </w:t>
      </w:r>
      <w:r w:rsidR="001A39A6">
        <w:rPr>
          <w:color w:val="000000" w:themeColor="text1"/>
        </w:rPr>
        <w:t>los siguientes pasos</w:t>
      </w:r>
      <w:r w:rsidR="000E1D0B" w:rsidRPr="00CE62C0">
        <w:rPr>
          <w:color w:val="000000" w:themeColor="text1"/>
        </w:rPr>
        <w:t>.</w:t>
      </w:r>
    </w:p>
    <w:p w14:paraId="332C849A" w14:textId="6F2ECA1D" w:rsidR="00FF01FD" w:rsidRPr="001A39A6" w:rsidRDefault="00FF01FD" w:rsidP="00FF01FD">
      <w:pPr>
        <w:rPr>
          <w:color w:val="000000" w:themeColor="text1"/>
        </w:rPr>
      </w:pPr>
      <w:r>
        <w:rPr>
          <w:color w:val="000000" w:themeColor="text1"/>
        </w:rPr>
        <w:t>A continuación</w:t>
      </w:r>
      <w:r w:rsidRPr="00FF01FD">
        <w:rPr>
          <w:color w:val="000000" w:themeColor="text1"/>
        </w:rPr>
        <w:t xml:space="preserve">, se ejecutó el análisis estadístico mediante la función principal </w:t>
      </w:r>
      <w:r w:rsidRPr="00FF01FD">
        <w:rPr>
          <w:i/>
          <w:iCs/>
          <w:color w:val="000000" w:themeColor="text1"/>
        </w:rPr>
        <w:t>DESeq()</w:t>
      </w:r>
      <w:r w:rsidRPr="00FF01FD">
        <w:rPr>
          <w:color w:val="000000" w:themeColor="text1"/>
        </w:rPr>
        <w:t>. Esta función actúa como un flujo de trabajo automatizado que, en su primera etapa, calcula los factores de tamaño (</w:t>
      </w:r>
      <w:r w:rsidRPr="00FF01FD">
        <w:rPr>
          <w:i/>
          <w:iCs/>
          <w:color w:val="000000" w:themeColor="text1"/>
        </w:rPr>
        <w:t>size factors</w:t>
      </w:r>
      <w:r w:rsidRPr="00FF01FD">
        <w:rPr>
          <w:color w:val="000000" w:themeColor="text1"/>
        </w:rPr>
        <w:t xml:space="preserve">) para llevar a cabo la normalización de las muestras por el método de la mediana de </w:t>
      </w:r>
      <w:r w:rsidR="002219D1">
        <w:rPr>
          <w:color w:val="000000" w:themeColor="text1"/>
        </w:rPr>
        <w:t>los ratios</w:t>
      </w:r>
      <w:r>
        <w:rPr>
          <w:color w:val="000000" w:themeColor="text1"/>
        </w:rPr>
        <w:t xml:space="preserve"> (</w:t>
      </w:r>
      <w:r w:rsidRPr="00FF01FD">
        <w:rPr>
          <w:i/>
          <w:iCs/>
          <w:color w:val="000000" w:themeColor="text1"/>
        </w:rPr>
        <w:t>median-of-ratios</w:t>
      </w:r>
      <w:r>
        <w:rPr>
          <w:color w:val="000000" w:themeColor="text1"/>
        </w:rPr>
        <w:t>);</w:t>
      </w:r>
      <w:r w:rsidRPr="00FF01FD">
        <w:rPr>
          <w:color w:val="000000" w:themeColor="text1"/>
        </w:rPr>
        <w:t xml:space="preserve"> corrigiendo así las diferencias en la profundidad de secuenciación. Posteriormente, el algoritmo estim</w:t>
      </w:r>
      <w:r w:rsidR="00412220">
        <w:rPr>
          <w:color w:val="000000" w:themeColor="text1"/>
        </w:rPr>
        <w:t>a</w:t>
      </w:r>
      <w:r w:rsidRPr="00FF01FD">
        <w:rPr>
          <w:color w:val="000000" w:themeColor="text1"/>
        </w:rPr>
        <w:t xml:space="preserve"> la dispersión y ajust</w:t>
      </w:r>
      <w:r w:rsidR="00412220">
        <w:rPr>
          <w:color w:val="000000" w:themeColor="text1"/>
        </w:rPr>
        <w:t>a</w:t>
      </w:r>
      <w:r w:rsidRPr="00FF01FD">
        <w:rPr>
          <w:color w:val="000000" w:themeColor="text1"/>
        </w:rPr>
        <w:t xml:space="preserve"> los GLM</w:t>
      </w:r>
      <w:r>
        <w:rPr>
          <w:color w:val="000000" w:themeColor="text1"/>
        </w:rPr>
        <w:t xml:space="preserve"> </w:t>
      </w:r>
      <w:r w:rsidRPr="00FF01FD">
        <w:rPr>
          <w:color w:val="000000" w:themeColor="text1"/>
        </w:rPr>
        <w:t xml:space="preserve">para cada transcrito. </w:t>
      </w:r>
      <w:r w:rsidR="001A39A6" w:rsidRPr="001A39A6">
        <w:rPr>
          <w:color w:val="000000" w:themeColor="text1"/>
        </w:rPr>
        <w:t>Finalmente, el modelo se evaluó por defecto mediante el test de Wald, calculando las estimaciones estadísticas que permitirán, en la siguiente etapa, la extracción formal de los contrastes de expresión diferencial.</w:t>
      </w:r>
    </w:p>
    <w:p w14:paraId="52590D18" w14:textId="5950C44E" w:rsidR="001545C0" w:rsidRPr="001545C0" w:rsidRDefault="001545C0" w:rsidP="001545C0">
      <w:pPr>
        <w:rPr>
          <w:color w:val="000000" w:themeColor="text1"/>
        </w:rPr>
      </w:pPr>
      <w:r w:rsidRPr="001545C0">
        <w:rPr>
          <w:color w:val="000000" w:themeColor="text1"/>
        </w:rPr>
        <w:t xml:space="preserve">Por otra parte, cuando el análisis se orienta hacia la exploración visual y el control de calidad mediante PCA o mapas de calor, los conteos normalizados estándar no resultan óptimos debido al ruido introducido por los genes de baja expresión. Para resolver este inconveniente, se implementó una estrategia de transformación dirigida a estabilizar la varianza y trasladar los datos a una escala logarítmica, cuya aplicación se condicionó al tamaño muestral de cada cohorte. </w:t>
      </w:r>
      <w:r w:rsidR="001A39A6" w:rsidRPr="001A39A6">
        <w:rPr>
          <w:color w:val="000000" w:themeColor="text1"/>
        </w:rPr>
        <w:t>En los conjuntos de datos con 20 muestras o menos, se aplicó la transformación de logaritmo regularizado (</w:t>
      </w:r>
      <w:r w:rsidR="001A39A6" w:rsidRPr="001A39A6">
        <w:rPr>
          <w:i/>
          <w:iCs/>
          <w:color w:val="000000" w:themeColor="text1"/>
        </w:rPr>
        <w:t>rlog</w:t>
      </w:r>
      <w:r w:rsidR="001A39A6" w:rsidRPr="001A39A6">
        <w:rPr>
          <w:color w:val="000000" w:themeColor="text1"/>
        </w:rPr>
        <w:t>), la cual utiliza un enfoque de contracción (</w:t>
      </w:r>
      <w:r w:rsidR="001A39A6" w:rsidRPr="001A39A6">
        <w:rPr>
          <w:i/>
          <w:iCs/>
          <w:color w:val="000000" w:themeColor="text1"/>
        </w:rPr>
        <w:t>shrinkage</w:t>
      </w:r>
      <w:r w:rsidR="001A39A6" w:rsidRPr="001A39A6">
        <w:rPr>
          <w:color w:val="000000" w:themeColor="text1"/>
        </w:rPr>
        <w:t>) empírico Bayesiano para mitigar de forma robusta las desviaciones técnicas en experimentos de pequeña escala. Por el contrario, para los datasets con más de 20 muestras se optó por la transformación para la estabilización de la varianza (</w:t>
      </w:r>
      <w:r w:rsidR="001A39A6" w:rsidRPr="002219D1">
        <w:rPr>
          <w:i/>
          <w:iCs/>
          <w:color w:val="000000" w:themeColor="text1"/>
        </w:rPr>
        <w:t>vst</w:t>
      </w:r>
      <w:r w:rsidR="001A39A6" w:rsidRPr="001A39A6">
        <w:rPr>
          <w:color w:val="000000" w:themeColor="text1"/>
        </w:rPr>
        <w:t xml:space="preserve">). Esta función es computacionalmente </w:t>
      </w:r>
      <w:r w:rsidR="001A39A6" w:rsidRPr="001A39A6">
        <w:rPr>
          <w:color w:val="000000" w:themeColor="text1"/>
        </w:rPr>
        <w:lastRenderedPageBreak/>
        <w:t xml:space="preserve">más eficiente para un mayor volumen de datos, evitando el elevado coste de procesamiento de </w:t>
      </w:r>
      <w:r w:rsidR="001A39A6" w:rsidRPr="002219D1">
        <w:rPr>
          <w:i/>
          <w:iCs/>
          <w:color w:val="000000" w:themeColor="text1"/>
        </w:rPr>
        <w:t>rlog</w:t>
      </w:r>
      <w:r w:rsidR="001A39A6" w:rsidRPr="001A39A6">
        <w:rPr>
          <w:color w:val="000000" w:themeColor="text1"/>
        </w:rPr>
        <w:t xml:space="preserve"> sin comprometer las relaciones intermuestrales.</w:t>
      </w:r>
    </w:p>
    <w:p w14:paraId="694C8A5B" w14:textId="46E5148C" w:rsidR="00881FFC" w:rsidRPr="00881FFC" w:rsidRDefault="001A39A6" w:rsidP="00881FFC">
      <w:pPr>
        <w:rPr>
          <w:color w:val="4472C4" w:themeColor="accent5"/>
          <w:sz w:val="22"/>
          <w:szCs w:val="22"/>
        </w:rPr>
      </w:pPr>
      <w:r>
        <w:rPr>
          <w:color w:val="000000" w:themeColor="text1"/>
        </w:rPr>
        <w:t>Por último,</w:t>
      </w:r>
      <w:r w:rsidR="00560B0F" w:rsidRPr="00560B0F">
        <w:rPr>
          <w:color w:val="000000" w:themeColor="text1"/>
        </w:rPr>
        <w:t xml:space="preserve"> l</w:t>
      </w:r>
      <w:r w:rsidR="002219D1">
        <w:rPr>
          <w:color w:val="000000" w:themeColor="text1"/>
        </w:rPr>
        <w:t>a</w:t>
      </w:r>
      <w:r w:rsidR="00560B0F" w:rsidRPr="00560B0F">
        <w:rPr>
          <w:color w:val="000000" w:themeColor="text1"/>
        </w:rPr>
        <w:t xml:space="preserve">s </w:t>
      </w:r>
      <w:r w:rsidR="002219D1" w:rsidRPr="002219D1">
        <w:rPr>
          <w:color w:val="000000" w:themeColor="text1"/>
        </w:rPr>
        <w:t>matrices resultantes de estas transformaciones</w:t>
      </w:r>
      <w:r w:rsidR="002219D1">
        <w:rPr>
          <w:color w:val="000000" w:themeColor="text1"/>
        </w:rPr>
        <w:t xml:space="preserve"> </w:t>
      </w:r>
      <w:r w:rsidR="00560B0F" w:rsidRPr="00560B0F">
        <w:rPr>
          <w:color w:val="000000" w:themeColor="text1"/>
        </w:rPr>
        <w:t xml:space="preserve">se emplearon para la construcción de </w:t>
      </w:r>
      <w:r w:rsidR="00560B0F">
        <w:rPr>
          <w:color w:val="000000" w:themeColor="text1"/>
        </w:rPr>
        <w:t xml:space="preserve">histogramas y </w:t>
      </w:r>
      <w:r w:rsidR="00560B0F" w:rsidRPr="00560B0F">
        <w:rPr>
          <w:color w:val="000000" w:themeColor="text1"/>
        </w:rPr>
        <w:t>diagramas de densidad</w:t>
      </w:r>
      <w:r w:rsidR="002219D1">
        <w:rPr>
          <w:color w:val="000000" w:themeColor="text1"/>
        </w:rPr>
        <w:t xml:space="preserve">; </w:t>
      </w:r>
      <w:r w:rsidR="00560B0F" w:rsidRPr="00560B0F">
        <w:rPr>
          <w:color w:val="000000" w:themeColor="text1"/>
        </w:rPr>
        <w:t>así como para las proyecciones de PCA, donde se contrastó el comportamiento global frente a una selección de los 1500 genes más significativos. Asimismo, esta matriz optimizada sirvió de base para generar el mapa de calor (</w:t>
      </w:r>
      <w:r w:rsidR="00560B0F" w:rsidRPr="00560B0F">
        <w:rPr>
          <w:i/>
          <w:iCs/>
          <w:color w:val="000000" w:themeColor="text1"/>
        </w:rPr>
        <w:t>heatmap</w:t>
      </w:r>
      <w:r w:rsidR="00560B0F" w:rsidRPr="00560B0F">
        <w:rPr>
          <w:color w:val="000000" w:themeColor="text1"/>
        </w:rPr>
        <w:t xml:space="preserve">) de los 20 genes más significativos, asegurando una representación gráfica </w:t>
      </w:r>
      <w:r w:rsidR="002219D1" w:rsidRPr="002219D1">
        <w:rPr>
          <w:color w:val="000000" w:themeColor="text1"/>
        </w:rPr>
        <w:t>clara, interpretable y libre de ruido técnico</w:t>
      </w:r>
      <w:r w:rsidR="00560B0F" w:rsidRPr="00560B0F">
        <w:rPr>
          <w:color w:val="000000" w:themeColor="text1"/>
        </w:rPr>
        <w:t>.</w:t>
      </w:r>
    </w:p>
    <w:p w14:paraId="31608403" w14:textId="5B58DCF7" w:rsidR="00881FFC" w:rsidRDefault="00B556D4" w:rsidP="00881FFC">
      <w:pPr>
        <w:pStyle w:val="Ttulo2"/>
        <w:rPr>
          <w:caps w:val="0"/>
        </w:rPr>
      </w:pPr>
      <w:bookmarkStart w:id="28" w:name="_Toc230635980"/>
      <w:r w:rsidRPr="00B556D4">
        <w:rPr>
          <w:caps w:val="0"/>
        </w:rPr>
        <w:t xml:space="preserve">Control de falsos positivos, contracción del </w:t>
      </w:r>
      <w:r w:rsidRPr="00B556D4">
        <w:rPr>
          <w:iCs w:val="0"/>
          <w:caps w:val="0"/>
        </w:rPr>
        <w:t>LFC</w:t>
      </w:r>
      <w:r w:rsidRPr="00B556D4">
        <w:rPr>
          <w:caps w:val="0"/>
        </w:rPr>
        <w:t xml:space="preserve"> y filtrado de </w:t>
      </w:r>
      <w:r>
        <w:rPr>
          <w:caps w:val="0"/>
        </w:rPr>
        <w:t>DEGs</w:t>
      </w:r>
      <w:bookmarkEnd w:id="28"/>
    </w:p>
    <w:p w14:paraId="2FF8E794" w14:textId="64B06C21" w:rsidR="003A582A" w:rsidRPr="003A582A" w:rsidRDefault="003A582A" w:rsidP="003A582A">
      <w:pPr>
        <w:rPr>
          <w:color w:val="000000" w:themeColor="text1"/>
        </w:rPr>
      </w:pPr>
      <w:r>
        <w:rPr>
          <w:color w:val="000000" w:themeColor="text1"/>
        </w:rPr>
        <w:t>La</w:t>
      </w:r>
      <w:r w:rsidRPr="003A582A">
        <w:rPr>
          <w:color w:val="000000" w:themeColor="text1"/>
        </w:rPr>
        <w:t xml:space="preserve"> siguiente fase del flujo de trabajo consistió en la extracción de los contrastes de expresión diferencial y el control riguroso de la tasa de falsos positivos. En el análisis de datos ómicos, la evaluación simultánea de miles de hipótesis independientes incrementa de forma exponencial la probabilidad de cometer errores de Tipo I. Por consiguiente, resulta </w:t>
      </w:r>
      <w:r w:rsidR="00811234">
        <w:rPr>
          <w:color w:val="000000" w:themeColor="text1"/>
        </w:rPr>
        <w:t>imperativo</w:t>
      </w:r>
      <w:r w:rsidRPr="003A582A">
        <w:rPr>
          <w:color w:val="000000" w:themeColor="text1"/>
        </w:rPr>
        <w:t xml:space="preserve"> aplicar métodos de corrección estadística que garanticen la reproducibilidad de los hallazgos. </w:t>
      </w:r>
      <w:r w:rsidR="002767AF" w:rsidRPr="002767AF">
        <w:rPr>
          <w:color w:val="000000" w:themeColor="text1"/>
        </w:rPr>
        <w:t xml:space="preserve">Este apartado detalla los criterios de </w:t>
      </w:r>
      <w:r w:rsidR="0038724F">
        <w:rPr>
          <w:color w:val="000000" w:themeColor="text1"/>
        </w:rPr>
        <w:t>significancia</w:t>
      </w:r>
      <w:r w:rsidR="002767AF" w:rsidRPr="002767AF">
        <w:rPr>
          <w:color w:val="000000" w:themeColor="text1"/>
        </w:rPr>
        <w:t xml:space="preserve"> implementados, la incorporación de algoritmos de contracción (</w:t>
      </w:r>
      <w:r w:rsidR="002767AF" w:rsidRPr="002767AF">
        <w:rPr>
          <w:i/>
          <w:iCs/>
          <w:color w:val="000000" w:themeColor="text1"/>
        </w:rPr>
        <w:t>LFC-shrinkage</w:t>
      </w:r>
      <w:r w:rsidR="002767AF" w:rsidRPr="002767AF">
        <w:rPr>
          <w:color w:val="000000" w:themeColor="text1"/>
        </w:rPr>
        <w:t>) para mitigar el sesgo en genes con baja representatividad, y los criterios de selección para las representaciones gráficas subsiguientes.</w:t>
      </w:r>
    </w:p>
    <w:p w14:paraId="7AD8DDEC" w14:textId="77777777" w:rsidR="003A582A" w:rsidRPr="003A582A" w:rsidRDefault="003A582A" w:rsidP="003A582A">
      <w:pPr>
        <w:rPr>
          <w:color w:val="000000" w:themeColor="text1"/>
        </w:rPr>
      </w:pPr>
      <w:r w:rsidRPr="003A582A">
        <w:rPr>
          <w:color w:val="000000" w:themeColor="text1"/>
        </w:rPr>
        <w:t xml:space="preserve">La obtención de los resultados preliminares de expresión diferencial se ejecutó mediante la función </w:t>
      </w:r>
      <w:r w:rsidRPr="00811234">
        <w:rPr>
          <w:i/>
          <w:iCs/>
          <w:color w:val="000000" w:themeColor="text1"/>
        </w:rPr>
        <w:t>results()</w:t>
      </w:r>
      <w:r w:rsidRPr="003A582A">
        <w:rPr>
          <w:color w:val="000000" w:themeColor="text1"/>
        </w:rPr>
        <w:t>, configurando los parámetros de corte de la siguiente manera:</w:t>
      </w:r>
    </w:p>
    <w:p w14:paraId="1A024DE7" w14:textId="77777777" w:rsidR="003A582A" w:rsidRPr="003A582A" w:rsidRDefault="003A582A" w:rsidP="003A582A">
      <w:pPr>
        <w:jc w:val="center"/>
        <w:rPr>
          <w:rFonts w:ascii="Consolas" w:hAnsi="Consolas"/>
          <w:color w:val="000000" w:themeColor="text1"/>
          <w:sz w:val="22"/>
          <w:szCs w:val="22"/>
        </w:rPr>
      </w:pPr>
      <w:r w:rsidRPr="003A582A">
        <w:rPr>
          <w:rFonts w:ascii="Consolas" w:hAnsi="Consolas"/>
          <w:color w:val="000000" w:themeColor="text1"/>
          <w:sz w:val="22"/>
          <w:szCs w:val="22"/>
        </w:rPr>
        <w:t>res &lt;- results(dds, alpha=0.05, lfcThreshold = 0.585)</w:t>
      </w:r>
    </w:p>
    <w:p w14:paraId="6573587A" w14:textId="699F4F21" w:rsidR="003A582A" w:rsidRPr="003A582A" w:rsidRDefault="003A582A" w:rsidP="003A582A">
      <w:pPr>
        <w:rPr>
          <w:color w:val="000000" w:themeColor="text1"/>
        </w:rPr>
      </w:pPr>
      <w:r w:rsidRPr="003A582A">
        <w:rPr>
          <w:color w:val="000000" w:themeColor="text1"/>
        </w:rPr>
        <w:t xml:space="preserve">En esta línea de código, el argumento </w:t>
      </w:r>
      <w:r w:rsidRPr="00811234">
        <w:rPr>
          <w:i/>
          <w:iCs/>
          <w:color w:val="000000" w:themeColor="text1"/>
        </w:rPr>
        <w:t>alpha = 0.05</w:t>
      </w:r>
      <w:r w:rsidRPr="003A582A">
        <w:rPr>
          <w:color w:val="000000" w:themeColor="text1"/>
        </w:rPr>
        <w:t xml:space="preserve"> establece el umbral para la tasa de falso descubrimiento (FDR), controlada mediante el método de Benjamini-Hochberg. Por otra parte, una de las decisiones metodológicas más críticas de este estudio fue la parametrización de </w:t>
      </w:r>
      <w:r w:rsidRPr="00811234">
        <w:rPr>
          <w:i/>
          <w:iCs/>
          <w:color w:val="000000" w:themeColor="text1"/>
        </w:rPr>
        <w:t>lfcThreshold = 0.585</w:t>
      </w:r>
      <w:r w:rsidRPr="003A582A">
        <w:rPr>
          <w:color w:val="000000" w:themeColor="text1"/>
        </w:rPr>
        <w:t>. En lugar de evaluar la hipótesis nula tradicional de ausencia absoluta de cambio (</w:t>
      </w:r>
      <m:oMath>
        <m:sSub>
          <m:sSubPr>
            <m:ctrlPr>
              <w:rPr>
                <w:rFonts w:ascii="Cambria Math" w:hAnsi="Cambria Math"/>
                <w:i/>
                <w:color w:val="000000" w:themeColor="text1"/>
              </w:rPr>
            </m:ctrlPr>
          </m:sSubPr>
          <m:e>
            <m:r>
              <w:rPr>
                <w:rFonts w:ascii="Cambria Math" w:hAnsi="Cambria Math"/>
                <w:color w:val="000000" w:themeColor="text1"/>
              </w:rPr>
              <m:t>H</m:t>
            </m:r>
          </m:e>
          <m:sub>
            <m:r>
              <w:rPr>
                <w:rFonts w:ascii="Cambria Math" w:hAnsi="Cambria Math"/>
                <w:color w:val="000000" w:themeColor="text1"/>
              </w:rPr>
              <m:t>0</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FC=0</m:t>
        </m:r>
      </m:oMath>
      <w:r w:rsidRPr="003A582A">
        <w:rPr>
          <w:color w:val="000000" w:themeColor="text1"/>
        </w:rPr>
        <w:t>), se impuso un filtro de relevancia biológica pre-test (</w:t>
      </w:r>
      <m:oMath>
        <m:sSub>
          <m:sSubPr>
            <m:ctrlPr>
              <w:rPr>
                <w:rFonts w:ascii="Cambria Math" w:hAnsi="Cambria Math"/>
                <w:i/>
                <w:color w:val="000000" w:themeColor="text1"/>
              </w:rPr>
            </m:ctrlPr>
          </m:sSubPr>
          <m:e>
            <m:r>
              <w:rPr>
                <w:rFonts w:ascii="Cambria Math" w:hAnsi="Cambria Math"/>
                <w:color w:val="000000" w:themeColor="text1"/>
              </w:rPr>
              <m:t>H</m:t>
            </m:r>
          </m:e>
          <m:sub>
            <m:r>
              <w:rPr>
                <w:rFonts w:ascii="Cambria Math" w:hAnsi="Cambria Math"/>
                <w:color w:val="000000" w:themeColor="text1"/>
              </w:rPr>
              <m:t>0</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FC|≤0.585</m:t>
        </m:r>
      </m:oMath>
      <w:r w:rsidRPr="003A582A">
        <w:rPr>
          <w:color w:val="000000" w:themeColor="text1"/>
        </w:rPr>
        <w:t xml:space="preserve">). Esto equivale a exigir un cambio mínimo de </w:t>
      </w:r>
      <m:oMath>
        <m:r>
          <w:rPr>
            <w:rFonts w:ascii="Cambria Math" w:hAnsi="Cambria Math"/>
            <w:color w:val="000000" w:themeColor="text1"/>
          </w:rPr>
          <m:t>1.5</m:t>
        </m:r>
      </m:oMath>
      <w:r w:rsidRPr="003A582A">
        <w:rPr>
          <w:color w:val="000000" w:themeColor="text1"/>
        </w:rPr>
        <w:t xml:space="preserve"> veces (en valor absoluto) en los niveles de expresión entre el tejido tumoral y el control sano. Esta aproximación matemática modifica el test de Wald para evaluar una hipótesis nula de intervalo, lo que resulta en una lista de genes candidatos significativamente más conservadora</w:t>
      </w:r>
      <w:r w:rsidR="00C0398D">
        <w:rPr>
          <w:color w:val="000000" w:themeColor="text1"/>
        </w:rPr>
        <w:t xml:space="preserve"> y robusta</w:t>
      </w:r>
      <w:r w:rsidRPr="003A582A">
        <w:rPr>
          <w:color w:val="000000" w:themeColor="text1"/>
        </w:rPr>
        <w:t>.</w:t>
      </w:r>
    </w:p>
    <w:p w14:paraId="70A4A060" w14:textId="7C71329A" w:rsidR="00286FA5" w:rsidRPr="00286FA5" w:rsidRDefault="00286FA5" w:rsidP="00286FA5">
      <w:r w:rsidRPr="00286FA5">
        <w:lastRenderedPageBreak/>
        <w:t xml:space="preserve">No obstante, en los experimentos de RNA-seq, los genes con conteos muy bajos o una variabilidad técnica elevada tienden a presentar estimaciones de </w:t>
      </w:r>
      <w:r w:rsidRPr="00286FA5">
        <w:rPr>
          <w:i/>
          <w:iCs/>
        </w:rPr>
        <w:t>Log-Fold Change</w:t>
      </w:r>
      <w:r w:rsidRPr="00286FA5">
        <w:t xml:space="preserve"> (LFC) artificialmente infladas. Para corregir este sesgo y reducir la tasa de falsos positivos, el objeto de resultados generado fue introducido en la función </w:t>
      </w:r>
      <w:r w:rsidRPr="005B62FD">
        <w:rPr>
          <w:i/>
          <w:iCs/>
        </w:rPr>
        <w:t>lfcShrink()</w:t>
      </w:r>
      <w:r w:rsidR="005B62FD">
        <w:t>:</w:t>
      </w:r>
    </w:p>
    <w:p w14:paraId="76A97F7A" w14:textId="6F1690B9" w:rsidR="00286FA5" w:rsidRPr="00961F4F" w:rsidRDefault="00286FA5" w:rsidP="00961F4F">
      <w:pPr>
        <w:jc w:val="center"/>
        <w:rPr>
          <w:sz w:val="22"/>
          <w:szCs w:val="22"/>
        </w:rPr>
      </w:pPr>
      <w:r w:rsidRPr="00961F4F">
        <w:rPr>
          <w:rFonts w:ascii="Consolas" w:hAnsi="Consolas"/>
          <w:color w:val="000000" w:themeColor="text1"/>
          <w:sz w:val="20"/>
          <w:szCs w:val="20"/>
        </w:rPr>
        <w:t>resLFC &lt;- lfcShrink(dds, coef="</w:t>
      </w:r>
      <w:r w:rsidR="00961F4F" w:rsidRPr="00961F4F">
        <w:rPr>
          <w:rFonts w:ascii="Consolas" w:hAnsi="Consolas"/>
          <w:color w:val="000000" w:themeColor="text1"/>
          <w:sz w:val="20"/>
          <w:szCs w:val="20"/>
        </w:rPr>
        <w:t>Condition_Tumor_vs_Normal</w:t>
      </w:r>
      <w:r w:rsidRPr="00961F4F">
        <w:rPr>
          <w:rFonts w:ascii="Consolas" w:hAnsi="Consolas"/>
          <w:color w:val="000000" w:themeColor="text1"/>
          <w:sz w:val="20"/>
          <w:szCs w:val="20"/>
        </w:rPr>
        <w:t>", type="apeglm", res=re</w:t>
      </w:r>
      <w:r w:rsidR="00961F4F" w:rsidRPr="00961F4F">
        <w:rPr>
          <w:rFonts w:ascii="Consolas" w:hAnsi="Consolas"/>
          <w:color w:val="000000" w:themeColor="text1"/>
          <w:sz w:val="20"/>
          <w:szCs w:val="20"/>
        </w:rPr>
        <w:t>s)</w:t>
      </w:r>
    </w:p>
    <w:p w14:paraId="5F8C6E38" w14:textId="29393C59" w:rsidR="00286FA5" w:rsidRPr="00286FA5" w:rsidRDefault="00286FA5" w:rsidP="00286FA5">
      <w:r w:rsidRPr="00286FA5">
        <w:t xml:space="preserve">La ejecución de este algoritmo requirió la especificación de tres parámetros fundamentales. En primer lugar, el argumento </w:t>
      </w:r>
      <w:r w:rsidRPr="005B62FD">
        <w:rPr>
          <w:i/>
          <w:iCs/>
        </w:rPr>
        <w:t>coef</w:t>
      </w:r>
      <w:r w:rsidRPr="00286FA5">
        <w:t xml:space="preserve"> define el contraste biológico de interés que se desea evaluar (Tejido Tumoral frente a Tejido Normal</w:t>
      </w:r>
      <w:r w:rsidR="005B62FD">
        <w:t>).</w:t>
      </w:r>
      <w:r w:rsidR="005B62FD" w:rsidRPr="005B62FD">
        <w:t xml:space="preserve"> Es necesario destacar que la nomenclatura exacta de este coeficiente varía en función de las etiquetas del diseño factorial de cada conjunto de datos, siendo identificado previamente mediante </w:t>
      </w:r>
      <w:r w:rsidRPr="00286FA5">
        <w:t xml:space="preserve">la función </w:t>
      </w:r>
      <w:r w:rsidRPr="005B62FD">
        <w:rPr>
          <w:i/>
          <w:iCs/>
        </w:rPr>
        <w:t>resultsNames(dds)</w:t>
      </w:r>
      <w:r w:rsidRPr="00286FA5">
        <w:t>.</w:t>
      </w:r>
    </w:p>
    <w:p w14:paraId="1BACDA40" w14:textId="1E524498" w:rsidR="006C7485" w:rsidRPr="006C7485" w:rsidRDefault="00286FA5" w:rsidP="006C7485">
      <w:r w:rsidRPr="00286FA5">
        <w:t xml:space="preserve">En segundo lugar, se seleccionó el parámetro </w:t>
      </w:r>
      <w:r w:rsidRPr="005B62FD">
        <w:rPr>
          <w:i/>
          <w:iCs/>
        </w:rPr>
        <w:t>type = "apeglm"</w:t>
      </w:r>
      <w:r w:rsidR="005B62FD">
        <w:rPr>
          <w:i/>
          <w:iCs/>
        </w:rPr>
        <w:t xml:space="preserve"> </w:t>
      </w:r>
      <w:r w:rsidR="005B62FD">
        <w:rPr>
          <w:i/>
          <w:iCs/>
        </w:rPr>
        <w:fldChar w:fldCharType="begin"/>
      </w:r>
      <w:r w:rsidR="005B62FD">
        <w:rPr>
          <w:i/>
          <w:iCs/>
        </w:rPr>
        <w:instrText xml:space="preserve"> ADDIN ZOTERO_ITEM CSL_CITATION {"citationID":"V2YypPVC","properties":{"unsorted":false,"formattedCitation":"(5)","plainCitation":"(5)","noteIndex":0},"citationItems":[{"id":6,"uris":["http://zotero.org/users/local/sechomLT/items/9DJ274IW"],"itemData":{"id":6,"type":"article-journal","abstract":"AbstractMotivation. In RNA-seq differential expression analysis, investigators aim to detect those genes with changes in expression level across conditions","language":"en","source":"academic.oup.com","title":"Heavy-tailed prior distributions for sequence count data: removing the noise and preserving large differences","title-short":"Heavy-tailed prior distributions for sequence count data","URL":"https://dx.doi.org/10.1093/bioinformatics/bty895","author":[{"family":"Zhu","given":"Anqi"},{"family":"Ibrahim","given":"Joseph G."},{"family":"Love","given":"Michael I."}],"accessed":{"date-parts":[["2026",4,20]]}}}],"schema":"https://github.com/citation-style-language/schema/raw/master/csl-citation.json"} </w:instrText>
      </w:r>
      <w:r w:rsidR="005B62FD">
        <w:rPr>
          <w:i/>
          <w:iCs/>
        </w:rPr>
        <w:fldChar w:fldCharType="separate"/>
      </w:r>
      <w:r w:rsidR="005B62FD" w:rsidRPr="005B62FD">
        <w:rPr>
          <w:rFonts w:ascii="Calibri" w:hAnsi="Calibri" w:cs="Calibri"/>
        </w:rPr>
        <w:t>(5)</w:t>
      </w:r>
      <w:r w:rsidR="005B62FD">
        <w:rPr>
          <w:i/>
          <w:iCs/>
        </w:rPr>
        <w:fldChar w:fldCharType="end"/>
      </w:r>
      <w:r w:rsidR="006C7485">
        <w:t>.</w:t>
      </w:r>
      <w:r w:rsidRPr="00286FA5">
        <w:t xml:space="preserve"> </w:t>
      </w:r>
      <w:r w:rsidR="00AA6607" w:rsidRPr="00AA6607">
        <w:t>Este argumento implementa el método de Estimación Posterior Aproximada para Modelos Lineales Generalizados, el cual utiliza una distribución a priori t de Student para modelar los verdaderos cambios de expresión</w:t>
      </w:r>
      <w:r w:rsidR="00AA6607">
        <w:t xml:space="preserve">. </w:t>
      </w:r>
      <w:r w:rsidR="006C7485" w:rsidRPr="006C7485">
        <w:t>A diferencia de los algoritmos tradicionales, esta aproximación estadística es capaz de identificar y contraer de manera muy estricta los falsos positivos causados por el ruido técnico en genes de baja expresión. Al mismo tiempo, el estimador discrimina con precisión las señales biológicas potentes, preservando intactas las magnitudes de los cambios en aquellos genes con diferencias de expresión verdaderamente masivas.</w:t>
      </w:r>
    </w:p>
    <w:p w14:paraId="5F5AAB05" w14:textId="6B0628FD" w:rsidR="00286FA5" w:rsidRPr="00286FA5" w:rsidRDefault="00286FA5" w:rsidP="00286FA5">
      <w:r w:rsidRPr="00286FA5">
        <w:t xml:space="preserve">Por último, se incorporó explícitamente el argumento </w:t>
      </w:r>
      <w:r w:rsidRPr="006C7485">
        <w:rPr>
          <w:i/>
          <w:iCs/>
        </w:rPr>
        <w:t>res = res</w:t>
      </w:r>
      <w:r w:rsidRPr="00286FA5">
        <w:t xml:space="preserve">. Esta configuración es de vital importancia en este flujo de trabajo, ya que </w:t>
      </w:r>
      <w:r w:rsidR="006C7485">
        <w:t>indica</w:t>
      </w:r>
      <w:r w:rsidRPr="00286FA5">
        <w:t xml:space="preserve"> a </w:t>
      </w:r>
      <w:r w:rsidRPr="006C7485">
        <w:rPr>
          <w:i/>
          <w:iCs/>
        </w:rPr>
        <w:t>lfcShrink()</w:t>
      </w:r>
      <w:r w:rsidRPr="00286FA5">
        <w:t xml:space="preserve"> </w:t>
      </w:r>
      <w:r w:rsidR="006C7485">
        <w:t>que debe</w:t>
      </w:r>
      <w:r w:rsidRPr="00286FA5">
        <w:t xml:space="preserve"> heredar los </w:t>
      </w:r>
      <w:r w:rsidRPr="006C7485">
        <w:t>p-valores</w:t>
      </w:r>
      <w:r w:rsidR="006C7485">
        <w:t xml:space="preserve"> (</w:t>
      </w:r>
      <w:r w:rsidR="006C7485" w:rsidRPr="006C7485">
        <w:rPr>
          <w:i/>
          <w:iCs/>
        </w:rPr>
        <w:t>pvalue</w:t>
      </w:r>
      <w:r w:rsidR="006C7485">
        <w:t>)</w:t>
      </w:r>
      <w:r w:rsidRPr="00286FA5">
        <w:t xml:space="preserve"> y los </w:t>
      </w:r>
      <w:r w:rsidRPr="006C7485">
        <w:t>p-valores</w:t>
      </w:r>
      <w:r w:rsidRPr="00286FA5">
        <w:t xml:space="preserve"> ajustados</w:t>
      </w:r>
      <w:r w:rsidR="006C7485">
        <w:t xml:space="preserve"> (</w:t>
      </w:r>
      <w:r w:rsidR="006C7485" w:rsidRPr="006C7485">
        <w:rPr>
          <w:i/>
          <w:iCs/>
        </w:rPr>
        <w:t>padj</w:t>
      </w:r>
      <w:r w:rsidR="006C7485">
        <w:t>)</w:t>
      </w:r>
      <w:r w:rsidRPr="00286FA5">
        <w:t xml:space="preserve"> calculados bajo la hipótesis de intervalo previa (</w:t>
      </w:r>
      <w:r w:rsidRPr="006C7485">
        <w:rPr>
          <w:i/>
          <w:iCs/>
        </w:rPr>
        <w:t>lfcThreshold = 0.585</w:t>
      </w:r>
      <w:r w:rsidRPr="00286FA5">
        <w:t>). De este modo, el método recalcula y estabiliza únicamente las magnitudes de los LFC y sus errores estándar sin alterar la potencia estadística del test de Wald original.</w:t>
      </w:r>
    </w:p>
    <w:p w14:paraId="6F3F3750" w14:textId="1AB10A17" w:rsidR="00B3758F" w:rsidRPr="00B3758F" w:rsidRDefault="00B3758F" w:rsidP="00B3758F">
      <w:r w:rsidRPr="00B3758F">
        <w:t xml:space="preserve">La matriz de resultados obtenida tras </w:t>
      </w:r>
      <w:r>
        <w:t>el encogimiento</w:t>
      </w:r>
      <w:r w:rsidRPr="00B3758F">
        <w:t xml:space="preserve"> de los cambios de expresión se empleó, en primera instancia, para la visualización global del experimento mediante diagramas de dispersión MA (</w:t>
      </w:r>
      <w:r w:rsidRPr="00B3758F">
        <w:rPr>
          <w:i/>
          <w:iCs/>
        </w:rPr>
        <w:t>MA-plots</w:t>
      </w:r>
      <w:r w:rsidRPr="00B3758F">
        <w:t>) y gráficos de volcán (</w:t>
      </w:r>
      <w:r w:rsidRPr="00B3758F">
        <w:rPr>
          <w:i/>
          <w:iCs/>
        </w:rPr>
        <w:t>volcano plots</w:t>
      </w:r>
      <w:r w:rsidRPr="00B3758F">
        <w:t xml:space="preserve">). El primero se utilizó para examinar la relación entre la abundancia de los transcritos y la magnitud del cambio, mientras que el segundo permitió identificar visualmente aquellos genes con una relevancia estadística y biológica sobresaliente. </w:t>
      </w:r>
      <w:r w:rsidR="00D66904" w:rsidRPr="00D66904">
        <w:t xml:space="preserve">Posteriormente, y tras incorporar la correspondiente anotación molecular detallada en el siguiente apartado, los transcritos </w:t>
      </w:r>
      <w:r w:rsidRPr="00B3758F">
        <w:t xml:space="preserve">se ordenaron de forma </w:t>
      </w:r>
      <w:r w:rsidRPr="00B3758F">
        <w:lastRenderedPageBreak/>
        <w:t>descendente según su significación estadística mediante el valor de</w:t>
      </w:r>
      <w:r>
        <w:t>l</w:t>
      </w:r>
      <w:r w:rsidRPr="00B3758F">
        <w:t xml:space="preserve"> p-</w:t>
      </w:r>
      <w:r>
        <w:t xml:space="preserve">valor </w:t>
      </w:r>
      <w:r w:rsidRPr="00B3758F">
        <w:t>ajustado. Sobre este conjunto, se aplicó un filtro estricto para aislar los DEGs. Para ello, se exigió una tasa de falso descubrimiento corregida menor al 5% (</w:t>
      </w:r>
      <m:oMath>
        <m:r>
          <w:rPr>
            <w:rFonts w:ascii="Cambria Math" w:hAnsi="Cambria Math"/>
          </w:rPr>
          <m:t>padj &lt; 0.05</m:t>
        </m:r>
      </m:oMath>
      <w:r w:rsidRPr="00B3758F">
        <w:t xml:space="preserve">), la exclusión de valores ausentes y una magnitud de cambio superior a </w:t>
      </w:r>
      <m:oMath>
        <m:r>
          <w:rPr>
            <w:rFonts w:ascii="Cambria Math" w:hAnsi="Cambria Math"/>
          </w:rPr>
          <m:t>1.5</m:t>
        </m:r>
      </m:oMath>
      <w:r w:rsidRPr="00B3758F">
        <w:t xml:space="preserve"> veces en valor absoluto (</w:t>
      </w:r>
      <m:oMath>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FC|&gt;0.585</m:t>
        </m:r>
      </m:oMath>
      <w:r w:rsidRPr="00B3758F">
        <w:t>).</w:t>
      </w:r>
    </w:p>
    <w:p w14:paraId="7B97FC65" w14:textId="2BACAB79" w:rsidR="00B3758F" w:rsidRPr="00B3758F" w:rsidRDefault="00B3758F" w:rsidP="00B3758F">
      <w:r w:rsidRPr="00B3758F">
        <w:t>A partir de este listado depurado, se extrajeron dos subconjuntos específicos. El primero, compuesto por los 20 genes más significativos (Top 20), se destinó a la generación de mapas de calor (</w:t>
      </w:r>
      <w:r w:rsidRPr="00B3758F">
        <w:rPr>
          <w:i/>
          <w:iCs/>
        </w:rPr>
        <w:t>heatmaps</w:t>
      </w:r>
      <w:r w:rsidRPr="00B3758F">
        <w:t>) y diagramas de caja (</w:t>
      </w:r>
      <w:r w:rsidRPr="00B3758F">
        <w:rPr>
          <w:i/>
          <w:iCs/>
        </w:rPr>
        <w:t>boxplots</w:t>
      </w:r>
      <w:r w:rsidRPr="00B3758F">
        <w:t>) comparativos de los niveles de expresión por condición. El segundo bloque, conformado por los 1500 genes principales (Top 1500), se empleó para ejecutar un nuevo</w:t>
      </w:r>
      <w:r w:rsidR="00B556D4">
        <w:t xml:space="preserve"> PCA</w:t>
      </w:r>
      <w:r w:rsidRPr="00B3758F">
        <w:t xml:space="preserve">. A diferencia de la aproximación exploratoria inicial del estudio, esta segunda </w:t>
      </w:r>
      <w:r w:rsidR="00B556D4">
        <w:t>representación</w:t>
      </w:r>
      <w:r w:rsidRPr="00B3758F">
        <w:t xml:space="preserve"> buscaba evaluar si la restricción exclusiva a la señal biológica más robusta lograba una separación y delimitación mucho más clara de los grupos </w:t>
      </w:r>
      <w:r w:rsidR="00B556D4">
        <w:t>de interés</w:t>
      </w:r>
      <w:r w:rsidRPr="00B3758F">
        <w:t>. Finalmente, la tabla completa con los DEGs filtrados se exportó en formato CSV como archivo de salida definitivo para las fases de integración</w:t>
      </w:r>
      <w:r w:rsidR="00B556D4">
        <w:t xml:space="preserve"> e interpretación</w:t>
      </w:r>
      <w:r w:rsidRPr="00B3758F">
        <w:t>.</w:t>
      </w:r>
    </w:p>
    <w:p w14:paraId="5ED18104" w14:textId="01C08473" w:rsidR="00B556D4" w:rsidRPr="00881FFC" w:rsidRDefault="00B556D4" w:rsidP="00B556D4">
      <w:pPr>
        <w:pStyle w:val="Ttulo2"/>
        <w:rPr>
          <w:caps w:val="0"/>
        </w:rPr>
      </w:pPr>
      <w:bookmarkStart w:id="29" w:name="_Toc230635981"/>
      <w:r w:rsidRPr="00B556D4">
        <w:rPr>
          <w:caps w:val="0"/>
        </w:rPr>
        <w:t xml:space="preserve">Anotación </w:t>
      </w:r>
      <w:r>
        <w:rPr>
          <w:caps w:val="0"/>
        </w:rPr>
        <w:t>M</w:t>
      </w:r>
      <w:r w:rsidRPr="00B556D4">
        <w:rPr>
          <w:caps w:val="0"/>
        </w:rPr>
        <w:t xml:space="preserve">olecular y </w:t>
      </w:r>
      <w:r>
        <w:rPr>
          <w:caps w:val="0"/>
        </w:rPr>
        <w:t>M</w:t>
      </w:r>
      <w:r w:rsidRPr="00B556D4">
        <w:rPr>
          <w:caps w:val="0"/>
        </w:rPr>
        <w:t xml:space="preserve">apeo de </w:t>
      </w:r>
      <w:r>
        <w:rPr>
          <w:caps w:val="0"/>
        </w:rPr>
        <w:t>I</w:t>
      </w:r>
      <w:r w:rsidRPr="00B556D4">
        <w:rPr>
          <w:caps w:val="0"/>
        </w:rPr>
        <w:t xml:space="preserve">dentificadores </w:t>
      </w:r>
      <w:r>
        <w:rPr>
          <w:caps w:val="0"/>
        </w:rPr>
        <w:t>F</w:t>
      </w:r>
      <w:r w:rsidRPr="00B556D4">
        <w:rPr>
          <w:caps w:val="0"/>
        </w:rPr>
        <w:t>uncionales</w:t>
      </w:r>
      <w:bookmarkEnd w:id="29"/>
    </w:p>
    <w:p w14:paraId="7AEC17B4" w14:textId="1CA9DCB2" w:rsidR="00BB2C36" w:rsidRPr="00BB2C36" w:rsidRDefault="007E61EB" w:rsidP="00BB2C36">
      <w:r>
        <w:t>D</w:t>
      </w:r>
      <w:r w:rsidR="00BB2C36" w:rsidRPr="00BB2C36">
        <w:t xml:space="preserve">espués de la obtención de las </w:t>
      </w:r>
      <w:r w:rsidR="00D66904" w:rsidRPr="00D66904">
        <w:t>tablas de resultados de expresión diferencial optimizadas</w:t>
      </w:r>
      <w:r w:rsidR="00D66904">
        <w:t xml:space="preserve"> </w:t>
      </w:r>
      <w:r w:rsidR="00BB2C36" w:rsidRPr="00BB2C36">
        <w:t>mediante la contracción de los cambios de expresión (</w:t>
      </w:r>
      <w:r w:rsidR="00BB2C36" w:rsidRPr="00BB2C36">
        <w:rPr>
          <w:i/>
          <w:iCs/>
        </w:rPr>
        <w:t>LFC-shrinkage</w:t>
      </w:r>
      <w:r w:rsidR="00BB2C36" w:rsidRPr="00BB2C36">
        <w:t xml:space="preserve">), y de forma previa al ordenamiento y filtrado por significación estadística descrito en el apartado anterior, se llevó a cabo </w:t>
      </w:r>
      <w:r>
        <w:t>la</w:t>
      </w:r>
      <w:r w:rsidR="00BB2C36" w:rsidRPr="00BB2C36">
        <w:t xml:space="preserve"> fase de anotación molecular. Este paso es </w:t>
      </w:r>
      <w:r>
        <w:t>esencial</w:t>
      </w:r>
      <w:r w:rsidR="00BB2C36" w:rsidRPr="00BB2C36">
        <w:t xml:space="preserve"> </w:t>
      </w:r>
      <w:r>
        <w:t xml:space="preserve">puesto </w:t>
      </w:r>
      <w:r w:rsidR="00BB2C36" w:rsidRPr="00BB2C36">
        <w:t>que las matrices de conteos originales proceden de diferentes plataformas de secuenciación y flujos de preprocesamiento, lo que introduce una marcada heterogeneidad en la nomenclatura de los genes. Con el propósito de garantizar la interoperabilidad de los datos, se diseñó una estrategia unificada de mapeo para transformar los identificadores de origen en dos nomenclaturas estándar: los símbolos oficiales de</w:t>
      </w:r>
      <w:r w:rsidR="00C03218">
        <w:t>l</w:t>
      </w:r>
      <w:r w:rsidR="00BB2C36" w:rsidRPr="00BB2C36">
        <w:t xml:space="preserve"> </w:t>
      </w:r>
      <w:hyperlink r:id="rId19" w:history="1">
        <w:r w:rsidR="00BB2C36" w:rsidRPr="007E61EB">
          <w:rPr>
            <w:rStyle w:val="Hipervnculo"/>
            <w:i/>
            <w:iCs/>
          </w:rPr>
          <w:t>HUGO Gene Nomenclature Committee</w:t>
        </w:r>
      </w:hyperlink>
      <w:r w:rsidR="00BB2C36" w:rsidRPr="00BB2C36">
        <w:t xml:space="preserve"> (</w:t>
      </w:r>
      <w:r w:rsidR="00BB2C36" w:rsidRPr="00BB2C36">
        <w:rPr>
          <w:i/>
          <w:iCs/>
        </w:rPr>
        <w:t>HGNC Gene Symbol</w:t>
      </w:r>
      <w:r w:rsidR="00BB2C36" w:rsidRPr="00BB2C36">
        <w:t xml:space="preserve">), indispensables para la interpretación biomédica y la visualización gráfica, y los códigos numéricos </w:t>
      </w:r>
      <w:r w:rsidR="00BB2C36" w:rsidRPr="00BB2C36">
        <w:rPr>
          <w:i/>
          <w:iCs/>
        </w:rPr>
        <w:t>Entrez ID</w:t>
      </w:r>
      <w:r w:rsidR="00BB2C36" w:rsidRPr="00BB2C36">
        <w:t xml:space="preserve"> de</w:t>
      </w:r>
      <w:r w:rsidR="00C03218">
        <w:t>l</w:t>
      </w:r>
      <w:r w:rsidR="00BB2C36" w:rsidRPr="00BB2C36">
        <w:t xml:space="preserve"> NCBI, </w:t>
      </w:r>
      <w:r w:rsidR="00C03218">
        <w:t>necesarios</w:t>
      </w:r>
      <w:r w:rsidR="00BB2C36" w:rsidRPr="00BB2C36">
        <w:t xml:space="preserve"> para los análisis de enriquecimiento funcional subsiguientes.</w:t>
      </w:r>
    </w:p>
    <w:p w14:paraId="4E56557E" w14:textId="5B27062A" w:rsidR="00BB2C36" w:rsidRPr="00BB2C36" w:rsidRDefault="00BB2C36" w:rsidP="00BB2C36">
      <w:r w:rsidRPr="00BB2C36">
        <w:t xml:space="preserve">Debido a la </w:t>
      </w:r>
      <w:r w:rsidR="00C03218">
        <w:t xml:space="preserve">diversa </w:t>
      </w:r>
      <w:r w:rsidRPr="00BB2C36">
        <w:t>naturaleza de los datos de entrada, el procedimiento de anotación se adaptó de forma específica a tres bloques metodológicos:</w:t>
      </w:r>
    </w:p>
    <w:p w14:paraId="611A9B69" w14:textId="039A9937" w:rsidR="00BB2C36" w:rsidRPr="00BB2C36" w:rsidRDefault="00BB2C36" w:rsidP="004F46ED">
      <w:pPr>
        <w:numPr>
          <w:ilvl w:val="0"/>
          <w:numId w:val="35"/>
        </w:numPr>
      </w:pPr>
      <w:r w:rsidRPr="00BB2C36">
        <w:rPr>
          <w:b/>
          <w:bCs/>
        </w:rPr>
        <w:t>Cohortes del pipeline estandarizado del NCBI (GSE50760, GSE92914, GSE104836, GSE142279 y GSE156451):</w:t>
      </w:r>
      <w:r w:rsidRPr="00BB2C36">
        <w:t xml:space="preserve"> Al haber sido preprocesados por la infraestructura de</w:t>
      </w:r>
      <w:r w:rsidR="00C03218">
        <w:t>l</w:t>
      </w:r>
      <w:r w:rsidRPr="00BB2C36">
        <w:t xml:space="preserve"> NCB</w:t>
      </w:r>
      <w:r w:rsidR="00C03218">
        <w:t>I</w:t>
      </w:r>
      <w:r w:rsidRPr="00BB2C36">
        <w:t xml:space="preserve">, </w:t>
      </w:r>
      <w:r w:rsidRPr="00BB2C36">
        <w:lastRenderedPageBreak/>
        <w:t xml:space="preserve">estos conjuntos de datos empleaban de forma nativa identificadores </w:t>
      </w:r>
      <w:r w:rsidRPr="00BB2C36">
        <w:rPr>
          <w:i/>
          <w:iCs/>
        </w:rPr>
        <w:t>Entrez ID</w:t>
      </w:r>
      <w:r w:rsidRPr="00BB2C36">
        <w:t xml:space="preserve"> como nombres de fila. </w:t>
      </w:r>
      <w:r w:rsidR="004F46ED" w:rsidRPr="004F46ED">
        <w:t>Para obtener los símbolos oficiales de los genes (</w:t>
      </w:r>
      <w:r w:rsidR="004F46ED" w:rsidRPr="004F46ED">
        <w:rPr>
          <w:i/>
          <w:iCs/>
        </w:rPr>
        <w:t>Gene Symbols</w:t>
      </w:r>
      <w:r w:rsidR="004F46ED" w:rsidRPr="004F46ED">
        <w:t xml:space="preserve">), se utilizó la </w:t>
      </w:r>
      <w:r w:rsidR="004F46ED">
        <w:t>librería</w:t>
      </w:r>
      <w:r w:rsidR="004F46ED" w:rsidRPr="004F46ED">
        <w:t xml:space="preserve"> </w:t>
      </w:r>
      <w:r w:rsidR="004F46ED" w:rsidRPr="004F46ED">
        <w:rPr>
          <w:i/>
          <w:iCs/>
        </w:rPr>
        <w:t>AnnotationHub</w:t>
      </w:r>
      <w:r w:rsidR="004F46ED" w:rsidRPr="004F46ED">
        <w:t xml:space="preserve"> con el fin de consultar la base de datos de anotación humana</w:t>
      </w:r>
      <w:r w:rsidR="00E91C43" w:rsidRPr="00E91C43">
        <w:t xml:space="preserve"> </w:t>
      </w:r>
      <w:r w:rsidR="00E91C43">
        <w:t xml:space="preserve">mediante </w:t>
      </w:r>
      <w:r w:rsidR="00E91C43" w:rsidRPr="00E91C43">
        <w:t>el registro específico AH121953</w:t>
      </w:r>
      <w:r w:rsidR="004F46ED" w:rsidRPr="004F46ED">
        <w:t xml:space="preserve">. A través de este proceso se tradujeron las nomenclaturas y, en aquellos casos donde un identificador presentaba </w:t>
      </w:r>
      <w:r w:rsidR="004F46ED">
        <w:t xml:space="preserve">varias </w:t>
      </w:r>
      <w:r w:rsidR="004F46ED" w:rsidRPr="004F46ED">
        <w:t>correspondencia</w:t>
      </w:r>
      <w:r w:rsidR="004F46ED">
        <w:t>s</w:t>
      </w:r>
      <w:r w:rsidR="004F46ED" w:rsidRPr="004F46ED">
        <w:t>, se conservó únicamente el primer elemento registrado. Esto permitió obtener una conversión limpia y uniforme para todos los genes de estas matrices</w:t>
      </w:r>
      <w:r w:rsidRPr="00BB2C36">
        <w:t>.</w:t>
      </w:r>
    </w:p>
    <w:p w14:paraId="54C906C6" w14:textId="6A76B7FF" w:rsidR="00BB2C36" w:rsidRPr="00BB2C36" w:rsidRDefault="00BB2C36" w:rsidP="00BB2C36">
      <w:pPr>
        <w:numPr>
          <w:ilvl w:val="0"/>
          <w:numId w:val="35"/>
        </w:numPr>
      </w:pPr>
      <w:r w:rsidRPr="00BB2C36">
        <w:rPr>
          <w:b/>
          <w:bCs/>
        </w:rPr>
        <w:t>Cohorte de secuenciación independiente (GSE164541):</w:t>
      </w:r>
      <w:r w:rsidRPr="00BB2C36">
        <w:t xml:space="preserve"> </w:t>
      </w:r>
      <w:r w:rsidR="00E91C43">
        <w:t>Su</w:t>
      </w:r>
      <w:r w:rsidRPr="00BB2C36">
        <w:t xml:space="preserve"> </w:t>
      </w:r>
      <w:r w:rsidR="00E91C43">
        <w:t xml:space="preserve">anotación </w:t>
      </w:r>
      <w:r w:rsidRPr="00BB2C36">
        <w:t xml:space="preserve">requirió una aproximación </w:t>
      </w:r>
      <w:r w:rsidR="004F46ED">
        <w:t>diferente</w:t>
      </w:r>
      <w:r w:rsidRPr="00BB2C36">
        <w:t xml:space="preserve"> </w:t>
      </w:r>
      <w:r w:rsidR="004F46ED" w:rsidRPr="004F46ED">
        <w:t>ya que su matriz de conteos se obtuvo a partir de los datos suplementarios del estudio original, indexada mediante identificadores de Ensembl</w:t>
      </w:r>
      <w:r w:rsidRPr="00BB2C36">
        <w:t xml:space="preserve">. </w:t>
      </w:r>
      <w:r w:rsidR="00E91C43" w:rsidRPr="00E91C43">
        <w:t>A diferencia de los códigos de la NCBI, la nomenclatura de Ensembl varía notablemente según la versión de la base de datos debido a las constantes actualizaciones del genoma. Para evitar la pérdida de información por estas discrepancias, se utilizó</w:t>
      </w:r>
      <w:r w:rsidR="00E91C43">
        <w:t xml:space="preserve"> </w:t>
      </w:r>
      <w:r w:rsidR="00E91C43" w:rsidRPr="00E91C43">
        <w:rPr>
          <w:i/>
          <w:iCs/>
        </w:rPr>
        <w:t>AnnotationHub</w:t>
      </w:r>
      <w:r w:rsidR="00E91C43" w:rsidRPr="00E91C43">
        <w:t xml:space="preserve"> para consultar la base de datos genómica de Ensembl (</w:t>
      </w:r>
      <w:r w:rsidR="00E91C43" w:rsidRPr="00E91C43">
        <w:rPr>
          <w:i/>
          <w:iCs/>
        </w:rPr>
        <w:t>EnsDb</w:t>
      </w:r>
      <w:r w:rsidR="00E91C43" w:rsidRPr="00E91C43">
        <w:t>) en su versión 103</w:t>
      </w:r>
      <w:r w:rsidR="00E91C43">
        <w:t xml:space="preserve"> (registro </w:t>
      </w:r>
      <w:r w:rsidR="00E91C43" w:rsidRPr="00E91C43">
        <w:t>AH89426</w:t>
      </w:r>
      <w:r w:rsidR="00E91C43">
        <w:t>)</w:t>
      </w:r>
      <w:r w:rsidR="00E91C43" w:rsidRPr="00E91C43">
        <w:t>, que es la contemporánea a</w:t>
      </w:r>
      <w:r w:rsidR="00E91C43">
        <w:t xml:space="preserve"> dicho </w:t>
      </w:r>
      <w:r w:rsidR="00E91C43" w:rsidRPr="00E91C43">
        <w:t xml:space="preserve">estudio. A partir de este recurso, se realizó la conversión de cada código Ensembl para obtener tanto su </w:t>
      </w:r>
      <w:r w:rsidR="00E91C43" w:rsidRPr="00E91C43">
        <w:rPr>
          <w:i/>
          <w:iCs/>
        </w:rPr>
        <w:t>Entrez ID</w:t>
      </w:r>
      <w:r w:rsidR="00E91C43" w:rsidRPr="00E91C43">
        <w:t xml:space="preserve"> como su </w:t>
      </w:r>
      <w:r w:rsidR="00E91C43" w:rsidRPr="00E91C43">
        <w:rPr>
          <w:i/>
          <w:iCs/>
        </w:rPr>
        <w:t>Gene Symbol</w:t>
      </w:r>
      <w:r w:rsidR="00E91C43" w:rsidRPr="00E91C43">
        <w:t>, asegurando así la total compatibilidad de la serie.</w:t>
      </w:r>
    </w:p>
    <w:p w14:paraId="3F15CEE5" w14:textId="3FE8E6AE" w:rsidR="00BB2C36" w:rsidRPr="00BB2C36" w:rsidRDefault="00BB2C36" w:rsidP="00BB2C36">
      <w:pPr>
        <w:numPr>
          <w:ilvl w:val="0"/>
          <w:numId w:val="35"/>
        </w:numPr>
      </w:pPr>
      <w:r w:rsidRPr="00BB2C36">
        <w:rPr>
          <w:b/>
          <w:bCs/>
        </w:rPr>
        <w:t>Cohorte de validación masiva (TCGA-COAD):</w:t>
      </w:r>
      <w:r w:rsidRPr="00BB2C36">
        <w:t xml:space="preserve"> </w:t>
      </w:r>
      <w:r w:rsidR="00665961" w:rsidRPr="00665961">
        <w:t xml:space="preserve">Los datos de esta cohorte, procedentes del portal </w:t>
      </w:r>
      <w:r w:rsidR="00665961">
        <w:t xml:space="preserve">de </w:t>
      </w:r>
      <w:r w:rsidR="00665961" w:rsidRPr="00665961">
        <w:t xml:space="preserve">GDC, están armonizados bajo la anotación GENCODE v36 sobre el ensamblaje de referencia GRCh38. Aunque los archivos individuales de origen contenían tanto códigos de Ensembl como sus nombres comunes, la matriz unificada de conteos se construyó priorizando la integridad estructural de los identificadores de Ensembl. Para la fase de anotación, los </w:t>
      </w:r>
      <w:r w:rsidR="00665961" w:rsidRPr="00665961">
        <w:rPr>
          <w:i/>
          <w:iCs/>
        </w:rPr>
        <w:t>Gene Symbols</w:t>
      </w:r>
      <w:r w:rsidR="00665961" w:rsidRPr="00665961">
        <w:t xml:space="preserve"> se recuperaron directamente a partir de las matrices de conteo originales de uno de los archivos individuales, lo que garantizó la traducción de la totalidad de los transcritos. De forma paralela, para obtener los códigos </w:t>
      </w:r>
      <w:r w:rsidR="00665961" w:rsidRPr="00665961">
        <w:rPr>
          <w:i/>
          <w:iCs/>
        </w:rPr>
        <w:t>Entrez ID</w:t>
      </w:r>
      <w:r w:rsidR="00665961" w:rsidRPr="00665961">
        <w:t xml:space="preserve"> sin introducir sesgos por el desfase entre bases de datos, se utilizó </w:t>
      </w:r>
      <w:r w:rsidR="00665961" w:rsidRPr="00665961">
        <w:rPr>
          <w:i/>
          <w:iCs/>
        </w:rPr>
        <w:t>AnnotationHub</w:t>
      </w:r>
      <w:r w:rsidR="00665961" w:rsidRPr="00665961">
        <w:t xml:space="preserve"> para consultar la versión 103 de la base de datos genómica de Ensembl (</w:t>
      </w:r>
      <w:r w:rsidR="00665961" w:rsidRPr="00665961">
        <w:rPr>
          <w:i/>
          <w:iCs/>
        </w:rPr>
        <w:t>EnsDb</w:t>
      </w:r>
      <w:r w:rsidR="00665961" w:rsidRPr="00665961">
        <w:t>), la cual presenta una equivalencia exacta con GENCODE v36</w:t>
      </w:r>
      <w:r w:rsidRPr="00BB2C36">
        <w:t>.</w:t>
      </w:r>
    </w:p>
    <w:p w14:paraId="2CD36E85" w14:textId="70712BAD" w:rsidR="002767AF" w:rsidRPr="00D66904" w:rsidRDefault="00665961" w:rsidP="00881FFC">
      <w:pPr>
        <w:rPr>
          <w:rFonts w:ascii="Times New Roman" w:hAnsi="Times New Roman"/>
        </w:rPr>
      </w:pPr>
      <w:r>
        <w:t xml:space="preserve">Una vez finalizada la anotación de todos los genes en las matrices </w:t>
      </w:r>
      <w:r w:rsidRPr="00665961">
        <w:rPr>
          <w:i/>
          <w:iCs/>
        </w:rPr>
        <w:t>resLFC</w:t>
      </w:r>
      <w:r>
        <w:t xml:space="preserve"> independientes, se logró unificar la estructura de todas las cohortes del estudio. Al añadir las columnas de </w:t>
      </w:r>
      <w:r>
        <w:rPr>
          <w:i/>
          <w:iCs/>
        </w:rPr>
        <w:t xml:space="preserve">Gene </w:t>
      </w:r>
      <w:r>
        <w:rPr>
          <w:i/>
          <w:iCs/>
        </w:rPr>
        <w:lastRenderedPageBreak/>
        <w:t>Symbol</w:t>
      </w:r>
      <w:r>
        <w:t xml:space="preserve"> y </w:t>
      </w:r>
      <w:r>
        <w:rPr>
          <w:i/>
          <w:iCs/>
        </w:rPr>
        <w:t>Entrez ID</w:t>
      </w:r>
      <w:r>
        <w:t xml:space="preserve">, se eliminaron por completo las diferencias de nomenclatura derivadas de las bases de datos de origen. </w:t>
      </w:r>
      <w:r w:rsidR="00FA4D54" w:rsidRPr="00FA4D54">
        <w:t xml:space="preserve">Esta armonización dejó las tablas completamente listas para su ordenación y filtrado definitivo, asegurando que tanto los archivos </w:t>
      </w:r>
      <w:r w:rsidR="00FA4D54" w:rsidRPr="00FA4D54">
        <w:rPr>
          <w:i/>
          <w:iCs/>
        </w:rPr>
        <w:t>.csv</w:t>
      </w:r>
      <w:r w:rsidR="00FA4D54" w:rsidRPr="00FA4D54">
        <w:t xml:space="preserve"> de salida como los análisis visuales contaran con identificadores oficiales y estandarizados.</w:t>
      </w:r>
    </w:p>
    <w:p w14:paraId="1B16D037" w14:textId="72847F9F" w:rsidR="00402AA8" w:rsidRPr="00881FFC" w:rsidRDefault="00881FFC" w:rsidP="00402AA8">
      <w:pPr>
        <w:pStyle w:val="Ttulo2"/>
        <w:rPr>
          <w:caps w:val="0"/>
        </w:rPr>
      </w:pPr>
      <w:bookmarkStart w:id="30" w:name="_Toc230635982"/>
      <w:r>
        <w:rPr>
          <w:caps w:val="0"/>
        </w:rPr>
        <w:t>Identificación de Firmas Consenso y Análisis de Enriquecimiento Funcional</w:t>
      </w:r>
      <w:bookmarkEnd w:id="30"/>
    </w:p>
    <w:p w14:paraId="5A4DB490" w14:textId="2756982A" w:rsidR="0020681F" w:rsidRPr="0020681F" w:rsidRDefault="0020681F" w:rsidP="0020681F">
      <w:r w:rsidRPr="0020681F">
        <w:t xml:space="preserve">Para identificar firmas moleculares robustas y consistentes a partir de las diferentes cohortes, se diseñó una estrategia de integración basada en la intersección de los DEGs obtenidos en </w:t>
      </w:r>
      <w:r w:rsidR="007B7DF9">
        <w:t>los análisis</w:t>
      </w:r>
      <w:r w:rsidRPr="0020681F">
        <w:t xml:space="preserve"> independientes. </w:t>
      </w:r>
      <w:r w:rsidR="007B7DF9" w:rsidRPr="007B7DF9">
        <w:t xml:space="preserve">En primer lugar, se procesaron las tablas de resultados de cada cohorte para extraer los códigos </w:t>
      </w:r>
      <w:r w:rsidR="007B7DF9" w:rsidRPr="007B7DF9">
        <w:rPr>
          <w:i/>
          <w:iCs/>
        </w:rPr>
        <w:t>Entrez ID</w:t>
      </w:r>
      <w:r w:rsidR="007B7DF9" w:rsidRPr="007B7DF9">
        <w:t xml:space="preserve"> de los genes significativos. Estos identificadores se clasificaron según la dirección de su cambio, separando así los transcritos sobreexpresados </w:t>
      </w:r>
      <w:r w:rsidR="007B7DF9">
        <w:t>(</w:t>
      </w:r>
      <m:oMath>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FC&gt;0</m:t>
        </m:r>
      </m:oMath>
      <w:r w:rsidR="007B7DF9">
        <w:rPr>
          <w:color w:val="000000" w:themeColor="text1"/>
        </w:rPr>
        <w:t>)</w:t>
      </w:r>
      <w:r w:rsidR="007B7DF9" w:rsidRPr="007B7DF9">
        <w:t xml:space="preserve"> de los subexpresados (</w:t>
      </w:r>
      <m:oMath>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FC&lt;0</m:t>
        </m:r>
      </m:oMath>
      <w:r w:rsidR="007B7DF9" w:rsidRPr="007B7DF9">
        <w:t>)</w:t>
      </w:r>
      <w:r w:rsidRPr="0020681F">
        <w:t>. A continuación, se aplicó un filtro de intersección estricto para definir las firmas consenso de este proyecto. Este procedimiento permitió aislar un núcleo común de 155 genes activados (</w:t>
      </w:r>
      <w:r w:rsidRPr="007B7DF9">
        <w:rPr>
          <w:i/>
          <w:iCs/>
        </w:rPr>
        <w:t>UP</w:t>
      </w:r>
      <w:r w:rsidRPr="0020681F">
        <w:t>) y 170 genes reprimidos (</w:t>
      </w:r>
      <w:r w:rsidRPr="007B7DF9">
        <w:rPr>
          <w:i/>
          <w:iCs/>
        </w:rPr>
        <w:t>DOWN</w:t>
      </w:r>
      <w:r w:rsidRPr="0020681F">
        <w:t>) en la totalidad de las series estudiadas.</w:t>
      </w:r>
    </w:p>
    <w:p w14:paraId="54751BDF" w14:textId="6CE78747" w:rsidR="007B7DF9" w:rsidRPr="007B7DF9" w:rsidRDefault="007B7DF9" w:rsidP="007B7DF9">
      <w:r w:rsidRPr="007B7DF9">
        <w:t xml:space="preserve">Para evaluar el solapamiento y la concordancia de los genes entre las distintas cohortes, se utilizaron dos </w:t>
      </w:r>
      <w:r w:rsidR="00112F8B">
        <w:t>representaciones</w:t>
      </w:r>
      <w:r w:rsidRPr="007B7DF9">
        <w:t xml:space="preserve"> gráficas complementarias. Por un lado, se generaron diagramas </w:t>
      </w:r>
      <w:r w:rsidRPr="007B7DF9">
        <w:rPr>
          <w:i/>
          <w:iCs/>
        </w:rPr>
        <w:t>UpSet</w:t>
      </w:r>
      <w:r w:rsidRPr="007B7DF9">
        <w:t xml:space="preserve"> mediante la librería </w:t>
      </w:r>
      <w:r w:rsidRPr="007B7DF9">
        <w:rPr>
          <w:i/>
          <w:iCs/>
        </w:rPr>
        <w:t>UpSetR</w:t>
      </w:r>
      <w:r w:rsidRPr="007B7DF9">
        <w:t xml:space="preserve">, lo que permitió analizar con claridad las interacciones simultáneas entre todas las series. Por otro lado, se emplearon diagramas de Venn personalizados con el paquete </w:t>
      </w:r>
      <w:r w:rsidRPr="007B7DF9">
        <w:rPr>
          <w:i/>
          <w:iCs/>
        </w:rPr>
        <w:t>ggVennDiagram</w:t>
      </w:r>
      <w:r w:rsidRPr="007B7DF9">
        <w:t xml:space="preserve"> para facilitar una interpretación más visual e intuitiva de las coincidencias detectadas.</w:t>
      </w:r>
    </w:p>
    <w:p w14:paraId="1A916B2A" w14:textId="38F12C0D" w:rsidR="00112F8B" w:rsidRPr="00112F8B" w:rsidRDefault="00112F8B" w:rsidP="00112F8B">
      <w:r w:rsidRPr="00112F8B">
        <w:t xml:space="preserve">Para la ejecución de los análisis funcionales, se seleccionó el conjunto de genes del </w:t>
      </w:r>
      <w:r w:rsidRPr="00112F8B">
        <w:rPr>
          <w:i/>
          <w:iCs/>
        </w:rPr>
        <w:t>dataset</w:t>
      </w:r>
      <w:r w:rsidRPr="00112F8B">
        <w:t xml:space="preserve"> GSE104836 como el universo de referencia (</w:t>
      </w:r>
      <w:r w:rsidRPr="00112F8B">
        <w:rPr>
          <w:i/>
          <w:iCs/>
        </w:rPr>
        <w:t>background</w:t>
      </w:r>
      <w:r w:rsidRPr="00112F8B">
        <w:t xml:space="preserve">). Esta cohorte en concreto mantenía un total de 23309 genes aptos tras el filtro de baja expresión, lo que garantizó un fondo estadístico amplio y altamente representativo de la transcriptómica colorrectal. Asimismo, una ventaja metodológica clave de esta serie es que proporcionaba los identificadores </w:t>
      </w:r>
      <w:r w:rsidRPr="00112F8B">
        <w:rPr>
          <w:i/>
          <w:iCs/>
        </w:rPr>
        <w:t>Entrez ID</w:t>
      </w:r>
      <w:r w:rsidRPr="00112F8B">
        <w:t xml:space="preserve"> de forma nativa. Al evitar traducciones de nomenclatura externas entre bases de datos, se eliminó cualquier riesgo de pérdida de información por valores ausentes o sesgos de correspondencia, asegurando la máxima fiabilidad en los </w:t>
      </w:r>
      <w:r>
        <w:t>análisis funcionales</w:t>
      </w:r>
      <w:r w:rsidRPr="00112F8B">
        <w:t xml:space="preserve"> posteriores.</w:t>
      </w:r>
    </w:p>
    <w:p w14:paraId="0EA61D3E" w14:textId="1E8E52E3" w:rsidR="0020681F" w:rsidRPr="0020681F" w:rsidRDefault="0020681F" w:rsidP="0020681F">
      <w:r w:rsidRPr="0020681F">
        <w:t xml:space="preserve">El análisis de </w:t>
      </w:r>
      <w:r w:rsidR="00112F8B">
        <w:t>enriquecimiento</w:t>
      </w:r>
      <w:r w:rsidRPr="0020681F">
        <w:t xml:space="preserve"> funcional de las firmas consenso se estructuró en dos niveles utilizando la librería especializada </w:t>
      </w:r>
      <w:r w:rsidRPr="00112F8B">
        <w:rPr>
          <w:i/>
          <w:iCs/>
        </w:rPr>
        <w:t>clusterProfiler</w:t>
      </w:r>
      <w:r w:rsidRPr="0020681F">
        <w:t xml:space="preserve">. </w:t>
      </w:r>
      <w:r w:rsidR="001D0B3F" w:rsidRPr="001D0B3F">
        <w:t xml:space="preserve">El primer nivel consistió en un análisis de </w:t>
      </w:r>
      <w:r w:rsidR="001D0B3F" w:rsidRPr="001D0B3F">
        <w:lastRenderedPageBreak/>
        <w:t xml:space="preserve">enriquecimiento de Ontología Génica (GO, </w:t>
      </w:r>
      <w:r w:rsidR="001D0B3F" w:rsidRPr="001D0B3F">
        <w:rPr>
          <w:i/>
          <w:iCs/>
        </w:rPr>
        <w:t>Gene Ontology</w:t>
      </w:r>
      <w:r w:rsidR="001D0B3F" w:rsidRPr="001D0B3F">
        <w:t xml:space="preserve">), abarcando simultáneamente las categorías de Procesos Biológicos (BP), Componentes Celulares (CC) y Funciones Moleculares (MF) mediante la función </w:t>
      </w:r>
      <w:r w:rsidR="001D0B3F" w:rsidRPr="001D0B3F">
        <w:rPr>
          <w:i/>
          <w:iCs/>
        </w:rPr>
        <w:t>enrichGO()</w:t>
      </w:r>
      <w:r w:rsidR="001D0B3F" w:rsidRPr="001D0B3F">
        <w:t>. El segundo nivel evaluó el enriquecimiento de rutas metabólicas y de señalización de la base de datos KEGG (</w:t>
      </w:r>
      <w:r w:rsidR="001D0B3F" w:rsidRPr="001D0B3F">
        <w:rPr>
          <w:i/>
          <w:iCs/>
        </w:rPr>
        <w:t>Kyoto Encyclopedia of Genes and Genomes</w:t>
      </w:r>
      <w:r w:rsidR="001D0B3F" w:rsidRPr="001D0B3F">
        <w:t xml:space="preserve">) a través de la función </w:t>
      </w:r>
      <w:r w:rsidR="001D0B3F" w:rsidRPr="001D0B3F">
        <w:rPr>
          <w:i/>
          <w:iCs/>
        </w:rPr>
        <w:t>enrichKEGG()</w:t>
      </w:r>
      <w:r w:rsidR="001D0B3F" w:rsidRPr="001D0B3F">
        <w:t xml:space="preserve">. En ambas aproximaciones, </w:t>
      </w:r>
      <w:r w:rsidR="001D0B3F">
        <w:t xml:space="preserve">se configuraron las bases de datos para </w:t>
      </w:r>
      <w:r w:rsidR="001D0B3F" w:rsidRPr="00D66F51">
        <w:rPr>
          <w:i/>
          <w:iCs/>
        </w:rPr>
        <w:t xml:space="preserve">Homo </w:t>
      </w:r>
      <w:r w:rsidR="00D66F51">
        <w:rPr>
          <w:i/>
          <w:iCs/>
        </w:rPr>
        <w:t>s</w:t>
      </w:r>
      <w:r w:rsidR="001D0B3F" w:rsidRPr="00D66F51">
        <w:rPr>
          <w:i/>
          <w:iCs/>
        </w:rPr>
        <w:t>apiens</w:t>
      </w:r>
      <w:r w:rsidR="00D66F51">
        <w:t xml:space="preserve"> y se activó </w:t>
      </w:r>
      <w:r w:rsidR="00D66F51" w:rsidRPr="001D0B3F">
        <w:t>la traducción automática a símbolos de genes oficiales para optimizar la posterior interpretación de los perfiles resultantes</w:t>
      </w:r>
      <w:r w:rsidR="001D0B3F">
        <w:t xml:space="preserve">. </w:t>
      </w:r>
      <w:r w:rsidR="00D66F51" w:rsidRPr="001D0B3F">
        <w:t>Asimismo</w:t>
      </w:r>
      <w:r w:rsidR="001D0B3F">
        <w:t xml:space="preserve">, </w:t>
      </w:r>
      <w:r w:rsidR="001D0B3F" w:rsidRPr="001D0B3F">
        <w:t>la significación estadística se controló mediante el método de Benjamini-Hochberg, estableciendo umbrales estrictos de corte tanto para el p</w:t>
      </w:r>
      <w:r w:rsidR="00D66F51">
        <w:t>-valor</w:t>
      </w:r>
      <w:r w:rsidR="001D0B3F" w:rsidRPr="001D0B3F">
        <w:t xml:space="preserve"> corregido como para el </w:t>
      </w:r>
      <w:r w:rsidR="00D66F51">
        <w:t>q-valor</w:t>
      </w:r>
      <w:r w:rsidR="001D0B3F" w:rsidRPr="001D0B3F">
        <w:t xml:space="preserve"> (</w:t>
      </w:r>
      <m:oMath>
        <m:r>
          <w:rPr>
            <w:rFonts w:ascii="Cambria Math" w:hAnsi="Cambria Math"/>
          </w:rPr>
          <m:t>padj&lt;0.05</m:t>
        </m:r>
      </m:oMath>
      <w:r w:rsidR="00D66F51">
        <w:t xml:space="preserve"> </w:t>
      </w:r>
      <w:r w:rsidR="001D0B3F" w:rsidRPr="001D0B3F">
        <w:t xml:space="preserve">y </w:t>
      </w:r>
      <m:oMath>
        <m:r>
          <w:rPr>
            <w:rFonts w:ascii="Cambria Math" w:hAnsi="Cambria Math"/>
          </w:rPr>
          <m:t>q&lt;0.05</m:t>
        </m:r>
      </m:oMath>
      <w:r w:rsidR="001D0B3F" w:rsidRPr="001D0B3F">
        <w:t xml:space="preserve">). </w:t>
      </w:r>
      <w:r w:rsidR="00D66F51" w:rsidRPr="00D66F51">
        <w:t>Este doble filtro es una práctica muy recomendable en estudios ómicos, ya que restringe tanto el error individual de los términos como la proporción global de falsos positivos, garantizando la solidez biológica de los resultados.</w:t>
      </w:r>
    </w:p>
    <w:p w14:paraId="15BC91DE" w14:textId="0DA8E50E" w:rsidR="0020681F" w:rsidRPr="0020681F" w:rsidRDefault="00C640BF" w:rsidP="0020681F">
      <w:r>
        <w:t>A continuación</w:t>
      </w:r>
      <w:r w:rsidR="0020681F" w:rsidRPr="0020681F">
        <w:t xml:space="preserve">, para desentrañar la complejidad de los términos enriquecidos, se recurrió a herramientas de visualización de redes funcionales mediante el paquete </w:t>
      </w:r>
      <w:r w:rsidR="0020681F" w:rsidRPr="00D66F51">
        <w:rPr>
          <w:i/>
          <w:iCs/>
        </w:rPr>
        <w:t>enrichplot</w:t>
      </w:r>
      <w:r w:rsidR="0020681F" w:rsidRPr="0020681F">
        <w:t>. Se generaron gráficos de red gen-concepto (</w:t>
      </w:r>
      <w:r w:rsidR="0020681F" w:rsidRPr="00D66F51">
        <w:rPr>
          <w:i/>
          <w:iCs/>
        </w:rPr>
        <w:t>cnetplot</w:t>
      </w:r>
      <w:r w:rsidR="0020681F" w:rsidRPr="0020681F">
        <w:t xml:space="preserve">), que conectan las cinco funciones biológicas más significativas directamente con los genes integrantes de la firma. </w:t>
      </w:r>
      <w:r w:rsidRPr="00C640BF">
        <w:t>También se construyeron mapas de enriquecimiento (</w:t>
      </w:r>
      <w:r w:rsidRPr="00C640BF">
        <w:rPr>
          <w:i/>
          <w:iCs/>
        </w:rPr>
        <w:t>emapplot</w:t>
      </w:r>
      <w:r w:rsidRPr="00C640BF">
        <w:t xml:space="preserve">) tras calcular la similitud entre términos con la función </w:t>
      </w:r>
      <w:r w:rsidRPr="00C640BF">
        <w:rPr>
          <w:i/>
          <w:iCs/>
        </w:rPr>
        <w:t>pairwise_termsim()</w:t>
      </w:r>
      <w:r w:rsidRPr="00C640BF">
        <w:t xml:space="preserve">, lo que permitió agrupar de forma clara las rutas biológicas redundantes. </w:t>
      </w:r>
      <w:r w:rsidR="000F1403" w:rsidRPr="000F1403">
        <w:t xml:space="preserve">Finalmente, tanto las listas de genes consenso como las tablas de resultados se exportaron en formato </w:t>
      </w:r>
      <w:r w:rsidR="000F1403" w:rsidRPr="000F1403">
        <w:rPr>
          <w:i/>
          <w:iCs/>
        </w:rPr>
        <w:t>.csv</w:t>
      </w:r>
      <w:r w:rsidR="000F1403" w:rsidRPr="000F1403">
        <w:t>, quedando consolidadas para la fase de interpretación y discusión biológica</w:t>
      </w:r>
      <w:r w:rsidRPr="00C640BF">
        <w:t>.</w:t>
      </w:r>
    </w:p>
    <w:p w14:paraId="768CDBE3" w14:textId="1F83D5C9" w:rsidR="0020681F" w:rsidRDefault="0020681F">
      <w:pPr>
        <w:spacing w:before="0" w:after="0" w:line="240" w:lineRule="auto"/>
        <w:jc w:val="left"/>
        <w:rPr>
          <w:color w:val="833C0B" w:themeColor="accent2" w:themeShade="80"/>
        </w:rPr>
      </w:pPr>
      <w:r>
        <w:rPr>
          <w:color w:val="833C0B" w:themeColor="accent2" w:themeShade="80"/>
        </w:rPr>
        <w:br w:type="page"/>
      </w:r>
    </w:p>
    <w:p w14:paraId="60E6A36B" w14:textId="77777777" w:rsidR="00F3241D" w:rsidRPr="000D09A0" w:rsidRDefault="00F3241D" w:rsidP="00F3241D">
      <w:pPr>
        <w:pStyle w:val="Ttulo1"/>
      </w:pPr>
      <w:bookmarkStart w:id="31" w:name="_Toc230635983"/>
      <w:r w:rsidRPr="005B771F">
        <w:rPr>
          <w:caps w:val="0"/>
        </w:rPr>
        <w:lastRenderedPageBreak/>
        <w:t>Resultados</w:t>
      </w:r>
      <w:bookmarkEnd w:id="31"/>
    </w:p>
    <w:p w14:paraId="0B181871" w14:textId="77777777" w:rsidR="00F3241D" w:rsidRPr="000D09A0" w:rsidRDefault="00F3241D" w:rsidP="00F3241D">
      <w:pPr>
        <w:pStyle w:val="Ttulo2"/>
      </w:pPr>
      <w:bookmarkStart w:id="32" w:name="_Toc230635984"/>
      <w:r w:rsidRPr="005B771F">
        <w:rPr>
          <w:caps w:val="0"/>
        </w:rPr>
        <w:t>Identificación de Genes Diferencialmente Expresados</w:t>
      </w:r>
      <w:bookmarkEnd w:id="32"/>
    </w:p>
    <w:p w14:paraId="366E4EFD" w14:textId="77777777" w:rsidR="00F3241D" w:rsidRPr="000D09A0" w:rsidRDefault="00F3241D" w:rsidP="00F3241D">
      <w:pPr>
        <w:pStyle w:val="Ttulo3"/>
      </w:pPr>
      <w:bookmarkStart w:id="33" w:name="_Toc230635985"/>
      <w:r w:rsidRPr="000D09A0">
        <w:t>“Título 3” del menú de estilos</w:t>
      </w:r>
      <w:bookmarkEnd w:id="33"/>
    </w:p>
    <w:p w14:paraId="40D912A2" w14:textId="77777777" w:rsidR="00F3241D" w:rsidRPr="000D09A0" w:rsidRDefault="00F3241D" w:rsidP="00F3241D">
      <w:pPr>
        <w:pStyle w:val="Ttulo4"/>
      </w:pPr>
      <w:r w:rsidRPr="000D09A0">
        <w:t>"Título 4" del menú de estilos</w:t>
      </w:r>
    </w:p>
    <w:p w14:paraId="62AC98B5" w14:textId="77777777" w:rsidR="00F3241D" w:rsidRPr="000D09A0" w:rsidRDefault="00F3241D" w:rsidP="00F3241D"/>
    <w:p w14:paraId="126B3904" w14:textId="77777777" w:rsidR="00F3241D" w:rsidRPr="007E0007" w:rsidRDefault="00F3241D" w:rsidP="00F3241D">
      <w:pPr>
        <w:pStyle w:val="Ttulo2"/>
      </w:pPr>
      <w:bookmarkStart w:id="34" w:name="_Toc230635986"/>
      <w:r w:rsidRPr="005B771F">
        <w:rPr>
          <w:caps w:val="0"/>
        </w:rPr>
        <w:t>Validación en Datasets Independientes</w:t>
      </w:r>
      <w:bookmarkEnd w:id="34"/>
    </w:p>
    <w:p w14:paraId="3676F917" w14:textId="77777777" w:rsidR="00F3241D" w:rsidRPr="000D09A0" w:rsidRDefault="00F3241D" w:rsidP="00F3241D">
      <w:pPr>
        <w:pStyle w:val="Ttulo3"/>
      </w:pPr>
      <w:bookmarkStart w:id="35" w:name="_Toc230635987"/>
      <w:r w:rsidRPr="000D09A0">
        <w:t>“Título 3” del menú de estilos</w:t>
      </w:r>
      <w:bookmarkEnd w:id="35"/>
    </w:p>
    <w:p w14:paraId="0D3EA866" w14:textId="77777777" w:rsidR="00F3241D" w:rsidRDefault="00F3241D" w:rsidP="00F3241D"/>
    <w:p w14:paraId="37CEF7A5" w14:textId="77777777" w:rsidR="00F3241D" w:rsidRPr="00DA0FCE" w:rsidRDefault="00F3241D" w:rsidP="00F3241D">
      <w:pPr>
        <w:pStyle w:val="Ttulo2"/>
      </w:pPr>
      <w:bookmarkStart w:id="36" w:name="_Toc230635988"/>
      <w:r w:rsidRPr="005B771F">
        <w:rPr>
          <w:caps w:val="0"/>
        </w:rPr>
        <w:t>Análisis de Enriquecimiento Funcional</w:t>
      </w:r>
      <w:bookmarkEnd w:id="36"/>
    </w:p>
    <w:p w14:paraId="19FF3D53" w14:textId="77777777" w:rsidR="00F3241D" w:rsidRPr="007E0007" w:rsidRDefault="00F3241D" w:rsidP="00F3241D">
      <w:pPr>
        <w:pStyle w:val="Ttulo3"/>
      </w:pPr>
      <w:bookmarkStart w:id="37" w:name="_Toc230635989"/>
      <w:r w:rsidRPr="007E0007">
        <w:t>“Título 3” del menú de estilos</w:t>
      </w:r>
      <w:bookmarkEnd w:id="37"/>
    </w:p>
    <w:p w14:paraId="6FE05E75" w14:textId="77777777" w:rsidR="00F3241D" w:rsidRDefault="00F3241D" w:rsidP="00F3241D">
      <w:pPr>
        <w:pStyle w:val="Ttulo4"/>
      </w:pPr>
      <w:r w:rsidRPr="007E0007">
        <w:t xml:space="preserve">“Título </w:t>
      </w:r>
      <w:r>
        <w:t>4</w:t>
      </w:r>
      <w:r w:rsidRPr="007E0007">
        <w:t>” del menú de estilos</w:t>
      </w:r>
    </w:p>
    <w:p w14:paraId="0D94AF62" w14:textId="77777777" w:rsidR="00F3241D" w:rsidRPr="00101A07" w:rsidRDefault="00F3241D" w:rsidP="00F3241D"/>
    <w:p w14:paraId="1C190644" w14:textId="77777777" w:rsidR="00F3241D" w:rsidRPr="00DA0FCE" w:rsidRDefault="00F3241D" w:rsidP="00F3241D">
      <w:pPr>
        <w:pStyle w:val="Ttulo2"/>
      </w:pPr>
      <w:bookmarkStart w:id="38" w:name="_Toc230635990"/>
      <w:r w:rsidRPr="005B771F">
        <w:rPr>
          <w:caps w:val="0"/>
        </w:rPr>
        <w:t>Análisis de Metadatos y Variables Clínicas</w:t>
      </w:r>
      <w:bookmarkEnd w:id="38"/>
    </w:p>
    <w:p w14:paraId="07121302" w14:textId="77777777" w:rsidR="00F3241D" w:rsidRPr="007E0007" w:rsidRDefault="00F3241D" w:rsidP="00F3241D">
      <w:pPr>
        <w:pStyle w:val="Ttulo3"/>
      </w:pPr>
      <w:bookmarkStart w:id="39" w:name="_Toc230635991"/>
      <w:r w:rsidRPr="007E0007">
        <w:t>“Título 3” del menú de estilos</w:t>
      </w:r>
      <w:bookmarkEnd w:id="39"/>
    </w:p>
    <w:p w14:paraId="5B6FDEF5" w14:textId="77777777" w:rsidR="00F3241D" w:rsidRDefault="00F3241D" w:rsidP="00F3241D">
      <w:pPr>
        <w:pStyle w:val="Ttulo4"/>
      </w:pPr>
      <w:r w:rsidRPr="007E0007">
        <w:t xml:space="preserve">“Título </w:t>
      </w:r>
      <w:r>
        <w:t>4</w:t>
      </w:r>
      <w:r w:rsidRPr="007E0007">
        <w:t>” del menú de estilos</w:t>
      </w:r>
    </w:p>
    <w:p w14:paraId="6DC955C9" w14:textId="77777777" w:rsidR="00F3241D" w:rsidRPr="00101A07" w:rsidRDefault="00F3241D" w:rsidP="00F3241D"/>
    <w:p w14:paraId="5FECF8BA" w14:textId="77777777" w:rsidR="00F3241D" w:rsidRDefault="00F3241D" w:rsidP="00F3241D">
      <w:pPr>
        <w:spacing w:before="0" w:after="0" w:line="240" w:lineRule="auto"/>
        <w:jc w:val="left"/>
        <w:rPr>
          <w:rFonts w:asciiTheme="majorHAnsi" w:hAnsiTheme="majorHAnsi"/>
          <w:bCs/>
          <w:color w:val="0098CD"/>
          <w:kern w:val="32"/>
          <w:sz w:val="36"/>
          <w:szCs w:val="32"/>
        </w:rPr>
      </w:pPr>
      <w:r>
        <w:rPr>
          <w:caps/>
        </w:rPr>
        <w:br w:type="page"/>
      </w:r>
    </w:p>
    <w:p w14:paraId="210EE963" w14:textId="77777777" w:rsidR="00F3241D" w:rsidRPr="000D09A0" w:rsidRDefault="00F3241D" w:rsidP="00F3241D">
      <w:pPr>
        <w:pStyle w:val="Ttulo1"/>
      </w:pPr>
      <w:bookmarkStart w:id="40" w:name="_Toc230635992"/>
      <w:r w:rsidRPr="00101A07">
        <w:rPr>
          <w:caps w:val="0"/>
        </w:rPr>
        <w:lastRenderedPageBreak/>
        <w:t>Discusión</w:t>
      </w:r>
      <w:bookmarkEnd w:id="40"/>
    </w:p>
    <w:p w14:paraId="541C516E" w14:textId="77777777" w:rsidR="00F3241D" w:rsidRPr="000D09A0" w:rsidRDefault="00F3241D" w:rsidP="00F3241D">
      <w:pPr>
        <w:pStyle w:val="Ttulo2"/>
      </w:pPr>
      <w:bookmarkStart w:id="41" w:name="_Toc230635993"/>
      <w:r w:rsidRPr="00101A07">
        <w:rPr>
          <w:caps w:val="0"/>
        </w:rPr>
        <w:t>Interpretación de los biomarcadores identificados</w:t>
      </w:r>
      <w:bookmarkEnd w:id="41"/>
    </w:p>
    <w:p w14:paraId="5D6CDA53" w14:textId="77777777" w:rsidR="00F3241D" w:rsidRPr="000D09A0" w:rsidRDefault="00F3241D" w:rsidP="00F3241D">
      <w:pPr>
        <w:pStyle w:val="Ttulo3"/>
      </w:pPr>
      <w:bookmarkStart w:id="42" w:name="_Toc230635994"/>
      <w:r w:rsidRPr="000D09A0">
        <w:t>“Título 3” del menú de estilos</w:t>
      </w:r>
      <w:bookmarkEnd w:id="42"/>
    </w:p>
    <w:p w14:paraId="34009B8A" w14:textId="77777777" w:rsidR="00F3241D" w:rsidRPr="000D09A0" w:rsidRDefault="00F3241D" w:rsidP="00F3241D">
      <w:pPr>
        <w:pStyle w:val="Ttulo4"/>
      </w:pPr>
      <w:r w:rsidRPr="000D09A0">
        <w:t>"Título 4" del menú de estilos</w:t>
      </w:r>
    </w:p>
    <w:p w14:paraId="165BBA81" w14:textId="77777777" w:rsidR="00F3241D" w:rsidRPr="000D09A0" w:rsidRDefault="00F3241D" w:rsidP="00F3241D"/>
    <w:p w14:paraId="580E9146" w14:textId="77777777" w:rsidR="00F3241D" w:rsidRPr="007E0007" w:rsidRDefault="00F3241D" w:rsidP="00F3241D">
      <w:pPr>
        <w:pStyle w:val="Ttulo2"/>
      </w:pPr>
      <w:bookmarkStart w:id="43" w:name="_Toc230635995"/>
      <w:r w:rsidRPr="00101A07">
        <w:rPr>
          <w:caps w:val="0"/>
        </w:rPr>
        <w:t>Análisis del enriquecimiento funcional en el contexto clínico</w:t>
      </w:r>
      <w:bookmarkEnd w:id="43"/>
    </w:p>
    <w:p w14:paraId="41E7FCED" w14:textId="77777777" w:rsidR="00F3241D" w:rsidRPr="000D09A0" w:rsidRDefault="00F3241D" w:rsidP="00F3241D">
      <w:pPr>
        <w:pStyle w:val="Ttulo3"/>
      </w:pPr>
      <w:bookmarkStart w:id="44" w:name="_Toc230635996"/>
      <w:r w:rsidRPr="000D09A0">
        <w:t>“Título 3” del menú de estilos</w:t>
      </w:r>
      <w:bookmarkEnd w:id="44"/>
    </w:p>
    <w:p w14:paraId="7BDEE969" w14:textId="77777777" w:rsidR="00F3241D" w:rsidRDefault="00F3241D" w:rsidP="00F3241D"/>
    <w:p w14:paraId="31AD4EC4" w14:textId="77777777" w:rsidR="00F3241D" w:rsidRPr="00DA0FCE" w:rsidRDefault="00F3241D" w:rsidP="00F3241D">
      <w:pPr>
        <w:pStyle w:val="Ttulo2"/>
      </w:pPr>
      <w:bookmarkStart w:id="45" w:name="_Toc230635997"/>
      <w:r w:rsidRPr="00101A07">
        <w:rPr>
          <w:caps w:val="0"/>
        </w:rPr>
        <w:t>Comparación con estudios previos y meta-análisis existentes</w:t>
      </w:r>
      <w:bookmarkEnd w:id="45"/>
    </w:p>
    <w:p w14:paraId="60B38526" w14:textId="77777777" w:rsidR="00F3241D" w:rsidRPr="007E0007" w:rsidRDefault="00F3241D" w:rsidP="00F3241D">
      <w:pPr>
        <w:pStyle w:val="Ttulo3"/>
      </w:pPr>
      <w:bookmarkStart w:id="46" w:name="_Toc230635998"/>
      <w:r w:rsidRPr="007E0007">
        <w:t>“Título 3” del menú de estilos</w:t>
      </w:r>
      <w:bookmarkEnd w:id="46"/>
    </w:p>
    <w:p w14:paraId="6207FBBD" w14:textId="77777777" w:rsidR="00F3241D" w:rsidRDefault="00F3241D" w:rsidP="00F3241D">
      <w:pPr>
        <w:pStyle w:val="Ttulo4"/>
      </w:pPr>
      <w:r w:rsidRPr="007E0007">
        <w:t xml:space="preserve">“Título </w:t>
      </w:r>
      <w:r>
        <w:t>4</w:t>
      </w:r>
      <w:r w:rsidRPr="007E0007">
        <w:t>” del menú de estilos</w:t>
      </w:r>
    </w:p>
    <w:p w14:paraId="675161F1" w14:textId="77777777" w:rsidR="00F3241D" w:rsidRDefault="00F3241D" w:rsidP="00F3241D">
      <w:pPr>
        <w:spacing w:before="0" w:after="0" w:line="240" w:lineRule="auto"/>
        <w:jc w:val="left"/>
      </w:pPr>
      <w:r>
        <w:br w:type="page"/>
      </w:r>
    </w:p>
    <w:p w14:paraId="3827440D" w14:textId="77777777" w:rsidR="00F3241D" w:rsidRPr="000D09A0" w:rsidRDefault="00F3241D" w:rsidP="00F3241D">
      <w:pPr>
        <w:pStyle w:val="Ttulo1"/>
      </w:pPr>
      <w:bookmarkStart w:id="47" w:name="_Toc230635999"/>
      <w:r w:rsidRPr="00101A07">
        <w:rPr>
          <w:caps w:val="0"/>
        </w:rPr>
        <w:lastRenderedPageBreak/>
        <w:t>Conclusiones</w:t>
      </w:r>
      <w:bookmarkEnd w:id="47"/>
    </w:p>
    <w:p w14:paraId="556A76F8" w14:textId="77777777" w:rsidR="00F3241D" w:rsidRPr="000D09A0" w:rsidRDefault="00F3241D" w:rsidP="00F3241D">
      <w:pPr>
        <w:pStyle w:val="Ttulo2"/>
      </w:pPr>
      <w:bookmarkStart w:id="48" w:name="_Toc230636000"/>
      <w:r w:rsidRPr="00101A07">
        <w:rPr>
          <w:caps w:val="0"/>
        </w:rPr>
        <w:t>Conclusiones respecto a los objetivos planteados</w:t>
      </w:r>
      <w:bookmarkEnd w:id="48"/>
    </w:p>
    <w:p w14:paraId="7062F689" w14:textId="77777777" w:rsidR="00F3241D" w:rsidRPr="000D09A0" w:rsidRDefault="00F3241D" w:rsidP="00F3241D">
      <w:pPr>
        <w:pStyle w:val="Ttulo3"/>
      </w:pPr>
      <w:bookmarkStart w:id="49" w:name="_Toc230636001"/>
      <w:r w:rsidRPr="000D09A0">
        <w:t>“Título 3” del menú de estilos</w:t>
      </w:r>
      <w:bookmarkEnd w:id="49"/>
    </w:p>
    <w:p w14:paraId="1F98DBEF" w14:textId="77777777" w:rsidR="00F3241D" w:rsidRPr="000D09A0" w:rsidRDefault="00F3241D" w:rsidP="00F3241D">
      <w:pPr>
        <w:pStyle w:val="Ttulo4"/>
      </w:pPr>
      <w:r w:rsidRPr="000D09A0">
        <w:t>"Título 4" del menú de estilos</w:t>
      </w:r>
    </w:p>
    <w:p w14:paraId="463A2489" w14:textId="77777777" w:rsidR="00F3241D" w:rsidRPr="000D09A0" w:rsidRDefault="00F3241D" w:rsidP="00F3241D"/>
    <w:p w14:paraId="3F9864E6" w14:textId="77777777" w:rsidR="00F3241D" w:rsidRPr="007E0007" w:rsidRDefault="00F3241D" w:rsidP="00F3241D">
      <w:pPr>
        <w:pStyle w:val="Ttulo2"/>
      </w:pPr>
      <w:bookmarkStart w:id="50" w:name="_Toc230636002"/>
      <w:r w:rsidRPr="00101A07">
        <w:rPr>
          <w:caps w:val="0"/>
        </w:rPr>
        <w:t>Líneas de investigación futuras</w:t>
      </w:r>
      <w:bookmarkEnd w:id="50"/>
    </w:p>
    <w:p w14:paraId="5463B02F" w14:textId="77777777" w:rsidR="00F3241D" w:rsidRPr="000D09A0" w:rsidRDefault="00F3241D" w:rsidP="00F3241D">
      <w:pPr>
        <w:pStyle w:val="Ttulo3"/>
      </w:pPr>
      <w:bookmarkStart w:id="51" w:name="_Toc230636003"/>
      <w:r w:rsidRPr="000D09A0">
        <w:t>“Título 3” del menú de estilos</w:t>
      </w:r>
      <w:bookmarkEnd w:id="51"/>
    </w:p>
    <w:p w14:paraId="0F6AD2BE" w14:textId="77777777" w:rsidR="00F3241D" w:rsidRDefault="00F3241D" w:rsidP="00F3241D"/>
    <w:p w14:paraId="10238A6F" w14:textId="77777777" w:rsidR="00F3241D" w:rsidRDefault="00F3241D" w:rsidP="00F3241D">
      <w:pPr>
        <w:spacing w:before="0" w:after="0" w:line="240" w:lineRule="auto"/>
        <w:jc w:val="left"/>
      </w:pPr>
      <w:r>
        <w:br w:type="page"/>
      </w:r>
    </w:p>
    <w:p w14:paraId="3E827BC6" w14:textId="77777777" w:rsidR="00F3241D" w:rsidRPr="009F6F17" w:rsidRDefault="00F3241D" w:rsidP="00F3241D">
      <w:pPr>
        <w:pStyle w:val="Ttulo1sinnumerar"/>
      </w:pPr>
      <w:bookmarkStart w:id="52" w:name="_Toc230636004"/>
      <w:r>
        <w:lastRenderedPageBreak/>
        <w:t>Referencias bibliográficas</w:t>
      </w:r>
      <w:bookmarkEnd w:id="52"/>
    </w:p>
    <w:p w14:paraId="2A38978D" w14:textId="77777777" w:rsidR="005B62FD" w:rsidRPr="005B62FD" w:rsidRDefault="00FA2090" w:rsidP="005B62FD">
      <w:pPr>
        <w:pStyle w:val="Bibliografa"/>
      </w:pPr>
      <w:r>
        <w:fldChar w:fldCharType="begin"/>
      </w:r>
      <w:r>
        <w:instrText xml:space="preserve"> ADDIN ZOTERO_BIBL {"uncited":[],"omitted":[],"custom":[]} CSL_BIBLIOGRAPHY </w:instrText>
      </w:r>
      <w:r>
        <w:fldChar w:fldCharType="separate"/>
      </w:r>
      <w:r w:rsidR="005B62FD" w:rsidRPr="005B62FD">
        <w:t>1.</w:t>
      </w:r>
      <w:r w:rsidR="005B62FD" w:rsidRPr="005B62FD">
        <w:tab/>
        <w:t>Bray F, Laversanne M, Sung H, Ferlay J, Siegel RL, Soerjomataram I, et al. Global cancer statistics 2022: GLOBOCAN estimates of incidence and mortality worldwide for 36 cancers in 185 countries. CA Cancer J Clin. 2024;74(3):229-63. doi:10.3322/caac.21834 PubMed PMID: 38572751.</w:t>
      </w:r>
    </w:p>
    <w:p w14:paraId="581AD0BE" w14:textId="77777777" w:rsidR="005B62FD" w:rsidRPr="005B62FD" w:rsidRDefault="005B62FD" w:rsidP="005B62FD">
      <w:pPr>
        <w:pStyle w:val="Bibliografa"/>
      </w:pPr>
      <w:r w:rsidRPr="005B62FD">
        <w:t>2.</w:t>
      </w:r>
      <w:r w:rsidRPr="005B62FD">
        <w:tab/>
        <w:t>Sociedad Española de Oncología Médica (SEOM). Las Cifras del Cáncer en España 2026 [Internet]. SEOM; 2026. Disponible en: https://seom.org/images/Las_Cifras_del_Cancer_en_Espanya_2026.pdf</w:t>
      </w:r>
    </w:p>
    <w:p w14:paraId="17C6DEAB" w14:textId="77777777" w:rsidR="005B62FD" w:rsidRPr="005B62FD" w:rsidRDefault="005B62FD" w:rsidP="005B62FD">
      <w:pPr>
        <w:pStyle w:val="Bibliografa"/>
      </w:pPr>
      <w:r w:rsidRPr="005B62FD">
        <w:t>3.</w:t>
      </w:r>
      <w:r w:rsidRPr="005B62FD">
        <w:tab/>
        <w:t>Chen Y, Zhang J, Ding Y, Zhu F, Chen Y. Colorectal cancer pathogenesis, oncogenic signaling networks and targeted therapeutic advances. Mol Biomed. 14 de marzo de 2026;7:32. doi:10.1186/s43556-026-00433-4 PubMed PMID: 41826571; PubMed Central PMCID: PMC12988139.</w:t>
      </w:r>
    </w:p>
    <w:p w14:paraId="43591133" w14:textId="77777777" w:rsidR="005B62FD" w:rsidRPr="005B62FD" w:rsidRDefault="005B62FD" w:rsidP="005B62FD">
      <w:pPr>
        <w:pStyle w:val="Bibliografa"/>
      </w:pPr>
      <w:r w:rsidRPr="005B62FD">
        <w:t>4.</w:t>
      </w:r>
      <w:r w:rsidRPr="005B62FD">
        <w:tab/>
        <w:t>Yang Z, Wang X, Zhou H, Jiang M, Wang J, Sui B. Molecular Complexity of Colorectal Cancer: Pathways, Biomarkers, and Therapeutic Strategies. Cancer Manag Res. 10 de octubre de 2024;16:1389-403. doi:10.2147/CMAR.S481656 PubMed PMID: 39403607; PubMed Central PMCID: PMC11472760.</w:t>
      </w:r>
    </w:p>
    <w:p w14:paraId="4AF5AB84" w14:textId="77777777" w:rsidR="005B62FD" w:rsidRPr="005B62FD" w:rsidRDefault="005B62FD" w:rsidP="005B62FD">
      <w:pPr>
        <w:pStyle w:val="Bibliografa"/>
      </w:pPr>
      <w:r w:rsidRPr="005B62FD">
        <w:t>5.</w:t>
      </w:r>
      <w:r w:rsidRPr="005B62FD">
        <w:tab/>
        <w:t>Zhu A, Ibrahim JG, Love MI. Heavy-tailed prior distributions for sequence count data: removing the noise and preserving large differences [Internet]. [citado 20 de abril de 2026]. Disponible en: https://dx.doi.org/10.1093/bioinformatics/bty895</w:t>
      </w:r>
    </w:p>
    <w:p w14:paraId="3C5EC858" w14:textId="136D024B" w:rsidR="00C47481" w:rsidRPr="00727AE8" w:rsidRDefault="00FA2090" w:rsidP="00FA10CF">
      <w:pPr>
        <w:spacing w:before="0" w:after="0" w:line="240" w:lineRule="auto"/>
        <w:jc w:val="left"/>
      </w:pPr>
      <w:r>
        <w:fldChar w:fldCharType="end"/>
      </w:r>
      <w:r w:rsidR="00F3241D">
        <w:br w:type="page"/>
      </w:r>
    </w:p>
    <w:p w14:paraId="36F5707F" w14:textId="631E1F34" w:rsidR="004A1570" w:rsidRDefault="00A75783" w:rsidP="00194057">
      <w:pPr>
        <w:pStyle w:val="Anexo"/>
      </w:pPr>
      <w:bookmarkStart w:id="53" w:name="_Toc230636005"/>
      <w:r>
        <w:lastRenderedPageBreak/>
        <w:t>Encuestas realizadas</w:t>
      </w:r>
      <w:bookmarkEnd w:id="53"/>
    </w:p>
    <w:p w14:paraId="56F73A28" w14:textId="77777777" w:rsidR="000D09A0" w:rsidRPr="004A1570" w:rsidRDefault="000D09A0" w:rsidP="008C1A7C"/>
    <w:sectPr w:rsidR="000D09A0" w:rsidRPr="004A1570" w:rsidSect="000757FF">
      <w:headerReference w:type="default" r:id="rId20"/>
      <w:footerReference w:type="default" r:id="rId21"/>
      <w:pgSz w:w="11906" w:h="16838"/>
      <w:pgMar w:top="1418" w:right="1134" w:bottom="1418" w:left="1701"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eronica cabeza de vaca tocino" w:date="2026-05-12T13:23:00Z" w:initials="Vc">
    <w:p w14:paraId="116342CE" w14:textId="77777777" w:rsidR="00FD53AE" w:rsidRDefault="00FD53AE" w:rsidP="00FD53AE">
      <w:pPr>
        <w:pStyle w:val="Textocomentario"/>
        <w:jc w:val="left"/>
      </w:pPr>
      <w:r>
        <w:rPr>
          <w:rStyle w:val="Refdecomentario"/>
        </w:rPr>
        <w:annotationRef/>
      </w:r>
      <w:r>
        <w:t xml:space="preserve">Caracterización del perfil transcriptómico del adenocarcinoma colorrectal mediante la integración de múltiples datasets de RNA-seq </w:t>
      </w:r>
    </w:p>
  </w:comment>
  <w:comment w:id="1" w:author="veronica cabeza de vaca tocino" w:date="2026-05-12T13:24:00Z" w:initials="Vc">
    <w:p w14:paraId="24171F81" w14:textId="77777777" w:rsidR="00FD53AE" w:rsidRDefault="00FD53AE" w:rsidP="00FD53AE">
      <w:pPr>
        <w:pStyle w:val="Textocomentario"/>
        <w:jc w:val="left"/>
      </w:pPr>
      <w:r>
        <w:rPr>
          <w:rStyle w:val="Refdecomentario"/>
        </w:rPr>
        <w:annotationRef/>
      </w:r>
      <w:r>
        <w:t xml:space="preserve">Evaluación de la consistencia de biomarcadores en adenocarcinoma colorrectal mediante el meta-análisis de datos transcriptómicos </w:t>
      </w:r>
    </w:p>
  </w:comment>
  <w:comment w:id="2" w:author="veronica cabeza de vaca tocino" w:date="2026-05-12T13:29:00Z" w:initials="Vc">
    <w:p w14:paraId="613F9BFF" w14:textId="77777777" w:rsidR="00FD53AE" w:rsidRDefault="00FD53AE" w:rsidP="00FD53AE">
      <w:pPr>
        <w:pStyle w:val="Textocomentario"/>
        <w:jc w:val="left"/>
      </w:pPr>
      <w:r>
        <w:rPr>
          <w:rStyle w:val="Refdecomentario"/>
        </w:rPr>
        <w:annotationRef/>
      </w:r>
      <w:r>
        <w:t xml:space="preserve">Identificación y validación de biomarcadores (o DEGs) en adenocarcinoma colorrectal mediante la integración de datasets de RNA-seq de dominio público </w:t>
      </w:r>
    </w:p>
  </w:comment>
  <w:comment w:id="15" w:author="veronica cabeza de vaca tocino" w:date="2026-05-25T21:10:00Z" w:initials="Vc">
    <w:p w14:paraId="562598EB" w14:textId="77777777" w:rsidR="00FA10CF" w:rsidRDefault="00FA10CF" w:rsidP="00FA10CF">
      <w:pPr>
        <w:pStyle w:val="Textocomentario"/>
        <w:jc w:val="left"/>
      </w:pPr>
      <w:r>
        <w:rPr>
          <w:rStyle w:val="Refdecomentario"/>
        </w:rPr>
        <w:annotationRef/>
      </w:r>
      <w:r>
        <w:t>Antes comenzar con este apartado tengo pensado crear un diagrama del flujo de trabajo, que pegaré en esta misma página</w:t>
      </w:r>
    </w:p>
  </w:comment>
  <w:comment w:id="17" w:author="veronica cabeza de vaca tocino" w:date="2026-05-12T13:35:00Z" w:initials="Vc">
    <w:p w14:paraId="429507C3" w14:textId="77777777" w:rsidR="001654D6" w:rsidRDefault="001654D6" w:rsidP="001654D6">
      <w:pPr>
        <w:pStyle w:val="Textocomentario"/>
        <w:jc w:val="left"/>
      </w:pPr>
      <w:r>
        <w:rPr>
          <w:rStyle w:val="Refdecomentario"/>
        </w:rPr>
        <w:annotationRef/>
      </w:r>
      <w:r>
        <w:t>Cursiva???</w:t>
      </w:r>
    </w:p>
  </w:comment>
  <w:comment w:id="18" w:author="Victor Jesus Fernandez Ramirez" w:date="2026-05-11T19:40:00Z" w:initials="VF">
    <w:p w14:paraId="09A1CA05" w14:textId="77777777" w:rsidR="00D8579A" w:rsidRDefault="00D8579A">
      <w:pPr>
        <w:pStyle w:val="Textocomentario"/>
      </w:pPr>
      <w:r>
        <w:rPr>
          <w:rStyle w:val="Refdecomentario"/>
        </w:rPr>
        <w:annotationRef/>
      </w:r>
      <w:r>
        <w:t>Extensiones en cursiva</w:t>
      </w:r>
    </w:p>
  </w:comment>
  <w:comment w:id="19" w:author="veronica cabeza de vaca tocino" w:date="2026-05-20T20:28:00Z" w:initials="Vc">
    <w:p w14:paraId="3B8F66D7" w14:textId="77777777" w:rsidR="00DF66A3" w:rsidRDefault="00DF66A3" w:rsidP="00DF66A3">
      <w:pPr>
        <w:pStyle w:val="Textocomentario"/>
        <w:jc w:val="left"/>
      </w:pPr>
      <w:r>
        <w:rPr>
          <w:rStyle w:val="Refdecomentario"/>
        </w:rPr>
        <w:annotationRef/>
      </w:r>
      <w:r>
        <w:t xml:space="preserve">CAMBIO! </w:t>
      </w:r>
    </w:p>
  </w:comment>
  <w:comment w:id="20" w:author="Victor Jesus Fernandez Ramirez" w:date="2026-05-11T19:40:00Z" w:initials="VF">
    <w:p w14:paraId="0ECCC147" w14:textId="77777777" w:rsidR="00D8579A" w:rsidRDefault="00D8579A">
      <w:pPr>
        <w:pStyle w:val="Textocomentario"/>
      </w:pPr>
      <w:r>
        <w:rPr>
          <w:rStyle w:val="Refdecomentario"/>
        </w:rPr>
        <w:annotationRef/>
      </w:r>
      <w:r>
        <w:t>Se podría incluir un diagrama del pipeline</w:t>
      </w:r>
    </w:p>
  </w:comment>
  <w:comment w:id="22" w:author="veronica cabeza de vaca tocino" w:date="2026-05-20T21:14:00Z" w:initials="Vc">
    <w:p w14:paraId="0D58F341" w14:textId="77777777" w:rsidR="00A505C5" w:rsidRDefault="00A505C5" w:rsidP="00A505C5">
      <w:pPr>
        <w:pStyle w:val="Textocomentario"/>
        <w:jc w:val="left"/>
      </w:pPr>
      <w:r>
        <w:rPr>
          <w:rStyle w:val="Refdecomentario"/>
        </w:rPr>
        <w:annotationRef/>
      </w:r>
      <w:r>
        <w:t>CAMBIO!</w:t>
      </w:r>
    </w:p>
  </w:comment>
  <w:comment w:id="26" w:author="veronica cabeza de vaca tocino" w:date="2026-05-19T20:57:00Z" w:initials="Vc">
    <w:p w14:paraId="3393FBA3" w14:textId="77777777" w:rsidR="001E61D6" w:rsidRDefault="001E61D6" w:rsidP="001E61D6">
      <w:pPr>
        <w:pStyle w:val="Textocomentario"/>
        <w:jc w:val="left"/>
      </w:pPr>
      <w:r>
        <w:rPr>
          <w:rStyle w:val="Refdecomentario"/>
        </w:rPr>
        <w:annotationRef/>
      </w:r>
      <w:r>
        <w:t>Este párrafo lo redacté una vez iba ya por el punto 3.4, porque me di cuenta que no había matizado bien esta interpretación y podía dar lugar a confusión para el tribunal. ¿Qué opinas?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6342CE" w15:done="0"/>
  <w15:commentEx w15:paraId="24171F81" w15:paraIdParent="116342CE" w15:done="0"/>
  <w15:commentEx w15:paraId="613F9BFF" w15:paraIdParent="116342CE" w15:done="0"/>
  <w15:commentEx w15:paraId="562598EB" w15:done="0"/>
  <w15:commentEx w15:paraId="429507C3" w15:done="0"/>
  <w15:commentEx w15:paraId="09A1CA05" w15:done="1"/>
  <w15:commentEx w15:paraId="3B8F66D7" w15:done="0"/>
  <w15:commentEx w15:paraId="0ECCC147" w15:done="0"/>
  <w15:commentEx w15:paraId="0D58F341" w15:done="0"/>
  <w15:commentEx w15:paraId="3393FB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D032CD" w16cex:dateUtc="2026-05-12T11:23:00Z"/>
  <w16cex:commentExtensible w16cex:durableId="5622F632" w16cex:dateUtc="2026-05-12T11:24:00Z"/>
  <w16cex:commentExtensible w16cex:durableId="1E2109CA" w16cex:dateUtc="2026-05-12T11:29:00Z"/>
  <w16cex:commentExtensible w16cex:durableId="521BD069" w16cex:dateUtc="2026-05-25T19:10:00Z"/>
  <w16cex:commentExtensible w16cex:durableId="7631E1CE" w16cex:dateUtc="2026-05-12T11:35:00Z"/>
  <w16cex:commentExtensible w16cex:durableId="7D4CF9D7" w16cex:dateUtc="2026-05-11T17:40:00Z">
    <w16cex:extLst>
      <w16:ext w16:uri="{CE6994B0-6A32-4C9F-8C6B-6E91EDA988CE}">
        <cr:reactions xmlns:cr="http://schemas.microsoft.com/office/comments/2020/reactions">
          <cr:reaction reactionType="1">
            <cr:reactionInfo dateUtc="2026-05-12T11:17:28Z">
              <cr:user userId="S::veronica.cabeza990@comunidadunir.net::5ae25986-caa6-4d8c-96d2-33972712641b" userProvider="AD" userName="veronica cabeza de vaca tocino"/>
            </cr:reactionInfo>
          </cr:reaction>
        </cr:reactions>
      </w16:ext>
    </w16cex:extLst>
  </w16cex:commentExtensible>
  <w16cex:commentExtensible w16cex:durableId="071BB67D" w16cex:dateUtc="2026-05-20T18:28:00Z"/>
  <w16cex:commentExtensible w16cex:durableId="1A4F3662" w16cex:dateUtc="2026-05-11T17:40:00Z"/>
  <w16cex:commentExtensible w16cex:durableId="6394EE90" w16cex:dateUtc="2026-05-20T19:14:00Z"/>
  <w16cex:commentExtensible w16cex:durableId="5969C403" w16cex:dateUtc="2026-05-19T1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6342CE" w16cid:durableId="3AD032CD"/>
  <w16cid:commentId w16cid:paraId="24171F81" w16cid:durableId="5622F632"/>
  <w16cid:commentId w16cid:paraId="613F9BFF" w16cid:durableId="1E2109CA"/>
  <w16cid:commentId w16cid:paraId="562598EB" w16cid:durableId="521BD069"/>
  <w16cid:commentId w16cid:paraId="429507C3" w16cid:durableId="7631E1CE"/>
  <w16cid:commentId w16cid:paraId="09A1CA05" w16cid:durableId="7D4CF9D7"/>
  <w16cid:commentId w16cid:paraId="3B8F66D7" w16cid:durableId="071BB67D"/>
  <w16cid:commentId w16cid:paraId="0ECCC147" w16cid:durableId="1A4F3662"/>
  <w16cid:commentId w16cid:paraId="0D58F341" w16cid:durableId="6394EE90"/>
  <w16cid:commentId w16cid:paraId="3393FBA3" w16cid:durableId="5969C4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F336F" w14:textId="77777777" w:rsidR="008B02F9" w:rsidRDefault="008B02F9" w:rsidP="006403BD">
      <w:r>
        <w:separator/>
      </w:r>
    </w:p>
  </w:endnote>
  <w:endnote w:type="continuationSeparator" w:id="0">
    <w:p w14:paraId="2913E216" w14:textId="77777777" w:rsidR="008B02F9" w:rsidRDefault="008B02F9"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0ED1E" w14:textId="77777777" w:rsidR="008B02F9" w:rsidRDefault="008B02F9" w:rsidP="006403BD">
      <w:r>
        <w:separator/>
      </w:r>
    </w:p>
  </w:footnote>
  <w:footnote w:type="continuationSeparator" w:id="0">
    <w:p w14:paraId="697B75E9" w14:textId="77777777" w:rsidR="008B02F9" w:rsidRDefault="008B02F9"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2903DBBF" w:rsidR="00A75783" w:rsidRPr="00ED1546" w:rsidRDefault="0045010B" w:rsidP="00ED1546">
    <w:pPr>
      <w:pStyle w:val="Encabezado"/>
      <w:spacing w:before="0" w:after="0" w:line="240" w:lineRule="auto"/>
      <w:jc w:val="right"/>
      <w:rPr>
        <w:rFonts w:asciiTheme="majorHAnsi" w:hAnsiTheme="majorHAnsi"/>
        <w:sz w:val="20"/>
      </w:rPr>
    </w:pPr>
    <w:r>
      <w:rPr>
        <w:rFonts w:asciiTheme="majorHAnsi" w:hAnsiTheme="majorHAnsi"/>
        <w:sz w:val="20"/>
      </w:rPr>
      <w:t>Verónica Cabeza de Vaca Tocino</w:t>
    </w:r>
  </w:p>
  <w:p w14:paraId="488BB47A" w14:textId="1556632D"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Título del Trabajo Fin de </w:t>
    </w:r>
    <w:r w:rsidR="00797AFE">
      <w:rPr>
        <w:rFonts w:asciiTheme="majorHAnsi" w:hAnsiTheme="majorHAnsi"/>
        <w:sz w:val="20"/>
      </w:rPr>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3455A0"/>
    <w:multiLevelType w:val="multilevel"/>
    <w:tmpl w:val="52A87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50FBF"/>
    <w:multiLevelType w:val="hybridMultilevel"/>
    <w:tmpl w:val="846ED5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8536D"/>
    <w:multiLevelType w:val="hybridMultilevel"/>
    <w:tmpl w:val="640489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5F635F5"/>
    <w:multiLevelType w:val="multilevel"/>
    <w:tmpl w:val="4988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F1347"/>
    <w:multiLevelType w:val="multilevel"/>
    <w:tmpl w:val="3B2A3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7C41F1"/>
    <w:multiLevelType w:val="multilevel"/>
    <w:tmpl w:val="076A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41D48"/>
    <w:multiLevelType w:val="multilevel"/>
    <w:tmpl w:val="0930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75413B"/>
    <w:multiLevelType w:val="hybridMultilevel"/>
    <w:tmpl w:val="781E941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2E274F16"/>
    <w:multiLevelType w:val="multilevel"/>
    <w:tmpl w:val="98E8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3712BF"/>
    <w:multiLevelType w:val="multilevel"/>
    <w:tmpl w:val="C722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912C04"/>
    <w:multiLevelType w:val="multilevel"/>
    <w:tmpl w:val="9B3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3" w15:restartNumberingAfterBreak="0">
    <w:nsid w:val="3D6467DD"/>
    <w:multiLevelType w:val="multilevel"/>
    <w:tmpl w:val="A86E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EB77F2"/>
    <w:multiLevelType w:val="multilevel"/>
    <w:tmpl w:val="A6F24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493F9F"/>
    <w:multiLevelType w:val="hybridMultilevel"/>
    <w:tmpl w:val="E640B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E6C40A8"/>
    <w:multiLevelType w:val="multilevel"/>
    <w:tmpl w:val="79C4B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A67DF9"/>
    <w:multiLevelType w:val="multilevel"/>
    <w:tmpl w:val="231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3726E5"/>
    <w:multiLevelType w:val="multilevel"/>
    <w:tmpl w:val="A2BE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FD07A5"/>
    <w:multiLevelType w:val="multilevel"/>
    <w:tmpl w:val="06F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CC6D30"/>
    <w:multiLevelType w:val="multilevel"/>
    <w:tmpl w:val="56C6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7C00D2"/>
    <w:multiLevelType w:val="multilevel"/>
    <w:tmpl w:val="5E98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D10897"/>
    <w:multiLevelType w:val="hybridMultilevel"/>
    <w:tmpl w:val="0D664B46"/>
    <w:lvl w:ilvl="0" w:tplc="994A43F2">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CA13453"/>
    <w:multiLevelType w:val="hybridMultilevel"/>
    <w:tmpl w:val="330E18F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50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F880094"/>
    <w:multiLevelType w:val="multilevel"/>
    <w:tmpl w:val="B066B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A83327"/>
    <w:multiLevelType w:val="multilevel"/>
    <w:tmpl w:val="4EDA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C44F39"/>
    <w:multiLevelType w:val="multilevel"/>
    <w:tmpl w:val="1F48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0A561B"/>
    <w:multiLevelType w:val="hybridMultilevel"/>
    <w:tmpl w:val="8BF47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28813E9"/>
    <w:multiLevelType w:val="multilevel"/>
    <w:tmpl w:val="F32A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C56F43"/>
    <w:multiLevelType w:val="multilevel"/>
    <w:tmpl w:val="7DEE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DB3D7F"/>
    <w:multiLevelType w:val="hybridMultilevel"/>
    <w:tmpl w:val="F39086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7641533"/>
    <w:multiLevelType w:val="multilevel"/>
    <w:tmpl w:val="010C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430497"/>
    <w:multiLevelType w:val="multilevel"/>
    <w:tmpl w:val="669C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C57C3D"/>
    <w:multiLevelType w:val="multilevel"/>
    <w:tmpl w:val="F0C2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4210916">
    <w:abstractNumId w:val="12"/>
  </w:num>
  <w:num w:numId="2" w16cid:durableId="1725180126">
    <w:abstractNumId w:val="21"/>
  </w:num>
  <w:num w:numId="3" w16cid:durableId="1373191755">
    <w:abstractNumId w:val="25"/>
  </w:num>
  <w:num w:numId="4" w16cid:durableId="1800225754">
    <w:abstractNumId w:val="0"/>
  </w:num>
  <w:num w:numId="5" w16cid:durableId="1939557550">
    <w:abstractNumId w:val="1"/>
  </w:num>
  <w:num w:numId="6" w16cid:durableId="526870379">
    <w:abstractNumId w:val="34"/>
  </w:num>
  <w:num w:numId="7" w16cid:durableId="1632860722">
    <w:abstractNumId w:val="16"/>
  </w:num>
  <w:num w:numId="8" w16cid:durableId="712968623">
    <w:abstractNumId w:val="6"/>
  </w:num>
  <w:num w:numId="9" w16cid:durableId="408506542">
    <w:abstractNumId w:val="13"/>
  </w:num>
  <w:num w:numId="10" w16cid:durableId="496848670">
    <w:abstractNumId w:val="20"/>
  </w:num>
  <w:num w:numId="11" w16cid:durableId="1570993768">
    <w:abstractNumId w:val="15"/>
  </w:num>
  <w:num w:numId="12" w16cid:durableId="1142305122">
    <w:abstractNumId w:val="3"/>
  </w:num>
  <w:num w:numId="13" w16cid:durableId="456341554">
    <w:abstractNumId w:val="27"/>
  </w:num>
  <w:num w:numId="14" w16cid:durableId="1751808608">
    <w:abstractNumId w:val="11"/>
  </w:num>
  <w:num w:numId="15" w16cid:durableId="1194340499">
    <w:abstractNumId w:val="28"/>
  </w:num>
  <w:num w:numId="16" w16cid:durableId="777069553">
    <w:abstractNumId w:val="5"/>
  </w:num>
  <w:num w:numId="17" w16cid:durableId="1869873788">
    <w:abstractNumId w:val="2"/>
  </w:num>
  <w:num w:numId="18" w16cid:durableId="213809226">
    <w:abstractNumId w:val="29"/>
  </w:num>
  <w:num w:numId="19" w16cid:durableId="1249120169">
    <w:abstractNumId w:val="24"/>
  </w:num>
  <w:num w:numId="20" w16cid:durableId="657804114">
    <w:abstractNumId w:val="23"/>
  </w:num>
  <w:num w:numId="21" w16cid:durableId="1036125878">
    <w:abstractNumId w:val="33"/>
  </w:num>
  <w:num w:numId="22" w16cid:durableId="372774716">
    <w:abstractNumId w:val="9"/>
  </w:num>
  <w:num w:numId="23" w16cid:durableId="539634661">
    <w:abstractNumId w:val="4"/>
  </w:num>
  <w:num w:numId="24" w16cid:durableId="2089033905">
    <w:abstractNumId w:val="7"/>
  </w:num>
  <w:num w:numId="25" w16cid:durableId="1568221091">
    <w:abstractNumId w:val="22"/>
  </w:num>
  <w:num w:numId="26" w16cid:durableId="1719471866">
    <w:abstractNumId w:val="10"/>
  </w:num>
  <w:num w:numId="27" w16cid:durableId="1543205353">
    <w:abstractNumId w:val="14"/>
  </w:num>
  <w:num w:numId="28" w16cid:durableId="1391152909">
    <w:abstractNumId w:val="17"/>
  </w:num>
  <w:num w:numId="29" w16cid:durableId="304356405">
    <w:abstractNumId w:val="35"/>
  </w:num>
  <w:num w:numId="30" w16cid:durableId="1438864211">
    <w:abstractNumId w:val="19"/>
  </w:num>
  <w:num w:numId="31" w16cid:durableId="1442526132">
    <w:abstractNumId w:val="8"/>
  </w:num>
  <w:num w:numId="32" w16cid:durableId="292298816">
    <w:abstractNumId w:val="32"/>
  </w:num>
  <w:num w:numId="33" w16cid:durableId="1099911986">
    <w:abstractNumId w:val="30"/>
  </w:num>
  <w:num w:numId="34" w16cid:durableId="239096198">
    <w:abstractNumId w:val="18"/>
  </w:num>
  <w:num w:numId="35" w16cid:durableId="1096949127">
    <w:abstractNumId w:val="31"/>
  </w:num>
  <w:num w:numId="36" w16cid:durableId="120347455">
    <w:abstractNumId w:val="26"/>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eronica cabeza de vaca tocino">
    <w15:presenceInfo w15:providerId="AD" w15:userId="S::veronica.cabeza990@comunidadunir.net::5ae25986-caa6-4d8c-96d2-33972712641b"/>
  </w15:person>
  <w15:person w15:author="Victor Jesus Fernandez Ramirez">
    <w15:presenceInfo w15:providerId="AD" w15:userId="S::victor.fernandez@ibvf.csic.es::6cb8ff79-b2fe-4762-9576-d872a25727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4DA4"/>
    <w:rsid w:val="000456EB"/>
    <w:rsid w:val="00061CF2"/>
    <w:rsid w:val="000757FF"/>
    <w:rsid w:val="00081560"/>
    <w:rsid w:val="000A1265"/>
    <w:rsid w:val="000B0531"/>
    <w:rsid w:val="000B31A9"/>
    <w:rsid w:val="000C144C"/>
    <w:rsid w:val="000D09A0"/>
    <w:rsid w:val="000E1D0B"/>
    <w:rsid w:val="000E3449"/>
    <w:rsid w:val="000F1403"/>
    <w:rsid w:val="00101A07"/>
    <w:rsid w:val="00112F8B"/>
    <w:rsid w:val="00136B06"/>
    <w:rsid w:val="001526D9"/>
    <w:rsid w:val="001538B9"/>
    <w:rsid w:val="001545C0"/>
    <w:rsid w:val="0016080C"/>
    <w:rsid w:val="001654D6"/>
    <w:rsid w:val="00171619"/>
    <w:rsid w:val="001724F1"/>
    <w:rsid w:val="0017435A"/>
    <w:rsid w:val="00176DFC"/>
    <w:rsid w:val="00192283"/>
    <w:rsid w:val="00194057"/>
    <w:rsid w:val="001944D1"/>
    <w:rsid w:val="00194969"/>
    <w:rsid w:val="001A39A6"/>
    <w:rsid w:val="001B59CD"/>
    <w:rsid w:val="001B665F"/>
    <w:rsid w:val="001C2AB4"/>
    <w:rsid w:val="001C2FB3"/>
    <w:rsid w:val="001C4EA4"/>
    <w:rsid w:val="001D0B3F"/>
    <w:rsid w:val="001D46C8"/>
    <w:rsid w:val="001D76E5"/>
    <w:rsid w:val="001E19BF"/>
    <w:rsid w:val="001E61D6"/>
    <w:rsid w:val="001E62CD"/>
    <w:rsid w:val="0020605D"/>
    <w:rsid w:val="0020681F"/>
    <w:rsid w:val="002101BA"/>
    <w:rsid w:val="00213E2C"/>
    <w:rsid w:val="002161B1"/>
    <w:rsid w:val="00216B8C"/>
    <w:rsid w:val="002219D1"/>
    <w:rsid w:val="00230663"/>
    <w:rsid w:val="00235CE3"/>
    <w:rsid w:val="0024258C"/>
    <w:rsid w:val="00244EAD"/>
    <w:rsid w:val="00247D12"/>
    <w:rsid w:val="00252BBA"/>
    <w:rsid w:val="00257C76"/>
    <w:rsid w:val="0026307A"/>
    <w:rsid w:val="00266CBA"/>
    <w:rsid w:val="002752A5"/>
    <w:rsid w:val="002767AF"/>
    <w:rsid w:val="00286FA5"/>
    <w:rsid w:val="002A00EB"/>
    <w:rsid w:val="002B3E99"/>
    <w:rsid w:val="002C7A1D"/>
    <w:rsid w:val="002F3B63"/>
    <w:rsid w:val="003447EF"/>
    <w:rsid w:val="00352D17"/>
    <w:rsid w:val="0035422F"/>
    <w:rsid w:val="00382E79"/>
    <w:rsid w:val="0038724F"/>
    <w:rsid w:val="003A582A"/>
    <w:rsid w:val="003B10F9"/>
    <w:rsid w:val="003B6702"/>
    <w:rsid w:val="003C39D5"/>
    <w:rsid w:val="003D1A96"/>
    <w:rsid w:val="003F0EF0"/>
    <w:rsid w:val="003F152D"/>
    <w:rsid w:val="003F24BC"/>
    <w:rsid w:val="003F7331"/>
    <w:rsid w:val="00402AA8"/>
    <w:rsid w:val="004030C4"/>
    <w:rsid w:val="00411F73"/>
    <w:rsid w:val="00412220"/>
    <w:rsid w:val="00416F2B"/>
    <w:rsid w:val="0042072C"/>
    <w:rsid w:val="00422153"/>
    <w:rsid w:val="00423E85"/>
    <w:rsid w:val="00425F34"/>
    <w:rsid w:val="00436FA0"/>
    <w:rsid w:val="004408D1"/>
    <w:rsid w:val="0045010B"/>
    <w:rsid w:val="00454956"/>
    <w:rsid w:val="00465FDE"/>
    <w:rsid w:val="0048445F"/>
    <w:rsid w:val="004848FD"/>
    <w:rsid w:val="00490EAC"/>
    <w:rsid w:val="004A1570"/>
    <w:rsid w:val="004B2FED"/>
    <w:rsid w:val="004B48D2"/>
    <w:rsid w:val="004B4D36"/>
    <w:rsid w:val="004C332E"/>
    <w:rsid w:val="004D0A96"/>
    <w:rsid w:val="004D3460"/>
    <w:rsid w:val="004E1E1A"/>
    <w:rsid w:val="004F46ED"/>
    <w:rsid w:val="00506743"/>
    <w:rsid w:val="00507BAD"/>
    <w:rsid w:val="00514164"/>
    <w:rsid w:val="00521A79"/>
    <w:rsid w:val="00521B10"/>
    <w:rsid w:val="005324F0"/>
    <w:rsid w:val="00533A54"/>
    <w:rsid w:val="00553ECF"/>
    <w:rsid w:val="00560B0F"/>
    <w:rsid w:val="00596BE5"/>
    <w:rsid w:val="005A2B04"/>
    <w:rsid w:val="005A2BC1"/>
    <w:rsid w:val="005B62FD"/>
    <w:rsid w:val="005B771F"/>
    <w:rsid w:val="005C420C"/>
    <w:rsid w:val="005C68D4"/>
    <w:rsid w:val="005D549B"/>
    <w:rsid w:val="006055C8"/>
    <w:rsid w:val="006212C8"/>
    <w:rsid w:val="0062183B"/>
    <w:rsid w:val="00625C75"/>
    <w:rsid w:val="006339BA"/>
    <w:rsid w:val="006403BD"/>
    <w:rsid w:val="00656F44"/>
    <w:rsid w:val="00664405"/>
    <w:rsid w:val="00665961"/>
    <w:rsid w:val="0066672A"/>
    <w:rsid w:val="0066759C"/>
    <w:rsid w:val="00670B3B"/>
    <w:rsid w:val="00673D42"/>
    <w:rsid w:val="0067645E"/>
    <w:rsid w:val="00692D10"/>
    <w:rsid w:val="00693159"/>
    <w:rsid w:val="006A56B3"/>
    <w:rsid w:val="006B02A7"/>
    <w:rsid w:val="006B24A2"/>
    <w:rsid w:val="006C2772"/>
    <w:rsid w:val="006C7485"/>
    <w:rsid w:val="006D7B06"/>
    <w:rsid w:val="006E7A51"/>
    <w:rsid w:val="006F2CB9"/>
    <w:rsid w:val="006F6046"/>
    <w:rsid w:val="00711904"/>
    <w:rsid w:val="00727AE8"/>
    <w:rsid w:val="007302DE"/>
    <w:rsid w:val="00750978"/>
    <w:rsid w:val="00751A0E"/>
    <w:rsid w:val="00753B44"/>
    <w:rsid w:val="00764C47"/>
    <w:rsid w:val="00765267"/>
    <w:rsid w:val="00772968"/>
    <w:rsid w:val="00777E29"/>
    <w:rsid w:val="00783DCC"/>
    <w:rsid w:val="00791528"/>
    <w:rsid w:val="00793FDB"/>
    <w:rsid w:val="00797AFE"/>
    <w:rsid w:val="007A5865"/>
    <w:rsid w:val="007B76BF"/>
    <w:rsid w:val="007B7DF9"/>
    <w:rsid w:val="007C6B9D"/>
    <w:rsid w:val="007E0007"/>
    <w:rsid w:val="007E0C1A"/>
    <w:rsid w:val="007E20B6"/>
    <w:rsid w:val="007E61EB"/>
    <w:rsid w:val="007E7C6C"/>
    <w:rsid w:val="007F4312"/>
    <w:rsid w:val="007F7310"/>
    <w:rsid w:val="00800FC5"/>
    <w:rsid w:val="00801974"/>
    <w:rsid w:val="00811234"/>
    <w:rsid w:val="00821D63"/>
    <w:rsid w:val="00834548"/>
    <w:rsid w:val="008352DC"/>
    <w:rsid w:val="008526AB"/>
    <w:rsid w:val="00853F7B"/>
    <w:rsid w:val="008544B8"/>
    <w:rsid w:val="00863C43"/>
    <w:rsid w:val="0087285C"/>
    <w:rsid w:val="00875F37"/>
    <w:rsid w:val="00877054"/>
    <w:rsid w:val="0087790D"/>
    <w:rsid w:val="00881FFC"/>
    <w:rsid w:val="00885071"/>
    <w:rsid w:val="008958B1"/>
    <w:rsid w:val="008A30B1"/>
    <w:rsid w:val="008A5115"/>
    <w:rsid w:val="008B02F9"/>
    <w:rsid w:val="008C16EB"/>
    <w:rsid w:val="008C1A7C"/>
    <w:rsid w:val="008C644D"/>
    <w:rsid w:val="008D2695"/>
    <w:rsid w:val="008E0D5B"/>
    <w:rsid w:val="008E0EE0"/>
    <w:rsid w:val="008E30AB"/>
    <w:rsid w:val="00915441"/>
    <w:rsid w:val="00920246"/>
    <w:rsid w:val="00923279"/>
    <w:rsid w:val="009450AB"/>
    <w:rsid w:val="00961F4F"/>
    <w:rsid w:val="00970175"/>
    <w:rsid w:val="00977178"/>
    <w:rsid w:val="00980219"/>
    <w:rsid w:val="00980BC8"/>
    <w:rsid w:val="009A6FCA"/>
    <w:rsid w:val="009C2354"/>
    <w:rsid w:val="009E757C"/>
    <w:rsid w:val="009F6F17"/>
    <w:rsid w:val="00A0019C"/>
    <w:rsid w:val="00A065C2"/>
    <w:rsid w:val="00A070B6"/>
    <w:rsid w:val="00A205E7"/>
    <w:rsid w:val="00A23DCF"/>
    <w:rsid w:val="00A266E8"/>
    <w:rsid w:val="00A416DD"/>
    <w:rsid w:val="00A505C5"/>
    <w:rsid w:val="00A54E42"/>
    <w:rsid w:val="00A725E6"/>
    <w:rsid w:val="00A75783"/>
    <w:rsid w:val="00A7686B"/>
    <w:rsid w:val="00A80080"/>
    <w:rsid w:val="00A839A3"/>
    <w:rsid w:val="00A90667"/>
    <w:rsid w:val="00A91708"/>
    <w:rsid w:val="00A95BA7"/>
    <w:rsid w:val="00A976F0"/>
    <w:rsid w:val="00AA22E1"/>
    <w:rsid w:val="00AA6607"/>
    <w:rsid w:val="00AA67B2"/>
    <w:rsid w:val="00AE7A29"/>
    <w:rsid w:val="00AE7C8E"/>
    <w:rsid w:val="00B026E1"/>
    <w:rsid w:val="00B03496"/>
    <w:rsid w:val="00B10E12"/>
    <w:rsid w:val="00B115EA"/>
    <w:rsid w:val="00B17DF7"/>
    <w:rsid w:val="00B2774B"/>
    <w:rsid w:val="00B31CC2"/>
    <w:rsid w:val="00B33592"/>
    <w:rsid w:val="00B34BF5"/>
    <w:rsid w:val="00B36726"/>
    <w:rsid w:val="00B3758F"/>
    <w:rsid w:val="00B50857"/>
    <w:rsid w:val="00B54C94"/>
    <w:rsid w:val="00B556D4"/>
    <w:rsid w:val="00B56FB6"/>
    <w:rsid w:val="00B615AD"/>
    <w:rsid w:val="00B720BB"/>
    <w:rsid w:val="00B94AC6"/>
    <w:rsid w:val="00BA6D81"/>
    <w:rsid w:val="00BB0B49"/>
    <w:rsid w:val="00BB2C36"/>
    <w:rsid w:val="00BD053B"/>
    <w:rsid w:val="00BD4B50"/>
    <w:rsid w:val="00BE04EC"/>
    <w:rsid w:val="00BF6DBA"/>
    <w:rsid w:val="00BF7E25"/>
    <w:rsid w:val="00C00899"/>
    <w:rsid w:val="00C03218"/>
    <w:rsid w:val="00C03714"/>
    <w:rsid w:val="00C0398D"/>
    <w:rsid w:val="00C10A65"/>
    <w:rsid w:val="00C333A7"/>
    <w:rsid w:val="00C35EF2"/>
    <w:rsid w:val="00C443D1"/>
    <w:rsid w:val="00C47174"/>
    <w:rsid w:val="00C47481"/>
    <w:rsid w:val="00C640BF"/>
    <w:rsid w:val="00C661F2"/>
    <w:rsid w:val="00C7172C"/>
    <w:rsid w:val="00C84740"/>
    <w:rsid w:val="00C92760"/>
    <w:rsid w:val="00C94353"/>
    <w:rsid w:val="00CA0785"/>
    <w:rsid w:val="00CB0BD9"/>
    <w:rsid w:val="00CB7DBC"/>
    <w:rsid w:val="00CE2B01"/>
    <w:rsid w:val="00CE62C0"/>
    <w:rsid w:val="00CF3B8A"/>
    <w:rsid w:val="00D17170"/>
    <w:rsid w:val="00D248F0"/>
    <w:rsid w:val="00D32606"/>
    <w:rsid w:val="00D34BAD"/>
    <w:rsid w:val="00D50331"/>
    <w:rsid w:val="00D638A7"/>
    <w:rsid w:val="00D66904"/>
    <w:rsid w:val="00D66F51"/>
    <w:rsid w:val="00D8579A"/>
    <w:rsid w:val="00D85F2E"/>
    <w:rsid w:val="00D92F3B"/>
    <w:rsid w:val="00D952D8"/>
    <w:rsid w:val="00D971A1"/>
    <w:rsid w:val="00DA0FCE"/>
    <w:rsid w:val="00DA52C0"/>
    <w:rsid w:val="00DB6CFD"/>
    <w:rsid w:val="00DC17B0"/>
    <w:rsid w:val="00DC7DBA"/>
    <w:rsid w:val="00DD6968"/>
    <w:rsid w:val="00DE7926"/>
    <w:rsid w:val="00DF66A3"/>
    <w:rsid w:val="00E11B5A"/>
    <w:rsid w:val="00E40272"/>
    <w:rsid w:val="00E64C96"/>
    <w:rsid w:val="00E723AB"/>
    <w:rsid w:val="00E769EB"/>
    <w:rsid w:val="00E76BE8"/>
    <w:rsid w:val="00E83CAD"/>
    <w:rsid w:val="00E87B75"/>
    <w:rsid w:val="00E91C43"/>
    <w:rsid w:val="00E95810"/>
    <w:rsid w:val="00EA15E4"/>
    <w:rsid w:val="00EA4496"/>
    <w:rsid w:val="00EA4786"/>
    <w:rsid w:val="00EA710F"/>
    <w:rsid w:val="00EC4EA9"/>
    <w:rsid w:val="00EC62F6"/>
    <w:rsid w:val="00EC771B"/>
    <w:rsid w:val="00ED1546"/>
    <w:rsid w:val="00ED3731"/>
    <w:rsid w:val="00ED735F"/>
    <w:rsid w:val="00EF7F64"/>
    <w:rsid w:val="00F1353A"/>
    <w:rsid w:val="00F17224"/>
    <w:rsid w:val="00F249DB"/>
    <w:rsid w:val="00F31CF8"/>
    <w:rsid w:val="00F3241D"/>
    <w:rsid w:val="00F350B6"/>
    <w:rsid w:val="00F47B28"/>
    <w:rsid w:val="00F50238"/>
    <w:rsid w:val="00F574E7"/>
    <w:rsid w:val="00F843DD"/>
    <w:rsid w:val="00FA0670"/>
    <w:rsid w:val="00FA10CF"/>
    <w:rsid w:val="00FA2090"/>
    <w:rsid w:val="00FA21E3"/>
    <w:rsid w:val="00FA4D54"/>
    <w:rsid w:val="00FA7727"/>
    <w:rsid w:val="00FC4A7B"/>
    <w:rsid w:val="00FD18D3"/>
    <w:rsid w:val="00FD53AE"/>
    <w:rsid w:val="00FD731D"/>
    <w:rsid w:val="00FE07F0"/>
    <w:rsid w:val="00FE29CC"/>
    <w:rsid w:val="00FE43BC"/>
    <w:rsid w:val="00FE475D"/>
    <w:rsid w:val="00FF01FD"/>
    <w:rsid w:val="00FF17C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ind w:left="567" w:hanging="567"/>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character" w:customStyle="1" w:styleId="ng-star-inserted">
    <w:name w:val="ng-star-inserted"/>
    <w:basedOn w:val="Fuentedeprrafopredeter"/>
    <w:rsid w:val="00CB7DBC"/>
  </w:style>
  <w:style w:type="paragraph" w:styleId="NormalWeb">
    <w:name w:val="Normal (Web)"/>
    <w:basedOn w:val="Normal"/>
    <w:uiPriority w:val="99"/>
    <w:unhideWhenUsed/>
    <w:rsid w:val="00EA15E4"/>
    <w:pPr>
      <w:spacing w:before="100" w:beforeAutospacing="1" w:after="100" w:afterAutospacing="1" w:line="240" w:lineRule="auto"/>
      <w:jc w:val="left"/>
    </w:pPr>
    <w:rPr>
      <w:rFonts w:ascii="Times New Roman" w:hAnsi="Times New Roman"/>
    </w:rPr>
  </w:style>
  <w:style w:type="table" w:styleId="Tablaconcuadrcula7concolores">
    <w:name w:val="Grid Table 7 Colorful"/>
    <w:basedOn w:val="Tablanormal"/>
    <w:uiPriority w:val="52"/>
    <w:rsid w:val="0097017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digoHTML">
    <w:name w:val="HTML Code"/>
    <w:basedOn w:val="Fuentedeprrafopredeter"/>
    <w:uiPriority w:val="99"/>
    <w:semiHidden/>
    <w:unhideWhenUsed/>
    <w:rsid w:val="00F3241D"/>
    <w:rPr>
      <w:rFonts w:ascii="Courier New" w:eastAsia="Times New Roman" w:hAnsi="Courier New" w:cs="Courier New"/>
      <w:sz w:val="20"/>
      <w:szCs w:val="20"/>
    </w:rPr>
  </w:style>
  <w:style w:type="paragraph" w:styleId="Bibliografa">
    <w:name w:val="Bibliography"/>
    <w:basedOn w:val="Normal"/>
    <w:next w:val="Normal"/>
    <w:uiPriority w:val="37"/>
    <w:unhideWhenUsed/>
    <w:rsid w:val="00FA2090"/>
    <w:pPr>
      <w:tabs>
        <w:tab w:val="left" w:pos="264"/>
      </w:tabs>
      <w:spacing w:after="240" w:line="240" w:lineRule="auto"/>
      <w:ind w:left="264" w:hanging="264"/>
    </w:pPr>
  </w:style>
  <w:style w:type="character" w:styleId="Mencinsinresolver">
    <w:name w:val="Unresolved Mention"/>
    <w:basedOn w:val="Fuentedeprrafopredeter"/>
    <w:uiPriority w:val="99"/>
    <w:semiHidden/>
    <w:unhideWhenUsed/>
    <w:rsid w:val="00FA2090"/>
    <w:rPr>
      <w:color w:val="605E5C"/>
      <w:shd w:val="clear" w:color="auto" w:fill="E1DFDD"/>
    </w:rPr>
  </w:style>
  <w:style w:type="character" w:styleId="Hipervnculovisitado">
    <w:name w:val="FollowedHyperlink"/>
    <w:basedOn w:val="Fuentedeprrafopredeter"/>
    <w:uiPriority w:val="99"/>
    <w:semiHidden/>
    <w:unhideWhenUsed/>
    <w:rsid w:val="00FA2090"/>
    <w:rPr>
      <w:color w:val="954F72" w:themeColor="followedHyperlink"/>
      <w:u w:val="single"/>
    </w:rPr>
  </w:style>
  <w:style w:type="paragraph" w:styleId="Revisin">
    <w:name w:val="Revision"/>
    <w:hidden/>
    <w:uiPriority w:val="99"/>
    <w:semiHidden/>
    <w:rsid w:val="00FD18D3"/>
    <w:rPr>
      <w:rFonts w:asciiTheme="minorHAnsi" w:eastAsia="Times New Roman" w:hAnsiTheme="minorHAnsi"/>
      <w:sz w:val="24"/>
      <w:szCs w:val="24"/>
    </w:rPr>
  </w:style>
  <w:style w:type="character" w:styleId="Textodelmarcadordeposicin">
    <w:name w:val="Placeholder Text"/>
    <w:basedOn w:val="Fuentedeprrafopredeter"/>
    <w:uiPriority w:val="99"/>
    <w:semiHidden/>
    <w:rsid w:val="002F3B63"/>
    <w:rPr>
      <w:color w:val="666666"/>
    </w:rPr>
  </w:style>
  <w:style w:type="character" w:customStyle="1" w:styleId="math-inline">
    <w:name w:val="math-inline"/>
    <w:basedOn w:val="Fuentedeprrafopredeter"/>
    <w:rsid w:val="00800FC5"/>
  </w:style>
  <w:style w:type="character" w:customStyle="1" w:styleId="ng-tns-c1613754720-245">
    <w:name w:val="ng-tns-c1613754720-245"/>
    <w:basedOn w:val="Fuentedeprrafopredeter"/>
    <w:rsid w:val="003A582A"/>
  </w:style>
  <w:style w:type="paragraph" w:styleId="HTMLconformatoprevio">
    <w:name w:val="HTML Preformatted"/>
    <w:basedOn w:val="Normal"/>
    <w:link w:val="HTMLconformatoprevioCar"/>
    <w:uiPriority w:val="99"/>
    <w:semiHidden/>
    <w:unhideWhenUsed/>
    <w:rsid w:val="003A5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3A582A"/>
    <w:rPr>
      <w:rFonts w:ascii="Courier New" w:eastAsia="Times New Roman" w:hAnsi="Courier New" w:cs="Courier New"/>
    </w:rPr>
  </w:style>
  <w:style w:type="character" w:customStyle="1" w:styleId="hljs-number">
    <w:name w:val="hljs-number"/>
    <w:basedOn w:val="Fuentedeprrafopredeter"/>
    <w:rsid w:val="003A58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portal.gdc.cancer.go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hyperlink" Target="https://www.cancer.gov/ccg/research/genome-sequencing/tcga" TargetMode="External"/><Relationship Id="rId2" Type="http://schemas.openxmlformats.org/officeDocument/2006/relationships/customXml" Target="../customXml/item2.xml"/><Relationship Id="rId16" Type="http://schemas.openxmlformats.org/officeDocument/2006/relationships/hyperlink" Target="https://www.ncbi.nlm.nih.gov"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github.com/VeronicaCVT/TFM_Bioinfo_Colon_Cancer" TargetMode="External"/><Relationship Id="rId23" Type="http://schemas.microsoft.com/office/2011/relationships/people" Target="people.xml"/><Relationship Id="rId10" Type="http://schemas.openxmlformats.org/officeDocument/2006/relationships/image" Target="media/image1.png"/><Relationship Id="rId19" Type="http://schemas.openxmlformats.org/officeDocument/2006/relationships/hyperlink" Target="https://www.genenames.org" TargetMode="Externa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customXml/itemProps2.xml><?xml version="1.0" encoding="utf-8"?>
<ds:datastoreItem xmlns:ds="http://schemas.openxmlformats.org/officeDocument/2006/customXml" ds:itemID="{57DC6A7E-A6FE-4629-9326-EE8561E00944}">
  <ds:schemaRefs>
    <ds:schemaRef ds:uri="http://schemas.microsoft.com/sharepoint/v3/contenttype/forms"/>
  </ds:schemaRefs>
</ds:datastoreItem>
</file>

<file path=customXml/itemProps3.xml><?xml version="1.0" encoding="utf-8"?>
<ds:datastoreItem xmlns:ds="http://schemas.openxmlformats.org/officeDocument/2006/customXml" ds:itemID="{B98086A6-6904-47FD-B45B-B04574B1D1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2914</TotalTime>
  <Pages>30</Pages>
  <Words>10787</Words>
  <Characters>59333</Characters>
  <Application>Microsoft Office Word</Application>
  <DocSecurity>0</DocSecurity>
  <Lines>494</Lines>
  <Paragraphs>139</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69981</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veronica cabeza de vaca tocino</cp:lastModifiedBy>
  <cp:revision>41</cp:revision>
  <cp:lastPrinted>2019-08-05T13:11:00Z</cp:lastPrinted>
  <dcterms:created xsi:type="dcterms:W3CDTF">2020-10-30T06:25:00Z</dcterms:created>
  <dcterms:modified xsi:type="dcterms:W3CDTF">2026-05-25T19:13:00Z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id="IiQHv23G"/&gt;&lt;style id="http://www.zotero.org/styles/nlm-citation-sequence" locale="es-ES"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