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23186" w14:textId="4774E28B" w:rsidR="00E50DC4" w:rsidRDefault="00E50DC4" w:rsidP="00E50DC4">
      <w:pPr>
        <w:pStyle w:val="Ttulo1"/>
      </w:pPr>
      <w:r>
        <w:t>Flujo de trabajo: TFM</w:t>
      </w:r>
    </w:p>
    <w:p w14:paraId="42632F8B" w14:textId="4372AD4F" w:rsidR="00E50DC4" w:rsidRPr="00E50DC4" w:rsidRDefault="00E50DC4" w:rsidP="00E50DC4">
      <w:pPr>
        <w:pStyle w:val="Ttulo2"/>
      </w:pPr>
      <w:r w:rsidRPr="00E50DC4">
        <w:t>Fase 1: Preparación y Curación</w:t>
      </w:r>
    </w:p>
    <w:p w14:paraId="433E497C" w14:textId="02146AE3" w:rsidR="00E50DC4" w:rsidRPr="00E50DC4" w:rsidRDefault="00390A73" w:rsidP="00390A73">
      <w:pPr>
        <w:jc w:val="both"/>
      </w:pPr>
      <w:r w:rsidRPr="00390A73">
        <w:t>Esta etapa inicial comprende la obtención de las matrices de conteos crudos (</w:t>
      </w:r>
      <w:r w:rsidRPr="00390A73">
        <w:rPr>
          <w:i/>
          <w:iCs/>
        </w:rPr>
        <w:t>Raw Counts</w:t>
      </w:r>
      <w:r w:rsidRPr="00390A73">
        <w:t xml:space="preserve">) provenientes de The Cancer </w:t>
      </w:r>
      <w:proofErr w:type="spellStart"/>
      <w:r w:rsidRPr="00390A73">
        <w:t>Genome</w:t>
      </w:r>
      <w:proofErr w:type="spellEnd"/>
      <w:r w:rsidRPr="00390A73">
        <w:t xml:space="preserve"> Atlas (TCGA) y de </w:t>
      </w:r>
      <w:r>
        <w:t>seis</w:t>
      </w:r>
      <w:r w:rsidRPr="00390A73">
        <w:t xml:space="preserve"> conjuntos de datos del Gene </w:t>
      </w:r>
      <w:proofErr w:type="spellStart"/>
      <w:r w:rsidRPr="00390A73">
        <w:t>Expression</w:t>
      </w:r>
      <w:proofErr w:type="spellEnd"/>
      <w:r w:rsidRPr="00390A73">
        <w:t xml:space="preserve"> </w:t>
      </w:r>
      <w:proofErr w:type="spellStart"/>
      <w:r w:rsidRPr="00390A73">
        <w:t>Omnibus</w:t>
      </w:r>
      <w:proofErr w:type="spellEnd"/>
      <w:r w:rsidRPr="00390A73">
        <w:t xml:space="preserve"> (GEO: </w:t>
      </w:r>
      <w:r>
        <w:t>GSE156451</w:t>
      </w:r>
      <w:r>
        <w:t xml:space="preserve">, </w:t>
      </w:r>
      <w:r>
        <w:t>GSE50760</w:t>
      </w:r>
      <w:r>
        <w:t xml:space="preserve">, </w:t>
      </w:r>
      <w:r>
        <w:t>GSE104836</w:t>
      </w:r>
      <w:r>
        <w:t xml:space="preserve">, </w:t>
      </w:r>
      <w:r>
        <w:t>GSE142279</w:t>
      </w:r>
      <w:r>
        <w:t xml:space="preserve">, </w:t>
      </w:r>
      <w:r>
        <w:t>GSE92914</w:t>
      </w:r>
      <w:r>
        <w:t xml:space="preserve"> y </w:t>
      </w:r>
      <w:r>
        <w:t>GSE180440</w:t>
      </w:r>
      <w:r w:rsidRPr="00390A73">
        <w:t xml:space="preserve">). </w:t>
      </w:r>
      <w:r>
        <w:t>Simultáneamente</w:t>
      </w:r>
      <w:r w:rsidRPr="00390A73">
        <w:t>, se procede a la organización de los metadatos, garantizando la correcta clasificación y etiquetado de cada muestra clínica como tejido sano o tejido tumoral</w:t>
      </w:r>
      <w:r w:rsidR="00161B29">
        <w:t>.</w:t>
      </w:r>
    </w:p>
    <w:p w14:paraId="4795E952" w14:textId="77777777" w:rsidR="00E50DC4" w:rsidRPr="00E50DC4" w:rsidRDefault="00E50DC4" w:rsidP="00E50DC4">
      <w:pPr>
        <w:pStyle w:val="Ttulo2"/>
      </w:pPr>
      <w:r w:rsidRPr="00E50DC4">
        <w:t>Fase 2: Preprocesamiento y Homogeneización</w:t>
      </w:r>
    </w:p>
    <w:p w14:paraId="762A20FE" w14:textId="406FDBBD" w:rsidR="00E50DC4" w:rsidRPr="00E50DC4" w:rsidRDefault="00390A73" w:rsidP="00390A73">
      <w:pPr>
        <w:jc w:val="both"/>
      </w:pPr>
      <w:r w:rsidRPr="00390A73">
        <w:t>Con el fin de depurar y adecuar los datos para su posterior análisis computacional en el entorno R, se realizará un filtrado exhaustivo para descartar aquellos genes con expresión nula o recuentos insuficientes que representen ruido técnico. Asimismo, se ejecutará una conversión de identificadores de genes hacia una nomenclatura estandarizada (</w:t>
      </w:r>
      <w:r w:rsidRPr="00390A73">
        <w:rPr>
          <w:i/>
          <w:iCs/>
        </w:rPr>
        <w:t>Gene Symbols</w:t>
      </w:r>
      <w:r w:rsidRPr="00390A73">
        <w:t xml:space="preserve">, como </w:t>
      </w:r>
      <w:r w:rsidRPr="00390A73">
        <w:rPr>
          <w:i/>
          <w:iCs/>
        </w:rPr>
        <w:t>TP53</w:t>
      </w:r>
      <w:r w:rsidRPr="00390A73">
        <w:t xml:space="preserve">), con el propósito de homologar los distintos formatos de anotación de origen (tales como </w:t>
      </w:r>
      <w:proofErr w:type="spellStart"/>
      <w:r w:rsidRPr="00390A73">
        <w:t>Ensembl</w:t>
      </w:r>
      <w:proofErr w:type="spellEnd"/>
      <w:r w:rsidRPr="00390A73">
        <w:t xml:space="preserve"> o </w:t>
      </w:r>
      <w:proofErr w:type="spellStart"/>
      <w:r w:rsidRPr="00390A73">
        <w:t>Entrez</w:t>
      </w:r>
      <w:proofErr w:type="spellEnd"/>
      <w:r w:rsidRPr="00390A73">
        <w:t>). Finalmente, se garantizará la unificación genómica asegurando que todos los conjuntos de datos se alineen con la misma versión del genoma humano de referencia (hg38), realizando las conversiones pertinentes desde versiones anteriores (como hg19) en los casos en que sea necesario.</w:t>
      </w:r>
    </w:p>
    <w:p w14:paraId="49409859" w14:textId="77777777" w:rsidR="00E50DC4" w:rsidRPr="00E50DC4" w:rsidRDefault="00E50DC4" w:rsidP="00E50DC4">
      <w:pPr>
        <w:pStyle w:val="Ttulo2"/>
      </w:pPr>
      <w:r w:rsidRPr="00E50DC4">
        <w:t>Fase 3: Análisis de Expresión Diferencial (DEA)</w:t>
      </w:r>
    </w:p>
    <w:p w14:paraId="5E62E3C2" w14:textId="6455475A" w:rsidR="00E50DC4" w:rsidRPr="00E50DC4" w:rsidRDefault="00390A73" w:rsidP="00390A73">
      <w:pPr>
        <w:jc w:val="both"/>
      </w:pPr>
      <w:r w:rsidRPr="00390A73">
        <w:t>Esta fase constituye el núcleo de la generación de resultados del estudio. Se implementará el paquete estadístico DESeq2 para realizar una comparación formal entre los grupos de control (sano) y problema (tumor), utilizando inicialmente el conjunto de datos de TCGA dada su amplitud muestral. Mediante este procedimiento, se extraerá la lista de genes diferencialmente expresados (</w:t>
      </w:r>
      <w:proofErr w:type="spellStart"/>
      <w:r w:rsidRPr="00390A73">
        <w:t>DEGs</w:t>
      </w:r>
      <w:proofErr w:type="spellEnd"/>
      <w:r w:rsidRPr="00390A73">
        <w:t>), clasificándolos según presenten una expresión significativamente elevada (</w:t>
      </w:r>
      <w:proofErr w:type="spellStart"/>
      <w:r w:rsidRPr="00390A73">
        <w:rPr>
          <w:i/>
          <w:iCs/>
        </w:rPr>
        <w:t>Upregulated</w:t>
      </w:r>
      <w:proofErr w:type="spellEnd"/>
      <w:r w:rsidRPr="00390A73">
        <w:t>) o reprimida (</w:t>
      </w:r>
      <w:proofErr w:type="spellStart"/>
      <w:r w:rsidRPr="00390A73">
        <w:rPr>
          <w:i/>
          <w:iCs/>
        </w:rPr>
        <w:t>Downregulated</w:t>
      </w:r>
      <w:proofErr w:type="spellEnd"/>
      <w:r w:rsidRPr="00390A73">
        <w:t>). Para la interpretación visual de dichos resultados estadísticos, se generarán representaciones gráficas, incluyendo diagramas de volcán (</w:t>
      </w:r>
      <w:proofErr w:type="spellStart"/>
      <w:r w:rsidRPr="00390A73">
        <w:rPr>
          <w:i/>
          <w:iCs/>
        </w:rPr>
        <w:t>Volcano</w:t>
      </w:r>
      <w:proofErr w:type="spellEnd"/>
      <w:r w:rsidRPr="00390A73">
        <w:rPr>
          <w:i/>
          <w:iCs/>
        </w:rPr>
        <w:t xml:space="preserve"> </w:t>
      </w:r>
      <w:proofErr w:type="spellStart"/>
      <w:r w:rsidRPr="00390A73">
        <w:rPr>
          <w:i/>
          <w:iCs/>
        </w:rPr>
        <w:t>Plots</w:t>
      </w:r>
      <w:proofErr w:type="spellEnd"/>
      <w:r w:rsidRPr="00390A73">
        <w:t>) y mapas de calor (</w:t>
      </w:r>
      <w:proofErr w:type="spellStart"/>
      <w:r w:rsidRPr="00390A73">
        <w:rPr>
          <w:i/>
          <w:iCs/>
        </w:rPr>
        <w:t>Heatmaps</w:t>
      </w:r>
      <w:proofErr w:type="spellEnd"/>
      <w:r w:rsidRPr="00390A73">
        <w:t>)</w:t>
      </w:r>
    </w:p>
    <w:p w14:paraId="12C87D52" w14:textId="77777777" w:rsidR="00E50DC4" w:rsidRPr="00E50DC4" w:rsidRDefault="00E50DC4" w:rsidP="00E50DC4">
      <w:pPr>
        <w:pStyle w:val="Ttulo2"/>
      </w:pPr>
      <w:r w:rsidRPr="00E50DC4">
        <w:t>Fase 4: Validación Independiente</w:t>
      </w:r>
    </w:p>
    <w:p w14:paraId="61E22A8A" w14:textId="369F2D14" w:rsidR="00E50DC4" w:rsidRPr="00E50DC4" w:rsidRDefault="00390A73" w:rsidP="00390A73">
      <w:pPr>
        <w:jc w:val="both"/>
      </w:pPr>
      <w:r w:rsidRPr="00390A73">
        <w:t xml:space="preserve">Para asegurar la robustez y reproducibilidad biológica de los resultados, se replicará el análisis de expresión diferencial (DESeq2) de manera independiente en cada uno de los conjuntos de datos provenientes de GEO. A continuación, se ejecutará una intersección analítica de los resultados obtenidos para aislar exclusivamente aquellos genes que demuestren significancia estadística de forma concurrente en </w:t>
      </w:r>
      <w:r w:rsidRPr="00390A73">
        <w:lastRenderedPageBreak/>
        <w:t>la totalidad de las cohortes analizadas, consolidando así los candidatos a biomarcadores.</w:t>
      </w:r>
    </w:p>
    <w:p w14:paraId="3C86E7DE" w14:textId="77777777" w:rsidR="00E50DC4" w:rsidRPr="00E50DC4" w:rsidRDefault="00E50DC4" w:rsidP="00E50DC4">
      <w:pPr>
        <w:pStyle w:val="Ttulo2"/>
      </w:pPr>
      <w:r w:rsidRPr="00E50DC4">
        <w:t>Fase 5: Análisis Funcional (Enriquecimiento)</w:t>
      </w:r>
    </w:p>
    <w:p w14:paraId="1AC5B65F" w14:textId="2F4BA6E9" w:rsidR="00E50DC4" w:rsidRPr="00E50DC4" w:rsidRDefault="00390A73" w:rsidP="00390A73">
      <w:pPr>
        <w:jc w:val="both"/>
      </w:pPr>
      <w:r w:rsidRPr="00390A73">
        <w:t>Con el objetivo de dilucidar el papel biológico subyacente de los biomarcadores identificados, se llevarán a cabo estudios de enriquecimiento funcional. Esto abarcará la evaluación mediante ontologías génicas (</w:t>
      </w:r>
      <w:r w:rsidRPr="00390A73">
        <w:rPr>
          <w:i/>
          <w:iCs/>
        </w:rPr>
        <w:t xml:space="preserve">Gene </w:t>
      </w:r>
      <w:proofErr w:type="spellStart"/>
      <w:r w:rsidRPr="00390A73">
        <w:rPr>
          <w:i/>
          <w:iCs/>
        </w:rPr>
        <w:t>Ontology</w:t>
      </w:r>
      <w:proofErr w:type="spellEnd"/>
      <w:r w:rsidRPr="00390A73">
        <w:t xml:space="preserve">, GO) para determinar los procesos biológicos específicos involucrados (como alteraciones en la división celular), así como el análisis topológico a través de </w:t>
      </w:r>
      <w:r w:rsidRPr="00390A73">
        <w:rPr>
          <w:i/>
          <w:iCs/>
        </w:rPr>
        <w:t xml:space="preserve">KEGG </w:t>
      </w:r>
      <w:proofErr w:type="spellStart"/>
      <w:r w:rsidRPr="00390A73">
        <w:rPr>
          <w:i/>
          <w:iCs/>
        </w:rPr>
        <w:t>Pathways</w:t>
      </w:r>
      <w:proofErr w:type="spellEnd"/>
      <w:r w:rsidRPr="00390A73">
        <w:t xml:space="preserve"> para mapear las vías metabólicas y de señalización celular en las que participan dichos genes.</w:t>
      </w:r>
    </w:p>
    <w:p w14:paraId="2DF20E37" w14:textId="77777777" w:rsidR="00E50DC4" w:rsidRPr="00E50DC4" w:rsidRDefault="00E50DC4" w:rsidP="00E50DC4">
      <w:pPr>
        <w:pStyle w:val="Ttulo2"/>
      </w:pPr>
      <w:r w:rsidRPr="00E50DC4">
        <w:t>Fase 6: Análisis Clínico y Discusión</w:t>
      </w:r>
    </w:p>
    <w:p w14:paraId="079E711A" w14:textId="4E42FDAE" w:rsidR="009A6CB6" w:rsidRDefault="00390A73" w:rsidP="00390A73">
      <w:pPr>
        <w:jc w:val="both"/>
      </w:pPr>
      <w:r w:rsidRPr="00390A73">
        <w:t xml:space="preserve">En la etapa final de la investigación, se determinará la relevancia clínica de los biomarcadores validados mediante análisis de supervivencia. Para ello, se integrarán los datos clínicos de la cohorte TCGA para evaluar si la sobreexpresión o </w:t>
      </w:r>
      <w:proofErr w:type="spellStart"/>
      <w:r w:rsidRPr="00390A73">
        <w:t>infraexpresión</w:t>
      </w:r>
      <w:proofErr w:type="spellEnd"/>
      <w:r w:rsidRPr="00390A73">
        <w:t xml:space="preserve"> de estos genes impacta significativamente en el tiempo de supervivencia de los pacientes. El proyecto concluirá con la redacción de la discusión, en la cual se contrastarán los hallazgos empíricos obtenidos con la evidencia científica preexistente en la literatura sobre el cáncer de colon.</w:t>
      </w:r>
    </w:p>
    <w:sectPr w:rsidR="009A6C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82E8B"/>
    <w:multiLevelType w:val="multilevel"/>
    <w:tmpl w:val="7974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A5EA4"/>
    <w:multiLevelType w:val="multilevel"/>
    <w:tmpl w:val="2368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46D72"/>
    <w:multiLevelType w:val="multilevel"/>
    <w:tmpl w:val="D6FE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9215D"/>
    <w:multiLevelType w:val="multilevel"/>
    <w:tmpl w:val="2624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A3C45"/>
    <w:multiLevelType w:val="multilevel"/>
    <w:tmpl w:val="DD24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E7F8E"/>
    <w:multiLevelType w:val="multilevel"/>
    <w:tmpl w:val="97A4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341933">
    <w:abstractNumId w:val="1"/>
  </w:num>
  <w:num w:numId="2" w16cid:durableId="1977686309">
    <w:abstractNumId w:val="5"/>
  </w:num>
  <w:num w:numId="3" w16cid:durableId="1494418919">
    <w:abstractNumId w:val="4"/>
  </w:num>
  <w:num w:numId="4" w16cid:durableId="2047171596">
    <w:abstractNumId w:val="2"/>
  </w:num>
  <w:num w:numId="5" w16cid:durableId="1668705945">
    <w:abstractNumId w:val="0"/>
  </w:num>
  <w:num w:numId="6" w16cid:durableId="9829250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7F5"/>
    <w:rsid w:val="00161B29"/>
    <w:rsid w:val="00390A73"/>
    <w:rsid w:val="006427F5"/>
    <w:rsid w:val="009A6CB6"/>
    <w:rsid w:val="00D61F82"/>
    <w:rsid w:val="00DE52A1"/>
    <w:rsid w:val="00E50D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17A68"/>
  <w15:chartTrackingRefBased/>
  <w15:docId w15:val="{4B6FD503-23A2-4B4E-87C0-E8A9888F1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27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427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27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27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27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27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27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27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27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27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427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27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27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27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27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27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27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27F5"/>
    <w:rPr>
      <w:rFonts w:eastAsiaTheme="majorEastAsia" w:cstheme="majorBidi"/>
      <w:color w:val="272727" w:themeColor="text1" w:themeTint="D8"/>
    </w:rPr>
  </w:style>
  <w:style w:type="paragraph" w:styleId="Ttulo">
    <w:name w:val="Title"/>
    <w:basedOn w:val="Normal"/>
    <w:next w:val="Normal"/>
    <w:link w:val="TtuloCar"/>
    <w:uiPriority w:val="10"/>
    <w:qFormat/>
    <w:rsid w:val="006427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27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27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27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27F5"/>
    <w:pPr>
      <w:spacing w:before="160"/>
      <w:jc w:val="center"/>
    </w:pPr>
    <w:rPr>
      <w:i/>
      <w:iCs/>
      <w:color w:val="404040" w:themeColor="text1" w:themeTint="BF"/>
    </w:rPr>
  </w:style>
  <w:style w:type="character" w:customStyle="1" w:styleId="CitaCar">
    <w:name w:val="Cita Car"/>
    <w:basedOn w:val="Fuentedeprrafopredeter"/>
    <w:link w:val="Cita"/>
    <w:uiPriority w:val="29"/>
    <w:rsid w:val="006427F5"/>
    <w:rPr>
      <w:i/>
      <w:iCs/>
      <w:color w:val="404040" w:themeColor="text1" w:themeTint="BF"/>
    </w:rPr>
  </w:style>
  <w:style w:type="paragraph" w:styleId="Prrafodelista">
    <w:name w:val="List Paragraph"/>
    <w:basedOn w:val="Normal"/>
    <w:uiPriority w:val="34"/>
    <w:qFormat/>
    <w:rsid w:val="006427F5"/>
    <w:pPr>
      <w:ind w:left="720"/>
      <w:contextualSpacing/>
    </w:pPr>
  </w:style>
  <w:style w:type="character" w:styleId="nfasisintenso">
    <w:name w:val="Intense Emphasis"/>
    <w:basedOn w:val="Fuentedeprrafopredeter"/>
    <w:uiPriority w:val="21"/>
    <w:qFormat/>
    <w:rsid w:val="006427F5"/>
    <w:rPr>
      <w:i/>
      <w:iCs/>
      <w:color w:val="0F4761" w:themeColor="accent1" w:themeShade="BF"/>
    </w:rPr>
  </w:style>
  <w:style w:type="paragraph" w:styleId="Citadestacada">
    <w:name w:val="Intense Quote"/>
    <w:basedOn w:val="Normal"/>
    <w:next w:val="Normal"/>
    <w:link w:val="CitadestacadaCar"/>
    <w:uiPriority w:val="30"/>
    <w:qFormat/>
    <w:rsid w:val="00642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27F5"/>
    <w:rPr>
      <w:i/>
      <w:iCs/>
      <w:color w:val="0F4761" w:themeColor="accent1" w:themeShade="BF"/>
    </w:rPr>
  </w:style>
  <w:style w:type="character" w:styleId="Referenciaintensa">
    <w:name w:val="Intense Reference"/>
    <w:basedOn w:val="Fuentedeprrafopredeter"/>
    <w:uiPriority w:val="32"/>
    <w:qFormat/>
    <w:rsid w:val="006427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566</Words>
  <Characters>3113</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cabeza de vaca tocino</dc:creator>
  <cp:keywords/>
  <dc:description/>
  <cp:lastModifiedBy>veronica cabeza de vaca tocino</cp:lastModifiedBy>
  <cp:revision>3</cp:revision>
  <dcterms:created xsi:type="dcterms:W3CDTF">2026-04-08T18:09:00Z</dcterms:created>
  <dcterms:modified xsi:type="dcterms:W3CDTF">2026-04-08T18:38:00Z</dcterms:modified>
</cp:coreProperties>
</file>