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C9000E" w14:textId="77777777" w:rsidR="00EA710F" w:rsidRPr="00727AE8" w:rsidRDefault="00EA710F" w:rsidP="006403BD"/>
    <w:p w14:paraId="73B74D5E" w14:textId="164DC298" w:rsidR="006A56B3" w:rsidRPr="001C4EA4" w:rsidRDefault="009450AB" w:rsidP="001C4EA4">
      <w:pPr>
        <w:pStyle w:val="Sinespaciado"/>
        <w:spacing w:line="276" w:lineRule="auto"/>
        <w:jc w:val="center"/>
        <w:rPr>
          <w:rFonts w:asciiTheme="majorHAnsi" w:hAnsiTheme="majorHAnsi" w:cs="Open Sans"/>
          <w:sz w:val="48"/>
          <w:szCs w:val="28"/>
        </w:rPr>
      </w:pPr>
      <w:r w:rsidRPr="001C4EA4">
        <w:rPr>
          <w:rFonts w:asciiTheme="majorHAnsi" w:hAnsiTheme="majorHAnsi" w:cs="Open Sans"/>
          <w:noProof/>
          <w:sz w:val="48"/>
          <w:szCs w:val="28"/>
          <w:lang w:eastAsia="es-ES"/>
        </w:rPr>
        <w:drawing>
          <wp:inline distT="0" distB="0" distL="0" distR="0" wp14:anchorId="402EFF8F" wp14:editId="09CB031F">
            <wp:extent cx="3815723" cy="1038225"/>
            <wp:effectExtent l="0" t="0" r="0" b="0"/>
            <wp:docPr id="5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6" name="Picture 1"/>
                    <pic:cNvPicPr>
                      <a:picLocks noChangeAspect="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843319" cy="1045734"/>
                    </a:xfrm>
                    <a:prstGeom prst="rect">
                      <a:avLst/>
                    </a:prstGeom>
                    <a:noFill/>
                    <a:ln>
                      <a:noFill/>
                    </a:ln>
                  </pic:spPr>
                </pic:pic>
              </a:graphicData>
            </a:graphic>
          </wp:inline>
        </w:drawing>
      </w:r>
    </w:p>
    <w:p w14:paraId="0DC95093" w14:textId="7E55C0FC" w:rsidR="0016080C" w:rsidRPr="00821D63" w:rsidRDefault="00821D63" w:rsidP="00821D63">
      <w:pPr>
        <w:pStyle w:val="Sinespaciado"/>
        <w:spacing w:line="276" w:lineRule="auto"/>
        <w:jc w:val="center"/>
        <w:rPr>
          <w:rFonts w:asciiTheme="majorHAnsi" w:hAnsiTheme="majorHAnsi" w:cs="Open Sans"/>
          <w:sz w:val="48"/>
          <w:szCs w:val="28"/>
        </w:rPr>
      </w:pPr>
      <w:r w:rsidRPr="00821D63">
        <w:rPr>
          <w:rFonts w:asciiTheme="majorHAnsi" w:hAnsiTheme="majorHAnsi" w:cs="Open Sans"/>
          <w:sz w:val="48"/>
          <w:szCs w:val="28"/>
        </w:rPr>
        <w:t>Universidad Internacional de La Rioja</w:t>
      </w:r>
    </w:p>
    <w:p w14:paraId="3AD99163" w14:textId="3C039861" w:rsidR="00821D63" w:rsidRPr="00821D63" w:rsidRDefault="00821D63" w:rsidP="00821D63">
      <w:pPr>
        <w:pStyle w:val="Sinespaciado"/>
        <w:spacing w:line="276" w:lineRule="auto"/>
        <w:jc w:val="center"/>
        <w:rPr>
          <w:rFonts w:asciiTheme="majorHAnsi" w:hAnsiTheme="majorHAnsi" w:cs="Open Sans"/>
          <w:sz w:val="40"/>
          <w:szCs w:val="28"/>
        </w:rPr>
      </w:pPr>
      <w:r w:rsidRPr="00D85F2E">
        <w:rPr>
          <w:rFonts w:asciiTheme="majorHAnsi" w:hAnsiTheme="majorHAnsi" w:cs="Open Sans"/>
          <w:sz w:val="40"/>
          <w:szCs w:val="28"/>
        </w:rPr>
        <w:t xml:space="preserve">Facultad de </w:t>
      </w:r>
      <w:r w:rsidR="00D85F2E" w:rsidRPr="00D85F2E">
        <w:rPr>
          <w:rFonts w:asciiTheme="majorHAnsi" w:hAnsiTheme="majorHAnsi" w:cs="Open Sans"/>
          <w:sz w:val="40"/>
          <w:szCs w:val="28"/>
        </w:rPr>
        <w:t>Ciencias de la Salud</w:t>
      </w:r>
    </w:p>
    <w:p w14:paraId="62ED148A" w14:textId="32640DEB" w:rsidR="00821D63" w:rsidRDefault="00821D63" w:rsidP="00821D63">
      <w:pPr>
        <w:pStyle w:val="Sinespaciado"/>
        <w:spacing w:line="276" w:lineRule="auto"/>
        <w:jc w:val="center"/>
        <w:rPr>
          <w:rFonts w:asciiTheme="minorHAnsi" w:hAnsiTheme="minorHAnsi" w:cs="Tahoma"/>
          <w:sz w:val="40"/>
          <w:szCs w:val="28"/>
        </w:rPr>
      </w:pPr>
    </w:p>
    <w:p w14:paraId="4376B2C2" w14:textId="1FAD4F31" w:rsidR="00FC4A7B" w:rsidRDefault="00FC4A7B" w:rsidP="00821D63">
      <w:pPr>
        <w:pStyle w:val="Sinespaciado"/>
        <w:spacing w:line="276" w:lineRule="auto"/>
        <w:jc w:val="center"/>
        <w:rPr>
          <w:rFonts w:asciiTheme="minorHAnsi" w:hAnsiTheme="minorHAnsi" w:cs="Tahoma"/>
          <w:sz w:val="40"/>
          <w:szCs w:val="28"/>
        </w:rPr>
      </w:pPr>
    </w:p>
    <w:p w14:paraId="56C3CC49" w14:textId="30810348" w:rsidR="00FC4A7B" w:rsidRDefault="00FC4A7B" w:rsidP="00821D63">
      <w:pPr>
        <w:pStyle w:val="Sinespaciado"/>
        <w:spacing w:line="276" w:lineRule="auto"/>
        <w:jc w:val="center"/>
        <w:rPr>
          <w:rFonts w:asciiTheme="minorHAnsi" w:hAnsiTheme="minorHAnsi" w:cs="Tahoma"/>
          <w:sz w:val="40"/>
          <w:szCs w:val="28"/>
        </w:rPr>
      </w:pPr>
    </w:p>
    <w:p w14:paraId="6067B72C" w14:textId="77777777" w:rsidR="00FC4A7B" w:rsidRDefault="00FC4A7B" w:rsidP="00821D63">
      <w:pPr>
        <w:pStyle w:val="Sinespaciado"/>
        <w:spacing w:line="276" w:lineRule="auto"/>
        <w:jc w:val="center"/>
        <w:rPr>
          <w:rFonts w:asciiTheme="minorHAnsi" w:hAnsiTheme="minorHAnsi" w:cs="Tahoma"/>
          <w:sz w:val="40"/>
          <w:szCs w:val="28"/>
        </w:rPr>
      </w:pPr>
    </w:p>
    <w:p w14:paraId="7339873A" w14:textId="4BD4BAAB" w:rsidR="00821D63" w:rsidRPr="00FC4A7B" w:rsidRDefault="00821D63" w:rsidP="001654D6">
      <w:pPr>
        <w:pStyle w:val="Sinespaciado"/>
        <w:spacing w:after="240" w:line="276" w:lineRule="auto"/>
        <w:jc w:val="center"/>
        <w:rPr>
          <w:rFonts w:asciiTheme="majorHAnsi" w:hAnsiTheme="majorHAnsi" w:cs="Tahoma"/>
          <w:sz w:val="48"/>
          <w:szCs w:val="28"/>
        </w:rPr>
      </w:pPr>
      <w:r w:rsidRPr="00CA0785">
        <w:rPr>
          <w:rFonts w:asciiTheme="majorHAnsi" w:hAnsiTheme="majorHAnsi" w:cs="Tahoma"/>
          <w:sz w:val="36"/>
          <w:szCs w:val="28"/>
        </w:rPr>
        <w:t xml:space="preserve">Máster </w:t>
      </w:r>
      <w:r w:rsidR="00F843DD">
        <w:rPr>
          <w:rFonts w:asciiTheme="majorHAnsi" w:hAnsiTheme="majorHAnsi" w:cs="Tahoma"/>
          <w:sz w:val="36"/>
          <w:szCs w:val="28"/>
        </w:rPr>
        <w:t xml:space="preserve">Universitario </w:t>
      </w:r>
      <w:r w:rsidR="00FC4A7B" w:rsidRPr="00FC4A7B">
        <w:rPr>
          <w:rFonts w:asciiTheme="majorHAnsi" w:hAnsiTheme="majorHAnsi" w:cs="Tahoma"/>
          <w:sz w:val="36"/>
          <w:szCs w:val="28"/>
        </w:rPr>
        <w:t xml:space="preserve">en </w:t>
      </w:r>
      <w:r w:rsidR="00D85F2E">
        <w:rPr>
          <w:rFonts w:asciiTheme="majorHAnsi" w:hAnsiTheme="majorHAnsi" w:cs="Tahoma"/>
          <w:sz w:val="36"/>
          <w:szCs w:val="28"/>
        </w:rPr>
        <w:t>B</w:t>
      </w:r>
      <w:r w:rsidR="004B4D36">
        <w:rPr>
          <w:rFonts w:asciiTheme="majorHAnsi" w:hAnsiTheme="majorHAnsi" w:cs="Tahoma"/>
          <w:sz w:val="36"/>
          <w:szCs w:val="28"/>
        </w:rPr>
        <w:t>ioinformática</w:t>
      </w:r>
    </w:p>
    <w:p w14:paraId="7E4DEE80" w14:textId="204EF033" w:rsidR="00821D63" w:rsidRPr="00CA0785" w:rsidRDefault="00FD53AE" w:rsidP="00821D63">
      <w:pPr>
        <w:pStyle w:val="Sinespaciado"/>
        <w:spacing w:line="276" w:lineRule="auto"/>
        <w:jc w:val="center"/>
        <w:rPr>
          <w:rFonts w:asciiTheme="minorHAnsi" w:hAnsiTheme="minorHAnsi" w:cs="Tahoma"/>
          <w:sz w:val="52"/>
          <w:szCs w:val="28"/>
        </w:rPr>
      </w:pPr>
      <w:r w:rsidRPr="00FD53AE">
        <w:rPr>
          <w:rFonts w:asciiTheme="minorHAnsi" w:hAnsiTheme="minorHAnsi" w:cs="Tahoma"/>
          <w:color w:val="0098CD"/>
          <w:sz w:val="52"/>
          <w:szCs w:val="28"/>
        </w:rPr>
        <w:t>Análisis de expresión diferencial en adenocarcinoma colorrectal: Integración y validación de datasets de dominio público</w:t>
      </w:r>
    </w:p>
    <w:p w14:paraId="6D71EAEA" w14:textId="464E026D" w:rsidR="0016080C" w:rsidRDefault="0016080C" w:rsidP="006403BD">
      <w:pPr>
        <w:rPr>
          <w:lang w:eastAsia="en-US"/>
        </w:rPr>
      </w:pPr>
    </w:p>
    <w:p w14:paraId="39BFED55" w14:textId="1300B8A3" w:rsidR="0016080C" w:rsidRDefault="0016080C" w:rsidP="006403BD">
      <w:pPr>
        <w:rPr>
          <w:lang w:eastAsia="en-US"/>
        </w:rPr>
      </w:pPr>
    </w:p>
    <w:p w14:paraId="1DB80821" w14:textId="08F166BC" w:rsidR="0016080C" w:rsidRDefault="0016080C" w:rsidP="006403BD">
      <w:pPr>
        <w:rPr>
          <w:lang w:eastAsia="en-US"/>
        </w:rPr>
      </w:pPr>
    </w:p>
    <w:p w14:paraId="14D3861C" w14:textId="74AC7333" w:rsidR="00CA0785" w:rsidRDefault="00CA0785" w:rsidP="006403BD">
      <w:pPr>
        <w:rPr>
          <w:lang w:eastAsia="en-US"/>
        </w:rPr>
      </w:pPr>
      <w:r>
        <w:rPr>
          <w:lang w:eastAsia="en-US"/>
        </w:rPr>
        <w:tab/>
      </w:r>
    </w:p>
    <w:p w14:paraId="4F7BA5B3" w14:textId="77777777" w:rsidR="00CA0785" w:rsidRDefault="00CA0785" w:rsidP="006403BD">
      <w:pPr>
        <w:rPr>
          <w:lang w:eastAsia="en-US"/>
        </w:rPr>
      </w:pPr>
    </w:p>
    <w:tbl>
      <w:tblPr>
        <w:tblStyle w:val="Tablaconcuadrcula"/>
        <w:tblpPr w:leftFromText="141" w:rightFromText="141" w:vertAnchor="page" w:horzAnchor="margin" w:tblpX="547" w:tblpY="12196"/>
        <w:tblW w:w="0" w:type="auto"/>
        <w:tblBorders>
          <w:top w:val="single" w:sz="4" w:space="0" w:color="E7E6E6" w:themeColor="background2"/>
          <w:left w:val="single" w:sz="4" w:space="0" w:color="E7E6E6" w:themeColor="background2"/>
          <w:bottom w:val="single" w:sz="4" w:space="0" w:color="E7E6E6" w:themeColor="background2"/>
          <w:right w:val="single" w:sz="4" w:space="0" w:color="E7E6E6" w:themeColor="background2"/>
          <w:insideH w:val="single" w:sz="4" w:space="0" w:color="E7E6E6" w:themeColor="background2"/>
          <w:insideV w:val="single" w:sz="4" w:space="0" w:color="E7E6E6" w:themeColor="background2"/>
        </w:tblBorders>
        <w:tblLook w:val="04A0" w:firstRow="1" w:lastRow="0" w:firstColumn="1" w:lastColumn="0" w:noHBand="0" w:noVBand="1"/>
      </w:tblPr>
      <w:tblGrid>
        <w:gridCol w:w="4683"/>
        <w:gridCol w:w="3830"/>
      </w:tblGrid>
      <w:tr w:rsidR="001C4EA4" w:rsidRPr="00CA0785" w14:paraId="4878D15C" w14:textId="77777777" w:rsidTr="000757FF">
        <w:tc>
          <w:tcPr>
            <w:tcW w:w="4683" w:type="dxa"/>
            <w:vAlign w:val="center"/>
          </w:tcPr>
          <w:p w14:paraId="03508D4B" w14:textId="76E495F3" w:rsidR="001C4EA4" w:rsidRPr="00EF3680" w:rsidRDefault="001C4EA4" w:rsidP="000757FF">
            <w:pPr>
              <w:pStyle w:val="Sinespaciado"/>
              <w:spacing w:line="276" w:lineRule="auto"/>
              <w:rPr>
                <w:rFonts w:asciiTheme="majorHAnsi" w:hAnsiTheme="majorHAnsi" w:cs="Tahoma"/>
                <w:sz w:val="24"/>
                <w:szCs w:val="28"/>
              </w:rPr>
            </w:pPr>
            <w:r w:rsidRPr="00EF3680">
              <w:rPr>
                <w:rFonts w:asciiTheme="majorHAnsi" w:hAnsiTheme="majorHAnsi" w:cs="Tahoma"/>
                <w:sz w:val="24"/>
                <w:szCs w:val="28"/>
              </w:rPr>
              <w:t xml:space="preserve">Trabajo fin de </w:t>
            </w:r>
            <w:r w:rsidR="00F843DD">
              <w:rPr>
                <w:rFonts w:asciiTheme="majorHAnsi" w:hAnsiTheme="majorHAnsi" w:cs="Tahoma"/>
                <w:sz w:val="24"/>
                <w:szCs w:val="28"/>
              </w:rPr>
              <w:t>Estudio</w:t>
            </w:r>
            <w:r w:rsidRPr="00EF3680">
              <w:rPr>
                <w:rFonts w:asciiTheme="majorHAnsi" w:hAnsiTheme="majorHAnsi" w:cs="Tahoma"/>
                <w:sz w:val="24"/>
                <w:szCs w:val="28"/>
              </w:rPr>
              <w:t xml:space="preserve"> presentado por:</w:t>
            </w:r>
          </w:p>
        </w:tc>
        <w:tc>
          <w:tcPr>
            <w:tcW w:w="3830" w:type="dxa"/>
            <w:vAlign w:val="center"/>
          </w:tcPr>
          <w:p w14:paraId="44493B68" w14:textId="236D494E" w:rsidR="001C4EA4" w:rsidRPr="00EF3680" w:rsidRDefault="00EA4496" w:rsidP="000757FF">
            <w:pPr>
              <w:pStyle w:val="Sinespaciado"/>
              <w:spacing w:line="276" w:lineRule="auto"/>
              <w:rPr>
                <w:rFonts w:asciiTheme="majorHAnsi" w:hAnsiTheme="majorHAnsi" w:cs="Tahoma"/>
                <w:sz w:val="24"/>
                <w:szCs w:val="28"/>
              </w:rPr>
            </w:pPr>
            <w:r>
              <w:rPr>
                <w:rFonts w:asciiTheme="majorHAnsi" w:hAnsiTheme="majorHAnsi" w:cs="Tahoma"/>
                <w:sz w:val="24"/>
                <w:szCs w:val="28"/>
              </w:rPr>
              <w:t>Verónica Cabeza de Vaca Tocino</w:t>
            </w:r>
          </w:p>
        </w:tc>
      </w:tr>
      <w:tr w:rsidR="0045010B" w:rsidRPr="00CA0785" w14:paraId="16305541" w14:textId="77777777" w:rsidTr="000757FF">
        <w:tc>
          <w:tcPr>
            <w:tcW w:w="4683" w:type="dxa"/>
            <w:vAlign w:val="center"/>
          </w:tcPr>
          <w:p w14:paraId="5E049953" w14:textId="77777777" w:rsidR="0045010B" w:rsidRPr="00EF3680" w:rsidRDefault="0045010B" w:rsidP="0045010B">
            <w:pPr>
              <w:pStyle w:val="Sinespaciado"/>
              <w:spacing w:line="276" w:lineRule="auto"/>
              <w:rPr>
                <w:rFonts w:asciiTheme="majorHAnsi" w:hAnsiTheme="majorHAnsi" w:cs="Tahoma"/>
                <w:sz w:val="24"/>
                <w:szCs w:val="28"/>
              </w:rPr>
            </w:pPr>
            <w:r w:rsidRPr="00EF3680">
              <w:rPr>
                <w:rFonts w:asciiTheme="majorHAnsi" w:hAnsiTheme="majorHAnsi" w:cs="Tahoma"/>
                <w:sz w:val="24"/>
                <w:szCs w:val="28"/>
              </w:rPr>
              <w:t>Tipo de trabajo:</w:t>
            </w:r>
          </w:p>
        </w:tc>
        <w:tc>
          <w:tcPr>
            <w:tcW w:w="3830" w:type="dxa"/>
            <w:vAlign w:val="center"/>
          </w:tcPr>
          <w:p w14:paraId="717AFC5C" w14:textId="28A22F48" w:rsidR="0045010B" w:rsidRPr="00EF3680" w:rsidRDefault="0045010B" w:rsidP="0045010B">
            <w:pPr>
              <w:pStyle w:val="Sinespaciado"/>
              <w:spacing w:line="276" w:lineRule="auto"/>
              <w:rPr>
                <w:rFonts w:asciiTheme="majorHAnsi" w:hAnsiTheme="majorHAnsi" w:cs="Tahoma"/>
                <w:sz w:val="24"/>
                <w:szCs w:val="28"/>
              </w:rPr>
            </w:pPr>
            <w:r>
              <w:rPr>
                <w:rFonts w:asciiTheme="majorHAnsi" w:hAnsiTheme="majorHAnsi" w:cs="Tahoma"/>
                <w:sz w:val="24"/>
                <w:szCs w:val="28"/>
              </w:rPr>
              <w:t>A</w:t>
            </w:r>
            <w:r w:rsidRPr="00EA4496">
              <w:rPr>
                <w:rFonts w:asciiTheme="majorHAnsi" w:hAnsiTheme="majorHAnsi" w:cs="Tahoma"/>
                <w:sz w:val="24"/>
                <w:szCs w:val="28"/>
              </w:rPr>
              <w:t xml:space="preserve">nálisis de </w:t>
            </w:r>
            <w:r>
              <w:rPr>
                <w:rFonts w:asciiTheme="majorHAnsi" w:hAnsiTheme="majorHAnsi" w:cs="Tahoma"/>
                <w:sz w:val="24"/>
                <w:szCs w:val="28"/>
              </w:rPr>
              <w:t>D</w:t>
            </w:r>
            <w:r w:rsidRPr="00EA4496">
              <w:rPr>
                <w:rFonts w:asciiTheme="majorHAnsi" w:hAnsiTheme="majorHAnsi" w:cs="Tahoma"/>
                <w:sz w:val="24"/>
                <w:szCs w:val="28"/>
              </w:rPr>
              <w:t>atos</w:t>
            </w:r>
            <w:r>
              <w:rPr>
                <w:rFonts w:asciiTheme="majorHAnsi" w:hAnsiTheme="majorHAnsi" w:cs="Tahoma"/>
                <w:sz w:val="24"/>
                <w:szCs w:val="28"/>
              </w:rPr>
              <w:t xml:space="preserve"> (Tipo III)</w:t>
            </w:r>
          </w:p>
        </w:tc>
      </w:tr>
      <w:tr w:rsidR="001C4EA4" w:rsidRPr="00CA0785" w14:paraId="41A229E9" w14:textId="77777777" w:rsidTr="000757FF">
        <w:tc>
          <w:tcPr>
            <w:tcW w:w="4683" w:type="dxa"/>
            <w:vAlign w:val="center"/>
          </w:tcPr>
          <w:p w14:paraId="19B201E3" w14:textId="77777777" w:rsidR="001C4EA4" w:rsidRPr="00EF3680" w:rsidRDefault="001C4EA4" w:rsidP="000757FF">
            <w:pPr>
              <w:pStyle w:val="Sinespaciado"/>
              <w:spacing w:line="276" w:lineRule="auto"/>
              <w:rPr>
                <w:rFonts w:asciiTheme="majorHAnsi" w:hAnsiTheme="majorHAnsi" w:cs="Tahoma"/>
                <w:sz w:val="24"/>
                <w:szCs w:val="28"/>
              </w:rPr>
            </w:pPr>
            <w:r w:rsidRPr="00EF3680">
              <w:rPr>
                <w:rFonts w:asciiTheme="majorHAnsi" w:hAnsiTheme="majorHAnsi" w:cs="Tahoma"/>
                <w:sz w:val="24"/>
                <w:szCs w:val="28"/>
              </w:rPr>
              <w:t>Director/a:</w:t>
            </w:r>
          </w:p>
        </w:tc>
        <w:tc>
          <w:tcPr>
            <w:tcW w:w="3830" w:type="dxa"/>
            <w:vAlign w:val="center"/>
          </w:tcPr>
          <w:p w14:paraId="5CFF1A55" w14:textId="1FA45F5E" w:rsidR="001C4EA4" w:rsidRPr="00EA4496" w:rsidRDefault="00EA4496" w:rsidP="000757FF">
            <w:pPr>
              <w:pStyle w:val="Sinespaciado"/>
              <w:spacing w:line="276" w:lineRule="auto"/>
              <w:rPr>
                <w:rFonts w:asciiTheme="majorHAnsi" w:hAnsiTheme="majorHAnsi" w:cs="Tahoma"/>
                <w:szCs w:val="28"/>
              </w:rPr>
            </w:pPr>
            <w:r w:rsidRPr="00EA4496">
              <w:rPr>
                <w:rFonts w:asciiTheme="majorHAnsi" w:hAnsiTheme="majorHAnsi" w:cs="Tahoma"/>
                <w:szCs w:val="28"/>
              </w:rPr>
              <w:t>V</w:t>
            </w:r>
            <w:r>
              <w:rPr>
                <w:rFonts w:asciiTheme="majorHAnsi" w:hAnsiTheme="majorHAnsi" w:cs="Tahoma"/>
                <w:szCs w:val="28"/>
              </w:rPr>
              <w:t>íctor Jesús Fernández Ramírez</w:t>
            </w:r>
          </w:p>
        </w:tc>
      </w:tr>
      <w:tr w:rsidR="001C4EA4" w:rsidRPr="00CA0785" w14:paraId="4E825087" w14:textId="77777777" w:rsidTr="000757FF">
        <w:tc>
          <w:tcPr>
            <w:tcW w:w="4683" w:type="dxa"/>
            <w:vAlign w:val="center"/>
          </w:tcPr>
          <w:p w14:paraId="12742576" w14:textId="77777777" w:rsidR="001C4EA4" w:rsidRPr="00EF3680" w:rsidRDefault="001C4EA4" w:rsidP="000757FF">
            <w:pPr>
              <w:pStyle w:val="Sinespaciado"/>
              <w:spacing w:line="276" w:lineRule="auto"/>
              <w:rPr>
                <w:rFonts w:asciiTheme="majorHAnsi" w:hAnsiTheme="majorHAnsi" w:cs="Tahoma"/>
                <w:sz w:val="24"/>
                <w:szCs w:val="28"/>
              </w:rPr>
            </w:pPr>
            <w:r w:rsidRPr="00EF3680">
              <w:rPr>
                <w:rFonts w:asciiTheme="majorHAnsi" w:hAnsiTheme="majorHAnsi" w:cs="Tahoma"/>
                <w:sz w:val="24"/>
                <w:szCs w:val="28"/>
              </w:rPr>
              <w:t>Fecha:</w:t>
            </w:r>
          </w:p>
        </w:tc>
        <w:tc>
          <w:tcPr>
            <w:tcW w:w="3830" w:type="dxa"/>
            <w:vAlign w:val="center"/>
          </w:tcPr>
          <w:p w14:paraId="0CCDCEC7" w14:textId="32B0C362" w:rsidR="001C4EA4" w:rsidRPr="00EF3680" w:rsidRDefault="009272E4" w:rsidP="000757FF">
            <w:pPr>
              <w:pStyle w:val="Sinespaciado"/>
              <w:spacing w:line="276" w:lineRule="auto"/>
              <w:rPr>
                <w:rFonts w:asciiTheme="majorHAnsi" w:hAnsiTheme="majorHAnsi" w:cs="Tahoma"/>
                <w:sz w:val="24"/>
                <w:szCs w:val="28"/>
              </w:rPr>
            </w:pPr>
            <w:r>
              <w:rPr>
                <w:rFonts w:asciiTheme="majorHAnsi" w:hAnsiTheme="majorHAnsi" w:cs="Tahoma"/>
                <w:sz w:val="24"/>
                <w:szCs w:val="28"/>
              </w:rPr>
              <w:t>31/08/2026</w:t>
            </w:r>
          </w:p>
        </w:tc>
      </w:tr>
    </w:tbl>
    <w:p w14:paraId="5A1FFC3E" w14:textId="7FC13AA7" w:rsidR="008544B8" w:rsidRDefault="008544B8" w:rsidP="006403BD">
      <w:pPr>
        <w:pStyle w:val="Ttulondices"/>
      </w:pPr>
      <w:r w:rsidRPr="00034DA4">
        <w:rPr>
          <w:szCs w:val="22"/>
        </w:rPr>
        <w:br w:type="page"/>
      </w:r>
      <w:r w:rsidR="00D92F3B">
        <w:lastRenderedPageBreak/>
        <w:t xml:space="preserve">Resumen </w:t>
      </w:r>
    </w:p>
    <w:p w14:paraId="47605D3F" w14:textId="4FB5C5E4" w:rsidR="00B649D0" w:rsidRDefault="00B649D0" w:rsidP="00B649D0">
      <w:pPr>
        <w:rPr>
          <w:lang w:eastAsia="en-US"/>
        </w:rPr>
      </w:pPr>
      <w:r w:rsidRPr="00B649D0">
        <w:rPr>
          <w:lang w:eastAsia="en-US"/>
        </w:rPr>
        <w:t xml:space="preserve">El adenocarcinoma colorrectal (CRC) presenta una marcada heterogeneidad molecular que dificulta la identificación de biomarcadores universales. El objetivo principal de este trabajo es caracterizar el perfil transcriptómico transversal del CRC mediante la integración de datos de dominio público para delimitar una firma molecular consenso robusta y reproducible. Se implementa un flujo de trabajo bioinformático en R utilizando el paquete </w:t>
      </w:r>
      <w:r w:rsidRPr="00B649D0">
        <w:rPr>
          <w:i/>
          <w:iCs/>
          <w:lang w:eastAsia="en-US"/>
        </w:rPr>
        <w:t>DESeq2</w:t>
      </w:r>
      <w:r w:rsidRPr="00B649D0">
        <w:rPr>
          <w:lang w:eastAsia="en-US"/>
        </w:rPr>
        <w:t xml:space="preserve"> con modelado binomial negativo y contracción de LFC (</w:t>
      </w:r>
      <w:proofErr w:type="spellStart"/>
      <w:r w:rsidRPr="00B649D0">
        <w:rPr>
          <w:i/>
          <w:iCs/>
          <w:lang w:eastAsia="en-US"/>
        </w:rPr>
        <w:t>apeglm</w:t>
      </w:r>
      <w:proofErr w:type="spellEnd"/>
      <w:r w:rsidRPr="00B649D0">
        <w:rPr>
          <w:lang w:eastAsia="en-US"/>
        </w:rPr>
        <w:t xml:space="preserve">) sobre seis cohortes independientes de </w:t>
      </w:r>
      <w:proofErr w:type="spellStart"/>
      <w:r w:rsidRPr="00B649D0">
        <w:rPr>
          <w:i/>
          <w:iCs/>
          <w:lang w:eastAsia="en-US"/>
        </w:rPr>
        <w:t>bulk</w:t>
      </w:r>
      <w:proofErr w:type="spellEnd"/>
      <w:r w:rsidRPr="00B649D0">
        <w:rPr>
          <w:lang w:eastAsia="en-US"/>
        </w:rPr>
        <w:t xml:space="preserve"> RNA-</w:t>
      </w:r>
      <w:proofErr w:type="spellStart"/>
      <w:r w:rsidRPr="00B649D0">
        <w:rPr>
          <w:lang w:eastAsia="en-US"/>
        </w:rPr>
        <w:t>seq</w:t>
      </w:r>
      <w:proofErr w:type="spellEnd"/>
      <w:r w:rsidRPr="00B649D0">
        <w:rPr>
          <w:lang w:eastAsia="en-US"/>
        </w:rPr>
        <w:t xml:space="preserve"> (cinco de GEO y </w:t>
      </w:r>
      <w:r w:rsidR="009C142B">
        <w:rPr>
          <w:lang w:eastAsia="en-US"/>
        </w:rPr>
        <w:t xml:space="preserve">una de </w:t>
      </w:r>
      <w:r w:rsidRPr="00B649D0">
        <w:rPr>
          <w:lang w:eastAsia="en-US"/>
        </w:rPr>
        <w:t xml:space="preserve">TCGA-COAD; </w:t>
      </w:r>
      <w:r w:rsidR="009C142B">
        <w:rPr>
          <w:i/>
          <w:iCs/>
          <w:lang w:eastAsia="en-US"/>
        </w:rPr>
        <w:t>N</w:t>
      </w:r>
      <w:r w:rsidRPr="00B649D0">
        <w:rPr>
          <w:lang w:eastAsia="en-US"/>
        </w:rPr>
        <w:t xml:space="preserve"> = 715 muestras). Para evitar el efecto lote (</w:t>
      </w:r>
      <w:proofErr w:type="spellStart"/>
      <w:r w:rsidRPr="00B649D0">
        <w:rPr>
          <w:i/>
          <w:iCs/>
          <w:lang w:eastAsia="en-US"/>
        </w:rPr>
        <w:t>batch</w:t>
      </w:r>
      <w:proofErr w:type="spellEnd"/>
      <w:r w:rsidRPr="00B649D0">
        <w:rPr>
          <w:i/>
          <w:iCs/>
          <w:lang w:eastAsia="en-US"/>
        </w:rPr>
        <w:t xml:space="preserve"> </w:t>
      </w:r>
      <w:proofErr w:type="spellStart"/>
      <w:r w:rsidRPr="00B649D0">
        <w:rPr>
          <w:i/>
          <w:iCs/>
          <w:lang w:eastAsia="en-US"/>
        </w:rPr>
        <w:t>effect</w:t>
      </w:r>
      <w:proofErr w:type="spellEnd"/>
      <w:r w:rsidRPr="00B649D0">
        <w:rPr>
          <w:lang w:eastAsia="en-US"/>
        </w:rPr>
        <w:t xml:space="preserve">), se aplica un modelado independiente seguido de una estrategia de </w:t>
      </w:r>
      <w:proofErr w:type="gramStart"/>
      <w:r w:rsidRPr="00B649D0">
        <w:rPr>
          <w:lang w:eastAsia="en-US"/>
        </w:rPr>
        <w:t>meta-análisis</w:t>
      </w:r>
      <w:proofErr w:type="gramEnd"/>
      <w:r w:rsidRPr="00B649D0">
        <w:rPr>
          <w:lang w:eastAsia="en-US"/>
        </w:rPr>
        <w:t xml:space="preserve"> por intersección estricta y enriquecimiento funcional (GO y KEGG) con </w:t>
      </w:r>
      <w:proofErr w:type="spellStart"/>
      <w:r w:rsidRPr="00B649D0">
        <w:rPr>
          <w:i/>
          <w:iCs/>
          <w:lang w:eastAsia="en-US"/>
        </w:rPr>
        <w:t>clusterProfiler</w:t>
      </w:r>
      <w:proofErr w:type="spellEnd"/>
      <w:r w:rsidRPr="00B649D0">
        <w:rPr>
          <w:lang w:eastAsia="en-US"/>
        </w:rPr>
        <w:t xml:space="preserve">. Se identifica una firma consenso de 325 genes </w:t>
      </w:r>
      <w:r w:rsidR="009272E4">
        <w:rPr>
          <w:lang w:eastAsia="en-US"/>
        </w:rPr>
        <w:t>diferencialmente expresados</w:t>
      </w:r>
      <w:r w:rsidRPr="00B649D0">
        <w:rPr>
          <w:lang w:eastAsia="en-US"/>
        </w:rPr>
        <w:t xml:space="preserve"> en la totalidad de las cohortes (155 sobreexpresados y 170 subexpresados). El eje de </w:t>
      </w:r>
      <w:r w:rsidRPr="009C142B">
        <w:rPr>
          <w:lang w:eastAsia="en-US"/>
        </w:rPr>
        <w:t xml:space="preserve">activación funcional revela procesos de remodelado de la matriz extracelular, activación estromal (COL11A1, FAP, MMP7, CEMIP) y respuesta a la hipoxia. En contraste, el eje de represión refleja una marcada desdiferenciación celular caracterizada por la pérdida de la función </w:t>
      </w:r>
      <w:proofErr w:type="spellStart"/>
      <w:r w:rsidRPr="009C142B">
        <w:rPr>
          <w:lang w:eastAsia="en-US"/>
        </w:rPr>
        <w:t>absortiva</w:t>
      </w:r>
      <w:proofErr w:type="spellEnd"/>
      <w:r w:rsidRPr="009C142B">
        <w:rPr>
          <w:lang w:eastAsia="en-US"/>
        </w:rPr>
        <w:t xml:space="preserve"> e hidroelectrolítica (GUCA2A, GUCA2B, CA7, BEST4), </w:t>
      </w:r>
      <w:r w:rsidR="002C7241" w:rsidRPr="002C7241">
        <w:rPr>
          <w:lang w:eastAsia="en-US"/>
        </w:rPr>
        <w:t xml:space="preserve">el colapso del sistema de </w:t>
      </w:r>
      <w:proofErr w:type="spellStart"/>
      <w:r w:rsidR="002C7241" w:rsidRPr="002C7241">
        <w:rPr>
          <w:lang w:eastAsia="en-US"/>
        </w:rPr>
        <w:t>metalotioneínas</w:t>
      </w:r>
      <w:proofErr w:type="spellEnd"/>
      <w:r w:rsidR="002C7241" w:rsidRPr="002C7241">
        <w:rPr>
          <w:lang w:eastAsia="en-US"/>
        </w:rPr>
        <w:t xml:space="preserve"> (MT1E/F/G/H/M)</w:t>
      </w:r>
      <w:r w:rsidR="002C7241">
        <w:rPr>
          <w:b/>
          <w:bCs/>
          <w:lang w:eastAsia="en-US"/>
        </w:rPr>
        <w:t xml:space="preserve"> </w:t>
      </w:r>
      <w:r w:rsidRPr="00B649D0">
        <w:rPr>
          <w:lang w:eastAsia="en-US"/>
        </w:rPr>
        <w:t xml:space="preserve">y la </w:t>
      </w:r>
      <w:r w:rsidR="009C142B" w:rsidRPr="009C142B">
        <w:rPr>
          <w:lang w:eastAsia="en-US"/>
        </w:rPr>
        <w:t>subexpresión del supresor SFRP1</w:t>
      </w:r>
      <w:r w:rsidRPr="00B649D0">
        <w:rPr>
          <w:lang w:eastAsia="en-US"/>
        </w:rPr>
        <w:t xml:space="preserve">. En conclusión, la integración </w:t>
      </w:r>
      <w:proofErr w:type="spellStart"/>
      <w:r w:rsidRPr="00B649D0">
        <w:rPr>
          <w:lang w:eastAsia="en-US"/>
        </w:rPr>
        <w:t>multicohorte</w:t>
      </w:r>
      <w:proofErr w:type="spellEnd"/>
      <w:r w:rsidRPr="00B649D0">
        <w:rPr>
          <w:lang w:eastAsia="en-US"/>
        </w:rPr>
        <w:t xml:space="preserve"> por intersección aísla un núcleo transcriptómico universal e independiente de la heterogeneidad clínica, aportando biomarcadores candidatos sólidos con potencial traslacional para el diagnóstico no invasivo y el desarrollo de terapias dirigidas.</w:t>
      </w:r>
    </w:p>
    <w:p w14:paraId="51D7CC07" w14:textId="77777777" w:rsidR="00B649D0" w:rsidRPr="00B649D0" w:rsidRDefault="00B649D0" w:rsidP="00B649D0">
      <w:pPr>
        <w:rPr>
          <w:lang w:eastAsia="en-US"/>
        </w:rPr>
      </w:pPr>
    </w:p>
    <w:p w14:paraId="08B78616" w14:textId="74244C4D" w:rsidR="008544B8" w:rsidRDefault="00B649D0" w:rsidP="006403BD">
      <w:pPr>
        <w:rPr>
          <w:lang w:eastAsia="en-US"/>
        </w:rPr>
      </w:pPr>
      <w:r w:rsidRPr="00B649D0">
        <w:rPr>
          <w:b/>
          <w:bCs/>
          <w:lang w:eastAsia="en-US"/>
        </w:rPr>
        <w:t>Palabras clave:</w:t>
      </w:r>
      <w:r w:rsidRPr="00B649D0">
        <w:rPr>
          <w:lang w:eastAsia="en-US"/>
        </w:rPr>
        <w:t xml:space="preserve"> Adenocarcinoma colorrectal, Transcriptómica, Expresión diferencial, RNA-</w:t>
      </w:r>
      <w:proofErr w:type="spellStart"/>
      <w:r w:rsidRPr="00B649D0">
        <w:rPr>
          <w:lang w:eastAsia="en-US"/>
        </w:rPr>
        <w:t>seq</w:t>
      </w:r>
      <w:proofErr w:type="spellEnd"/>
      <w:r w:rsidRPr="00B649D0">
        <w:rPr>
          <w:lang w:eastAsia="en-US"/>
        </w:rPr>
        <w:t>, Biomarcadores.</w:t>
      </w:r>
    </w:p>
    <w:p w14:paraId="5371A435" w14:textId="77777777" w:rsidR="002B3E99" w:rsidRPr="00727AE8" w:rsidRDefault="002B3E99" w:rsidP="006403BD">
      <w:pPr>
        <w:rPr>
          <w:lang w:eastAsia="en-US"/>
        </w:rPr>
      </w:pPr>
    </w:p>
    <w:p w14:paraId="2829BB68" w14:textId="77777777" w:rsidR="00D92F3B" w:rsidRDefault="00D92F3B">
      <w:pPr>
        <w:spacing w:before="0" w:after="0" w:line="240" w:lineRule="auto"/>
        <w:jc w:val="left"/>
        <w:rPr>
          <w:lang w:eastAsia="en-US"/>
        </w:rPr>
      </w:pPr>
      <w:bookmarkStart w:id="0" w:name="_Toc437509152"/>
      <w:r>
        <w:rPr>
          <w:lang w:eastAsia="en-US"/>
        </w:rPr>
        <w:br w:type="page"/>
      </w:r>
    </w:p>
    <w:p w14:paraId="669DBB93" w14:textId="77777777" w:rsidR="00D92F3B" w:rsidRDefault="00D92F3B" w:rsidP="00D92F3B">
      <w:pPr>
        <w:pStyle w:val="Ttulondices"/>
      </w:pPr>
      <w:proofErr w:type="spellStart"/>
      <w:r>
        <w:lastRenderedPageBreak/>
        <w:t>Abstract</w:t>
      </w:r>
      <w:proofErr w:type="spellEnd"/>
    </w:p>
    <w:p w14:paraId="05623EEA" w14:textId="2703F6C9" w:rsidR="009C142B" w:rsidRPr="009C142B" w:rsidRDefault="009C142B" w:rsidP="009C142B">
      <w:proofErr w:type="spellStart"/>
      <w:r w:rsidRPr="009C142B">
        <w:t>Colorectal</w:t>
      </w:r>
      <w:proofErr w:type="spellEnd"/>
      <w:r w:rsidRPr="009C142B">
        <w:t xml:space="preserve"> adenocarcinoma (CRC) </w:t>
      </w:r>
      <w:proofErr w:type="spellStart"/>
      <w:r w:rsidRPr="009C142B">
        <w:t>exhibits</w:t>
      </w:r>
      <w:proofErr w:type="spellEnd"/>
      <w:r w:rsidRPr="009C142B">
        <w:t xml:space="preserve"> </w:t>
      </w:r>
      <w:proofErr w:type="spellStart"/>
      <w:r w:rsidRPr="009C142B">
        <w:t>marked</w:t>
      </w:r>
      <w:proofErr w:type="spellEnd"/>
      <w:r w:rsidRPr="009C142B">
        <w:t xml:space="preserve"> molecular </w:t>
      </w:r>
      <w:proofErr w:type="spellStart"/>
      <w:r w:rsidRPr="009C142B">
        <w:t>heterogeneity</w:t>
      </w:r>
      <w:proofErr w:type="spellEnd"/>
      <w:r w:rsidRPr="009C142B">
        <w:t xml:space="preserve">, </w:t>
      </w:r>
      <w:proofErr w:type="spellStart"/>
      <w:r w:rsidR="002C7241">
        <w:t>challenging</w:t>
      </w:r>
      <w:proofErr w:type="spellEnd"/>
      <w:r w:rsidRPr="009C142B">
        <w:t xml:space="preserve"> </w:t>
      </w:r>
      <w:proofErr w:type="spellStart"/>
      <w:r w:rsidRPr="009C142B">
        <w:t>the</w:t>
      </w:r>
      <w:proofErr w:type="spellEnd"/>
      <w:r w:rsidRPr="009C142B">
        <w:t xml:space="preserve"> </w:t>
      </w:r>
      <w:proofErr w:type="spellStart"/>
      <w:r w:rsidRPr="009C142B">
        <w:t>identification</w:t>
      </w:r>
      <w:proofErr w:type="spellEnd"/>
      <w:r w:rsidRPr="009C142B">
        <w:t xml:space="preserve"> </w:t>
      </w:r>
      <w:proofErr w:type="spellStart"/>
      <w:r w:rsidRPr="009C142B">
        <w:t>of</w:t>
      </w:r>
      <w:proofErr w:type="spellEnd"/>
      <w:r w:rsidRPr="009C142B">
        <w:t xml:space="preserve"> universal </w:t>
      </w:r>
      <w:proofErr w:type="spellStart"/>
      <w:r w:rsidRPr="009C142B">
        <w:t>biomarkers</w:t>
      </w:r>
      <w:proofErr w:type="spellEnd"/>
      <w:r w:rsidRPr="009C142B">
        <w:t xml:space="preserve">. The </w:t>
      </w:r>
      <w:proofErr w:type="spellStart"/>
      <w:r w:rsidRPr="009C142B">
        <w:t>main</w:t>
      </w:r>
      <w:proofErr w:type="spellEnd"/>
      <w:r w:rsidRPr="009C142B">
        <w:t xml:space="preserve"> </w:t>
      </w:r>
      <w:proofErr w:type="spellStart"/>
      <w:r w:rsidRPr="009C142B">
        <w:t>objective</w:t>
      </w:r>
      <w:proofErr w:type="spellEnd"/>
      <w:r w:rsidRPr="009C142B">
        <w:t xml:space="preserve"> </w:t>
      </w:r>
      <w:proofErr w:type="spellStart"/>
      <w:r w:rsidRPr="009C142B">
        <w:t>of</w:t>
      </w:r>
      <w:proofErr w:type="spellEnd"/>
      <w:r w:rsidRPr="009C142B">
        <w:t xml:space="preserve"> </w:t>
      </w:r>
      <w:proofErr w:type="spellStart"/>
      <w:r w:rsidRPr="009C142B">
        <w:t>this</w:t>
      </w:r>
      <w:proofErr w:type="spellEnd"/>
      <w:r w:rsidRPr="009C142B">
        <w:t xml:space="preserve"> </w:t>
      </w:r>
      <w:proofErr w:type="spellStart"/>
      <w:r w:rsidRPr="009C142B">
        <w:t>study</w:t>
      </w:r>
      <w:proofErr w:type="spellEnd"/>
      <w:r w:rsidRPr="009C142B">
        <w:t xml:space="preserve"> </w:t>
      </w:r>
      <w:proofErr w:type="spellStart"/>
      <w:r w:rsidRPr="009C142B">
        <w:t>is</w:t>
      </w:r>
      <w:proofErr w:type="spellEnd"/>
      <w:r w:rsidRPr="009C142B">
        <w:t xml:space="preserve"> </w:t>
      </w:r>
      <w:proofErr w:type="spellStart"/>
      <w:r w:rsidRPr="009C142B">
        <w:t>to</w:t>
      </w:r>
      <w:proofErr w:type="spellEnd"/>
      <w:r w:rsidRPr="009C142B">
        <w:t xml:space="preserve"> </w:t>
      </w:r>
      <w:proofErr w:type="spellStart"/>
      <w:r w:rsidRPr="009C142B">
        <w:t>characterize</w:t>
      </w:r>
      <w:proofErr w:type="spellEnd"/>
      <w:r w:rsidRPr="009C142B">
        <w:t xml:space="preserve"> </w:t>
      </w:r>
      <w:proofErr w:type="spellStart"/>
      <w:r w:rsidRPr="009C142B">
        <w:t>the</w:t>
      </w:r>
      <w:proofErr w:type="spellEnd"/>
      <w:r w:rsidRPr="009C142B">
        <w:t xml:space="preserve"> </w:t>
      </w:r>
      <w:proofErr w:type="spellStart"/>
      <w:r w:rsidRPr="009C142B">
        <w:t>core</w:t>
      </w:r>
      <w:proofErr w:type="spellEnd"/>
      <w:r w:rsidRPr="009C142B">
        <w:t xml:space="preserve"> </w:t>
      </w:r>
      <w:proofErr w:type="spellStart"/>
      <w:r w:rsidRPr="009C142B">
        <w:t>transcriptomic</w:t>
      </w:r>
      <w:proofErr w:type="spellEnd"/>
      <w:r w:rsidRPr="009C142B">
        <w:t xml:space="preserve"> </w:t>
      </w:r>
      <w:proofErr w:type="spellStart"/>
      <w:r w:rsidRPr="009C142B">
        <w:t>profile</w:t>
      </w:r>
      <w:proofErr w:type="spellEnd"/>
      <w:r w:rsidRPr="009C142B">
        <w:t xml:space="preserve"> </w:t>
      </w:r>
      <w:proofErr w:type="spellStart"/>
      <w:r w:rsidRPr="009C142B">
        <w:t>of</w:t>
      </w:r>
      <w:proofErr w:type="spellEnd"/>
      <w:r w:rsidRPr="009C142B">
        <w:t xml:space="preserve"> CRC </w:t>
      </w:r>
      <w:proofErr w:type="spellStart"/>
      <w:r w:rsidRPr="009C142B">
        <w:t>by</w:t>
      </w:r>
      <w:proofErr w:type="spellEnd"/>
      <w:r w:rsidRPr="009C142B">
        <w:t xml:space="preserve"> </w:t>
      </w:r>
      <w:proofErr w:type="spellStart"/>
      <w:r w:rsidRPr="009C142B">
        <w:t>integrating</w:t>
      </w:r>
      <w:proofErr w:type="spellEnd"/>
      <w:r w:rsidRPr="009C142B">
        <w:t xml:space="preserve"> </w:t>
      </w:r>
      <w:proofErr w:type="spellStart"/>
      <w:r w:rsidRPr="009C142B">
        <w:t>public</w:t>
      </w:r>
      <w:proofErr w:type="spellEnd"/>
      <w:r w:rsidRPr="009C142B">
        <w:t xml:space="preserve"> </w:t>
      </w:r>
      <w:proofErr w:type="spellStart"/>
      <w:r w:rsidRPr="009C142B">
        <w:t>domain</w:t>
      </w:r>
      <w:proofErr w:type="spellEnd"/>
      <w:r w:rsidRPr="009C142B">
        <w:t xml:space="preserve"> datasets </w:t>
      </w:r>
      <w:proofErr w:type="spellStart"/>
      <w:r w:rsidRPr="009C142B">
        <w:t>to</w:t>
      </w:r>
      <w:proofErr w:type="spellEnd"/>
      <w:r w:rsidRPr="009C142B">
        <w:t xml:space="preserve"> define a </w:t>
      </w:r>
      <w:proofErr w:type="spellStart"/>
      <w:r w:rsidRPr="009C142B">
        <w:t>highly</w:t>
      </w:r>
      <w:proofErr w:type="spellEnd"/>
      <w:r w:rsidRPr="009C142B">
        <w:t xml:space="preserve"> reproducible </w:t>
      </w:r>
      <w:proofErr w:type="spellStart"/>
      <w:r w:rsidRPr="009C142B">
        <w:t>consensus</w:t>
      </w:r>
      <w:proofErr w:type="spellEnd"/>
      <w:r w:rsidRPr="009C142B">
        <w:t xml:space="preserve"> gene </w:t>
      </w:r>
      <w:proofErr w:type="spellStart"/>
      <w:r w:rsidRPr="009C142B">
        <w:t>signature</w:t>
      </w:r>
      <w:proofErr w:type="spellEnd"/>
      <w:r w:rsidRPr="009C142B">
        <w:t xml:space="preserve">. A </w:t>
      </w:r>
      <w:proofErr w:type="spellStart"/>
      <w:r w:rsidRPr="009C142B">
        <w:t>standardized</w:t>
      </w:r>
      <w:proofErr w:type="spellEnd"/>
      <w:r w:rsidRPr="009C142B">
        <w:t xml:space="preserve"> </w:t>
      </w:r>
      <w:proofErr w:type="spellStart"/>
      <w:r w:rsidRPr="009C142B">
        <w:t>bioinformatics</w:t>
      </w:r>
      <w:proofErr w:type="spellEnd"/>
      <w:r w:rsidRPr="009C142B">
        <w:t xml:space="preserve"> </w:t>
      </w:r>
      <w:proofErr w:type="spellStart"/>
      <w:r w:rsidRPr="009C142B">
        <w:t>workflow</w:t>
      </w:r>
      <w:proofErr w:type="spellEnd"/>
      <w:r w:rsidRPr="009C142B">
        <w:t xml:space="preserve"> </w:t>
      </w:r>
      <w:proofErr w:type="spellStart"/>
      <w:r w:rsidRPr="009C142B">
        <w:t>is</w:t>
      </w:r>
      <w:proofErr w:type="spellEnd"/>
      <w:r w:rsidRPr="009C142B">
        <w:t xml:space="preserve"> </w:t>
      </w:r>
      <w:proofErr w:type="spellStart"/>
      <w:r w:rsidRPr="009C142B">
        <w:t>implemented</w:t>
      </w:r>
      <w:proofErr w:type="spellEnd"/>
      <w:r w:rsidRPr="009C142B">
        <w:t xml:space="preserve"> in R </w:t>
      </w:r>
      <w:proofErr w:type="spellStart"/>
      <w:r w:rsidRPr="009C142B">
        <w:t>using</w:t>
      </w:r>
      <w:proofErr w:type="spellEnd"/>
      <w:r w:rsidRPr="009C142B">
        <w:t xml:space="preserve"> </w:t>
      </w:r>
      <w:r w:rsidRPr="009C142B">
        <w:rPr>
          <w:i/>
          <w:iCs/>
        </w:rPr>
        <w:t>DESeq2</w:t>
      </w:r>
      <w:r w:rsidRPr="009C142B">
        <w:t xml:space="preserve"> </w:t>
      </w:r>
      <w:proofErr w:type="spellStart"/>
      <w:r w:rsidRPr="009C142B">
        <w:t>with</w:t>
      </w:r>
      <w:proofErr w:type="spellEnd"/>
      <w:r w:rsidRPr="009C142B">
        <w:t xml:space="preserve"> negative binomial </w:t>
      </w:r>
      <w:proofErr w:type="spellStart"/>
      <w:r w:rsidRPr="009C142B">
        <w:t>modeling</w:t>
      </w:r>
      <w:proofErr w:type="spellEnd"/>
      <w:r w:rsidRPr="009C142B">
        <w:t xml:space="preserve"> and LFC </w:t>
      </w:r>
      <w:proofErr w:type="spellStart"/>
      <w:r w:rsidRPr="009C142B">
        <w:t>shrinkage</w:t>
      </w:r>
      <w:proofErr w:type="spellEnd"/>
      <w:r w:rsidRPr="009C142B">
        <w:t xml:space="preserve"> (</w:t>
      </w:r>
      <w:proofErr w:type="spellStart"/>
      <w:r w:rsidRPr="009C142B">
        <w:rPr>
          <w:i/>
          <w:iCs/>
        </w:rPr>
        <w:t>apeglm</w:t>
      </w:r>
      <w:proofErr w:type="spellEnd"/>
      <w:r w:rsidRPr="009C142B">
        <w:t xml:space="preserve">) </w:t>
      </w:r>
      <w:proofErr w:type="spellStart"/>
      <w:r w:rsidRPr="009C142B">
        <w:t>across</w:t>
      </w:r>
      <w:proofErr w:type="spellEnd"/>
      <w:r w:rsidRPr="009C142B">
        <w:t xml:space="preserve"> </w:t>
      </w:r>
      <w:proofErr w:type="spellStart"/>
      <w:r w:rsidRPr="009C142B">
        <w:t>six</w:t>
      </w:r>
      <w:proofErr w:type="spellEnd"/>
      <w:r w:rsidRPr="009C142B">
        <w:t xml:space="preserve"> </w:t>
      </w:r>
      <w:proofErr w:type="spellStart"/>
      <w:r w:rsidRPr="009C142B">
        <w:t>independent</w:t>
      </w:r>
      <w:proofErr w:type="spellEnd"/>
      <w:r w:rsidRPr="009C142B">
        <w:t xml:space="preserve"> </w:t>
      </w:r>
      <w:proofErr w:type="spellStart"/>
      <w:r w:rsidRPr="009C142B">
        <w:t>bulk</w:t>
      </w:r>
      <w:proofErr w:type="spellEnd"/>
      <w:r w:rsidRPr="009C142B">
        <w:t xml:space="preserve"> RNA-</w:t>
      </w:r>
      <w:proofErr w:type="spellStart"/>
      <w:r w:rsidRPr="009C142B">
        <w:t>seq</w:t>
      </w:r>
      <w:proofErr w:type="spellEnd"/>
      <w:r w:rsidRPr="009C142B">
        <w:t xml:space="preserve"> </w:t>
      </w:r>
      <w:proofErr w:type="spellStart"/>
      <w:r w:rsidRPr="009C142B">
        <w:t>cohorts</w:t>
      </w:r>
      <w:proofErr w:type="spellEnd"/>
      <w:r w:rsidRPr="009C142B">
        <w:t xml:space="preserve"> (</w:t>
      </w:r>
      <w:proofErr w:type="spellStart"/>
      <w:r w:rsidRPr="009C142B">
        <w:t>five</w:t>
      </w:r>
      <w:proofErr w:type="spellEnd"/>
      <w:r w:rsidRPr="009C142B">
        <w:t xml:space="preserve"> </w:t>
      </w:r>
      <w:proofErr w:type="spellStart"/>
      <w:r w:rsidRPr="009C142B">
        <w:t>from</w:t>
      </w:r>
      <w:proofErr w:type="spellEnd"/>
      <w:r w:rsidRPr="009C142B">
        <w:t xml:space="preserve"> GEO and </w:t>
      </w:r>
      <w:r>
        <w:t xml:space="preserve">one </w:t>
      </w:r>
      <w:proofErr w:type="spellStart"/>
      <w:r>
        <w:t>from</w:t>
      </w:r>
      <w:proofErr w:type="spellEnd"/>
      <w:r>
        <w:t xml:space="preserve"> </w:t>
      </w:r>
      <w:r w:rsidRPr="009C142B">
        <w:t xml:space="preserve">TCGA-COAD; </w:t>
      </w:r>
      <w:r>
        <w:rPr>
          <w:i/>
          <w:iCs/>
        </w:rPr>
        <w:t>N</w:t>
      </w:r>
      <w:r w:rsidRPr="009C142B">
        <w:t xml:space="preserve"> = 715 </w:t>
      </w:r>
      <w:proofErr w:type="spellStart"/>
      <w:r w:rsidRPr="009C142B">
        <w:t>samples</w:t>
      </w:r>
      <w:proofErr w:type="spellEnd"/>
      <w:r w:rsidRPr="009C142B">
        <w:t xml:space="preserve">). </w:t>
      </w:r>
      <w:proofErr w:type="spellStart"/>
      <w:r w:rsidRPr="009C142B">
        <w:t>To</w:t>
      </w:r>
      <w:proofErr w:type="spellEnd"/>
      <w:r w:rsidRPr="009C142B">
        <w:t xml:space="preserve"> </w:t>
      </w:r>
      <w:proofErr w:type="spellStart"/>
      <w:r w:rsidRPr="009C142B">
        <w:t>prevent</w:t>
      </w:r>
      <w:proofErr w:type="spellEnd"/>
      <w:r w:rsidRPr="009C142B">
        <w:t xml:space="preserve"> </w:t>
      </w:r>
      <w:proofErr w:type="spellStart"/>
      <w:r w:rsidRPr="009C142B">
        <w:t>batch</w:t>
      </w:r>
      <w:proofErr w:type="spellEnd"/>
      <w:r w:rsidRPr="009C142B">
        <w:t xml:space="preserve"> </w:t>
      </w:r>
      <w:proofErr w:type="spellStart"/>
      <w:r w:rsidRPr="009C142B">
        <w:t>effects</w:t>
      </w:r>
      <w:proofErr w:type="spellEnd"/>
      <w:r w:rsidRPr="009C142B">
        <w:t xml:space="preserve">, </w:t>
      </w:r>
      <w:proofErr w:type="spellStart"/>
      <w:r w:rsidRPr="009C142B">
        <w:t>an</w:t>
      </w:r>
      <w:proofErr w:type="spellEnd"/>
      <w:r w:rsidRPr="009C142B">
        <w:t xml:space="preserve"> </w:t>
      </w:r>
      <w:proofErr w:type="spellStart"/>
      <w:r w:rsidRPr="009C142B">
        <w:t>independent</w:t>
      </w:r>
      <w:proofErr w:type="spellEnd"/>
      <w:r w:rsidRPr="009C142B">
        <w:t xml:space="preserve"> </w:t>
      </w:r>
      <w:proofErr w:type="spellStart"/>
      <w:r w:rsidRPr="009C142B">
        <w:t>modeling</w:t>
      </w:r>
      <w:proofErr w:type="spellEnd"/>
      <w:r w:rsidRPr="009C142B">
        <w:t xml:space="preserve"> </w:t>
      </w:r>
      <w:proofErr w:type="spellStart"/>
      <w:r w:rsidRPr="009C142B">
        <w:t>strategy</w:t>
      </w:r>
      <w:proofErr w:type="spellEnd"/>
      <w:r w:rsidRPr="009C142B">
        <w:t xml:space="preserve"> </w:t>
      </w:r>
      <w:proofErr w:type="spellStart"/>
      <w:r w:rsidRPr="009C142B">
        <w:t>followed</w:t>
      </w:r>
      <w:proofErr w:type="spellEnd"/>
      <w:r w:rsidRPr="009C142B">
        <w:t xml:space="preserve"> </w:t>
      </w:r>
      <w:proofErr w:type="spellStart"/>
      <w:r w:rsidRPr="009C142B">
        <w:t>by</w:t>
      </w:r>
      <w:proofErr w:type="spellEnd"/>
      <w:r w:rsidRPr="009C142B">
        <w:t xml:space="preserve"> </w:t>
      </w:r>
      <w:proofErr w:type="spellStart"/>
      <w:r w:rsidRPr="009C142B">
        <w:t>strict</w:t>
      </w:r>
      <w:proofErr w:type="spellEnd"/>
      <w:r w:rsidRPr="009C142B">
        <w:t xml:space="preserve"> </w:t>
      </w:r>
      <w:proofErr w:type="spellStart"/>
      <w:r w:rsidRPr="009C142B">
        <w:t>intersection</w:t>
      </w:r>
      <w:proofErr w:type="spellEnd"/>
      <w:r w:rsidRPr="009C142B">
        <w:t xml:space="preserve"> and </w:t>
      </w:r>
      <w:proofErr w:type="spellStart"/>
      <w:r w:rsidRPr="009C142B">
        <w:t>functional</w:t>
      </w:r>
      <w:proofErr w:type="spellEnd"/>
      <w:r w:rsidRPr="009C142B">
        <w:t xml:space="preserve"> </w:t>
      </w:r>
      <w:proofErr w:type="spellStart"/>
      <w:r w:rsidRPr="009C142B">
        <w:t>enrichment</w:t>
      </w:r>
      <w:proofErr w:type="spellEnd"/>
      <w:r w:rsidRPr="009C142B">
        <w:t xml:space="preserve"> </w:t>
      </w:r>
      <w:proofErr w:type="spellStart"/>
      <w:r w:rsidRPr="009C142B">
        <w:t>analysis</w:t>
      </w:r>
      <w:proofErr w:type="spellEnd"/>
      <w:r w:rsidRPr="009C142B">
        <w:t xml:space="preserve"> (GO and KEGG) </w:t>
      </w:r>
      <w:proofErr w:type="spellStart"/>
      <w:r w:rsidRPr="009C142B">
        <w:t>with</w:t>
      </w:r>
      <w:proofErr w:type="spellEnd"/>
      <w:r w:rsidRPr="009C142B">
        <w:t xml:space="preserve"> </w:t>
      </w:r>
      <w:proofErr w:type="spellStart"/>
      <w:r w:rsidRPr="009C142B">
        <w:rPr>
          <w:i/>
          <w:iCs/>
        </w:rPr>
        <w:t>clusterProfiler</w:t>
      </w:r>
      <w:proofErr w:type="spellEnd"/>
      <w:r w:rsidRPr="009C142B">
        <w:t xml:space="preserve"> </w:t>
      </w:r>
      <w:proofErr w:type="spellStart"/>
      <w:r w:rsidRPr="009C142B">
        <w:t>is</w:t>
      </w:r>
      <w:proofErr w:type="spellEnd"/>
      <w:r w:rsidRPr="009C142B">
        <w:t xml:space="preserve"> </w:t>
      </w:r>
      <w:proofErr w:type="spellStart"/>
      <w:r w:rsidRPr="009C142B">
        <w:t>applied</w:t>
      </w:r>
      <w:proofErr w:type="spellEnd"/>
      <w:r w:rsidRPr="009C142B">
        <w:t xml:space="preserve">. A </w:t>
      </w:r>
      <w:proofErr w:type="spellStart"/>
      <w:r w:rsidRPr="009C142B">
        <w:t>consensus</w:t>
      </w:r>
      <w:proofErr w:type="spellEnd"/>
      <w:r w:rsidRPr="009C142B">
        <w:t xml:space="preserve"> </w:t>
      </w:r>
      <w:proofErr w:type="spellStart"/>
      <w:r w:rsidRPr="009C142B">
        <w:t>signature</w:t>
      </w:r>
      <w:proofErr w:type="spellEnd"/>
      <w:r w:rsidRPr="009C142B">
        <w:t xml:space="preserve"> </w:t>
      </w:r>
      <w:proofErr w:type="spellStart"/>
      <w:r w:rsidRPr="009C142B">
        <w:t>of</w:t>
      </w:r>
      <w:proofErr w:type="spellEnd"/>
      <w:r w:rsidRPr="009C142B">
        <w:t xml:space="preserve"> 325 </w:t>
      </w:r>
      <w:proofErr w:type="spellStart"/>
      <w:r w:rsidRPr="009C142B">
        <w:t>differentially</w:t>
      </w:r>
      <w:proofErr w:type="spellEnd"/>
      <w:r w:rsidRPr="009C142B">
        <w:t xml:space="preserve"> </w:t>
      </w:r>
      <w:proofErr w:type="spellStart"/>
      <w:r w:rsidRPr="009C142B">
        <w:t>expressed</w:t>
      </w:r>
      <w:proofErr w:type="spellEnd"/>
      <w:r w:rsidRPr="009C142B">
        <w:t xml:space="preserve"> genes </w:t>
      </w:r>
      <w:proofErr w:type="spellStart"/>
      <w:r w:rsidRPr="009C142B">
        <w:t>common</w:t>
      </w:r>
      <w:proofErr w:type="spellEnd"/>
      <w:r w:rsidRPr="009C142B">
        <w:t xml:space="preserve"> </w:t>
      </w:r>
      <w:proofErr w:type="spellStart"/>
      <w:r w:rsidRPr="009C142B">
        <w:t>to</w:t>
      </w:r>
      <w:proofErr w:type="spellEnd"/>
      <w:r w:rsidRPr="009C142B">
        <w:t xml:space="preserve"> </w:t>
      </w:r>
      <w:proofErr w:type="spellStart"/>
      <w:r w:rsidRPr="009C142B">
        <w:t>all</w:t>
      </w:r>
      <w:proofErr w:type="spellEnd"/>
      <w:r w:rsidRPr="009C142B">
        <w:t xml:space="preserve"> </w:t>
      </w:r>
      <w:proofErr w:type="spellStart"/>
      <w:r w:rsidRPr="009C142B">
        <w:t>cohorts</w:t>
      </w:r>
      <w:proofErr w:type="spellEnd"/>
      <w:r w:rsidRPr="009C142B">
        <w:t xml:space="preserve"> </w:t>
      </w:r>
      <w:proofErr w:type="spellStart"/>
      <w:r w:rsidRPr="009C142B">
        <w:t>is</w:t>
      </w:r>
      <w:proofErr w:type="spellEnd"/>
      <w:r w:rsidRPr="009C142B">
        <w:t xml:space="preserve"> </w:t>
      </w:r>
      <w:proofErr w:type="spellStart"/>
      <w:r w:rsidRPr="009C142B">
        <w:t>identified</w:t>
      </w:r>
      <w:proofErr w:type="spellEnd"/>
      <w:r w:rsidRPr="009C142B">
        <w:t xml:space="preserve"> (155 </w:t>
      </w:r>
      <w:proofErr w:type="spellStart"/>
      <w:r w:rsidRPr="009C142B">
        <w:t>upregulated</w:t>
      </w:r>
      <w:proofErr w:type="spellEnd"/>
      <w:r w:rsidRPr="009C142B">
        <w:t xml:space="preserve"> and 170 </w:t>
      </w:r>
      <w:proofErr w:type="spellStart"/>
      <w:r w:rsidRPr="009C142B">
        <w:t>downregulated</w:t>
      </w:r>
      <w:proofErr w:type="spellEnd"/>
      <w:r w:rsidRPr="009C142B">
        <w:t xml:space="preserve">). The </w:t>
      </w:r>
      <w:proofErr w:type="spellStart"/>
      <w:r w:rsidRPr="009C142B">
        <w:t>functional</w:t>
      </w:r>
      <w:proofErr w:type="spellEnd"/>
      <w:r w:rsidRPr="009C142B">
        <w:t xml:space="preserve"> </w:t>
      </w:r>
      <w:proofErr w:type="spellStart"/>
      <w:r w:rsidRPr="009C142B">
        <w:t>activation</w:t>
      </w:r>
      <w:proofErr w:type="spellEnd"/>
      <w:r w:rsidRPr="009C142B">
        <w:t xml:space="preserve"> axis </w:t>
      </w:r>
      <w:proofErr w:type="spellStart"/>
      <w:r w:rsidRPr="009C142B">
        <w:t>reveals</w:t>
      </w:r>
      <w:proofErr w:type="spellEnd"/>
      <w:r w:rsidRPr="009C142B">
        <w:t xml:space="preserve"> </w:t>
      </w:r>
      <w:proofErr w:type="spellStart"/>
      <w:r w:rsidRPr="009C142B">
        <w:t>extracellular</w:t>
      </w:r>
      <w:proofErr w:type="spellEnd"/>
      <w:r w:rsidRPr="009C142B">
        <w:t xml:space="preserve"> </w:t>
      </w:r>
      <w:proofErr w:type="spellStart"/>
      <w:r w:rsidRPr="009C142B">
        <w:t>matrix</w:t>
      </w:r>
      <w:proofErr w:type="spellEnd"/>
      <w:r w:rsidRPr="009C142B">
        <w:t xml:space="preserve"> </w:t>
      </w:r>
      <w:proofErr w:type="spellStart"/>
      <w:r w:rsidRPr="009C142B">
        <w:t>remodeling</w:t>
      </w:r>
      <w:proofErr w:type="spellEnd"/>
      <w:r w:rsidRPr="009C142B">
        <w:t xml:space="preserve">, reactive </w:t>
      </w:r>
      <w:proofErr w:type="spellStart"/>
      <w:r w:rsidRPr="009C142B">
        <w:t>stroma</w:t>
      </w:r>
      <w:proofErr w:type="spellEnd"/>
      <w:r w:rsidRPr="009C142B">
        <w:t xml:space="preserve"> </w:t>
      </w:r>
      <w:proofErr w:type="spellStart"/>
      <w:r w:rsidRPr="009C142B">
        <w:t>activation</w:t>
      </w:r>
      <w:proofErr w:type="spellEnd"/>
      <w:r w:rsidRPr="009C142B">
        <w:t xml:space="preserve"> (COL11A1, FAP, MMP7, CEMIP), and </w:t>
      </w:r>
      <w:proofErr w:type="spellStart"/>
      <w:r w:rsidRPr="009C142B">
        <w:t>hypoxia</w:t>
      </w:r>
      <w:proofErr w:type="spellEnd"/>
      <w:r w:rsidRPr="009C142B">
        <w:t xml:space="preserve"> response. </w:t>
      </w:r>
      <w:r w:rsidR="003A1203">
        <w:t xml:space="preserve">In </w:t>
      </w:r>
      <w:proofErr w:type="spellStart"/>
      <w:r w:rsidR="003A1203">
        <w:t>contrast</w:t>
      </w:r>
      <w:proofErr w:type="spellEnd"/>
      <w:r w:rsidRPr="009C142B">
        <w:t xml:space="preserve">, </w:t>
      </w:r>
      <w:proofErr w:type="spellStart"/>
      <w:r w:rsidRPr="009C142B">
        <w:t>the</w:t>
      </w:r>
      <w:proofErr w:type="spellEnd"/>
      <w:r w:rsidRPr="009C142B">
        <w:t xml:space="preserve"> </w:t>
      </w:r>
      <w:proofErr w:type="spellStart"/>
      <w:r w:rsidRPr="009C142B">
        <w:t>repression</w:t>
      </w:r>
      <w:proofErr w:type="spellEnd"/>
      <w:r w:rsidRPr="009C142B">
        <w:t xml:space="preserve"> axis </w:t>
      </w:r>
      <w:proofErr w:type="spellStart"/>
      <w:r w:rsidRPr="009C142B">
        <w:t>reflects</w:t>
      </w:r>
      <w:proofErr w:type="spellEnd"/>
      <w:r w:rsidRPr="009C142B">
        <w:t xml:space="preserve"> </w:t>
      </w:r>
      <w:proofErr w:type="spellStart"/>
      <w:r w:rsidRPr="009C142B">
        <w:t>cellular</w:t>
      </w:r>
      <w:proofErr w:type="spellEnd"/>
      <w:r w:rsidRPr="009C142B">
        <w:t xml:space="preserve"> </w:t>
      </w:r>
      <w:proofErr w:type="spellStart"/>
      <w:r w:rsidRPr="009C142B">
        <w:t>dedifferentiation</w:t>
      </w:r>
      <w:proofErr w:type="spellEnd"/>
      <w:r w:rsidRPr="009C142B">
        <w:t xml:space="preserve"> </w:t>
      </w:r>
      <w:proofErr w:type="spellStart"/>
      <w:r w:rsidRPr="009C142B">
        <w:t>through</w:t>
      </w:r>
      <w:proofErr w:type="spellEnd"/>
      <w:r w:rsidRPr="009C142B">
        <w:t xml:space="preserve"> </w:t>
      </w:r>
      <w:proofErr w:type="spellStart"/>
      <w:r w:rsidRPr="009C142B">
        <w:t>the</w:t>
      </w:r>
      <w:proofErr w:type="spellEnd"/>
      <w:r w:rsidRPr="009C142B">
        <w:t xml:space="preserve"> </w:t>
      </w:r>
      <w:proofErr w:type="spellStart"/>
      <w:r w:rsidRPr="009C142B">
        <w:t>loss</w:t>
      </w:r>
      <w:proofErr w:type="spellEnd"/>
      <w:r w:rsidRPr="009C142B">
        <w:t xml:space="preserve"> </w:t>
      </w:r>
      <w:proofErr w:type="spellStart"/>
      <w:r w:rsidRPr="009C142B">
        <w:t>of</w:t>
      </w:r>
      <w:proofErr w:type="spellEnd"/>
      <w:r w:rsidRPr="009C142B">
        <w:t xml:space="preserve"> </w:t>
      </w:r>
      <w:proofErr w:type="spellStart"/>
      <w:r w:rsidRPr="009C142B">
        <w:t>absorptive</w:t>
      </w:r>
      <w:proofErr w:type="spellEnd"/>
      <w:r w:rsidRPr="009C142B">
        <w:t xml:space="preserve"> and fluid-</w:t>
      </w:r>
      <w:proofErr w:type="spellStart"/>
      <w:r w:rsidRPr="009C142B">
        <w:t>electrolyte</w:t>
      </w:r>
      <w:proofErr w:type="spellEnd"/>
      <w:r w:rsidRPr="009C142B">
        <w:t xml:space="preserve"> balance </w:t>
      </w:r>
      <w:proofErr w:type="spellStart"/>
      <w:r w:rsidRPr="009C142B">
        <w:t>functions</w:t>
      </w:r>
      <w:proofErr w:type="spellEnd"/>
      <w:r w:rsidRPr="009C142B">
        <w:t xml:space="preserve"> (GUCA2A, GUCA2B, CA7, BEST4), </w:t>
      </w:r>
      <w:proofErr w:type="spellStart"/>
      <w:r w:rsidRPr="009C142B">
        <w:t>metallothionein</w:t>
      </w:r>
      <w:proofErr w:type="spellEnd"/>
      <w:r w:rsidRPr="009C142B">
        <w:t xml:space="preserve"> </w:t>
      </w:r>
      <w:proofErr w:type="spellStart"/>
      <w:r w:rsidRPr="009C142B">
        <w:t>system</w:t>
      </w:r>
      <w:proofErr w:type="spellEnd"/>
      <w:r w:rsidRPr="009C142B">
        <w:t xml:space="preserve"> </w:t>
      </w:r>
      <w:proofErr w:type="spellStart"/>
      <w:r w:rsidRPr="009C142B">
        <w:t>collapse</w:t>
      </w:r>
      <w:proofErr w:type="spellEnd"/>
      <w:r w:rsidRPr="009C142B">
        <w:t xml:space="preserve"> (MT1E/F/G/H/M)</w:t>
      </w:r>
      <w:r>
        <w:rPr>
          <w:b/>
          <w:bCs/>
        </w:rPr>
        <w:t xml:space="preserve"> </w:t>
      </w:r>
      <w:r w:rsidRPr="009C142B">
        <w:t xml:space="preserve">and </w:t>
      </w:r>
      <w:proofErr w:type="spellStart"/>
      <w:r w:rsidRPr="009C142B">
        <w:t>downregulation</w:t>
      </w:r>
      <w:proofErr w:type="spellEnd"/>
      <w:r w:rsidRPr="009C142B">
        <w:t xml:space="preserve"> </w:t>
      </w:r>
      <w:proofErr w:type="spellStart"/>
      <w:r w:rsidRPr="009C142B">
        <w:t>of</w:t>
      </w:r>
      <w:proofErr w:type="spellEnd"/>
      <w:r w:rsidRPr="009C142B">
        <w:t xml:space="preserve"> </w:t>
      </w:r>
      <w:proofErr w:type="spellStart"/>
      <w:r w:rsidRPr="009C142B">
        <w:t>the</w:t>
      </w:r>
      <w:proofErr w:type="spellEnd"/>
      <w:r w:rsidRPr="009C142B">
        <w:t xml:space="preserve"> </w:t>
      </w:r>
      <w:proofErr w:type="spellStart"/>
      <w:r w:rsidRPr="009C142B">
        <w:t>suppressor</w:t>
      </w:r>
      <w:proofErr w:type="spellEnd"/>
      <w:r w:rsidRPr="009C142B">
        <w:t xml:space="preserve"> SFRP1. In </w:t>
      </w:r>
      <w:proofErr w:type="spellStart"/>
      <w:r w:rsidRPr="009C142B">
        <w:t>conclusion</w:t>
      </w:r>
      <w:proofErr w:type="spellEnd"/>
      <w:r w:rsidRPr="009C142B">
        <w:t xml:space="preserve">, </w:t>
      </w:r>
      <w:proofErr w:type="spellStart"/>
      <w:r w:rsidRPr="009C142B">
        <w:t>multi-cohort</w:t>
      </w:r>
      <w:proofErr w:type="spellEnd"/>
      <w:r w:rsidRPr="009C142B">
        <w:t xml:space="preserve"> </w:t>
      </w:r>
      <w:proofErr w:type="spellStart"/>
      <w:r w:rsidRPr="009C142B">
        <w:t>integration</w:t>
      </w:r>
      <w:proofErr w:type="spellEnd"/>
      <w:r w:rsidRPr="009C142B">
        <w:t xml:space="preserve"> </w:t>
      </w:r>
      <w:proofErr w:type="spellStart"/>
      <w:r w:rsidRPr="009C142B">
        <w:t>by</w:t>
      </w:r>
      <w:proofErr w:type="spellEnd"/>
      <w:r w:rsidRPr="009C142B">
        <w:t xml:space="preserve"> </w:t>
      </w:r>
      <w:proofErr w:type="spellStart"/>
      <w:r w:rsidRPr="009C142B">
        <w:t>strict</w:t>
      </w:r>
      <w:proofErr w:type="spellEnd"/>
      <w:r w:rsidRPr="009C142B">
        <w:t xml:space="preserve"> </w:t>
      </w:r>
      <w:proofErr w:type="spellStart"/>
      <w:r w:rsidRPr="009C142B">
        <w:t>intersection</w:t>
      </w:r>
      <w:proofErr w:type="spellEnd"/>
      <w:r w:rsidRPr="009C142B">
        <w:t xml:space="preserve"> </w:t>
      </w:r>
      <w:proofErr w:type="spellStart"/>
      <w:r w:rsidRPr="009C142B">
        <w:t>isolates</w:t>
      </w:r>
      <w:proofErr w:type="spellEnd"/>
      <w:r w:rsidRPr="009C142B">
        <w:t xml:space="preserve"> </w:t>
      </w:r>
      <w:proofErr w:type="spellStart"/>
      <w:r w:rsidRPr="009C142B">
        <w:t>an</w:t>
      </w:r>
      <w:proofErr w:type="spellEnd"/>
      <w:r w:rsidRPr="009C142B">
        <w:t xml:space="preserve"> </w:t>
      </w:r>
      <w:proofErr w:type="spellStart"/>
      <w:r w:rsidRPr="009C142B">
        <w:t>invariant</w:t>
      </w:r>
      <w:proofErr w:type="spellEnd"/>
      <w:r w:rsidRPr="009C142B">
        <w:t xml:space="preserve"> </w:t>
      </w:r>
      <w:proofErr w:type="spellStart"/>
      <w:r w:rsidRPr="009C142B">
        <w:t>transcriptomic</w:t>
      </w:r>
      <w:proofErr w:type="spellEnd"/>
      <w:r w:rsidRPr="009C142B">
        <w:t xml:space="preserve"> </w:t>
      </w:r>
      <w:proofErr w:type="spellStart"/>
      <w:r w:rsidRPr="009C142B">
        <w:t>core</w:t>
      </w:r>
      <w:proofErr w:type="spellEnd"/>
      <w:r w:rsidRPr="009C142B">
        <w:t xml:space="preserve"> </w:t>
      </w:r>
      <w:proofErr w:type="spellStart"/>
      <w:r w:rsidRPr="009C142B">
        <w:t>independent</w:t>
      </w:r>
      <w:proofErr w:type="spellEnd"/>
      <w:r w:rsidRPr="009C142B">
        <w:t xml:space="preserve"> </w:t>
      </w:r>
      <w:proofErr w:type="spellStart"/>
      <w:r w:rsidRPr="009C142B">
        <w:t>of</w:t>
      </w:r>
      <w:proofErr w:type="spellEnd"/>
      <w:r w:rsidRPr="009C142B">
        <w:t xml:space="preserve"> </w:t>
      </w:r>
      <w:proofErr w:type="spellStart"/>
      <w:r w:rsidRPr="009C142B">
        <w:t>clinical</w:t>
      </w:r>
      <w:proofErr w:type="spellEnd"/>
      <w:r w:rsidRPr="009C142B">
        <w:t xml:space="preserve"> </w:t>
      </w:r>
      <w:proofErr w:type="spellStart"/>
      <w:r w:rsidRPr="009C142B">
        <w:t>heterogeneity</w:t>
      </w:r>
      <w:proofErr w:type="spellEnd"/>
      <w:r w:rsidRPr="009C142B">
        <w:t xml:space="preserve">, </w:t>
      </w:r>
      <w:proofErr w:type="spellStart"/>
      <w:r w:rsidRPr="009C142B">
        <w:t>providing</w:t>
      </w:r>
      <w:proofErr w:type="spellEnd"/>
      <w:r w:rsidRPr="009C142B">
        <w:t xml:space="preserve"> </w:t>
      </w:r>
      <w:proofErr w:type="spellStart"/>
      <w:r w:rsidRPr="009C142B">
        <w:t>robust</w:t>
      </w:r>
      <w:proofErr w:type="spellEnd"/>
      <w:r w:rsidRPr="009C142B">
        <w:t xml:space="preserve"> candidate </w:t>
      </w:r>
      <w:proofErr w:type="spellStart"/>
      <w:r w:rsidRPr="009C142B">
        <w:t>biomarkers</w:t>
      </w:r>
      <w:proofErr w:type="spellEnd"/>
      <w:r w:rsidRPr="009C142B">
        <w:t xml:space="preserve"> </w:t>
      </w:r>
      <w:proofErr w:type="spellStart"/>
      <w:r w:rsidRPr="009C142B">
        <w:t>with</w:t>
      </w:r>
      <w:proofErr w:type="spellEnd"/>
      <w:r w:rsidRPr="009C142B">
        <w:t xml:space="preserve"> </w:t>
      </w:r>
      <w:proofErr w:type="spellStart"/>
      <w:r w:rsidRPr="009C142B">
        <w:t>translational</w:t>
      </w:r>
      <w:proofErr w:type="spellEnd"/>
      <w:r w:rsidRPr="009C142B">
        <w:t xml:space="preserve"> </w:t>
      </w:r>
      <w:proofErr w:type="spellStart"/>
      <w:r w:rsidRPr="009C142B">
        <w:t>potential</w:t>
      </w:r>
      <w:proofErr w:type="spellEnd"/>
      <w:r w:rsidRPr="009C142B">
        <w:t xml:space="preserve"> </w:t>
      </w:r>
      <w:proofErr w:type="spellStart"/>
      <w:r w:rsidRPr="009C142B">
        <w:t>for</w:t>
      </w:r>
      <w:proofErr w:type="spellEnd"/>
      <w:r w:rsidRPr="009C142B">
        <w:t xml:space="preserve"> non-invasive diagnosis and </w:t>
      </w:r>
      <w:proofErr w:type="spellStart"/>
      <w:r w:rsidRPr="009C142B">
        <w:t>targeted</w:t>
      </w:r>
      <w:proofErr w:type="spellEnd"/>
      <w:r w:rsidRPr="009C142B">
        <w:t xml:space="preserve"> </w:t>
      </w:r>
      <w:proofErr w:type="spellStart"/>
      <w:r w:rsidRPr="009C142B">
        <w:t>therapeutics</w:t>
      </w:r>
      <w:proofErr w:type="spellEnd"/>
      <w:r w:rsidRPr="009C142B">
        <w:t>.</w:t>
      </w:r>
    </w:p>
    <w:p w14:paraId="74EB5C3B" w14:textId="77777777" w:rsidR="009C142B" w:rsidRDefault="009C142B">
      <w:pPr>
        <w:rPr>
          <w:b/>
          <w:bCs/>
        </w:rPr>
      </w:pPr>
    </w:p>
    <w:p w14:paraId="5043D940" w14:textId="238D0AFD" w:rsidR="001C2FB3" w:rsidRDefault="009C142B">
      <w:proofErr w:type="spellStart"/>
      <w:r w:rsidRPr="009C142B">
        <w:rPr>
          <w:b/>
          <w:bCs/>
        </w:rPr>
        <w:t>Keywords</w:t>
      </w:r>
      <w:proofErr w:type="spellEnd"/>
      <w:r w:rsidRPr="009C142B">
        <w:rPr>
          <w:b/>
          <w:bCs/>
        </w:rPr>
        <w:t>:</w:t>
      </w:r>
      <w:r w:rsidRPr="009C142B">
        <w:t xml:space="preserve"> </w:t>
      </w:r>
      <w:proofErr w:type="spellStart"/>
      <w:r w:rsidRPr="009C142B">
        <w:t>Colorectal</w:t>
      </w:r>
      <w:proofErr w:type="spellEnd"/>
      <w:r w:rsidRPr="009C142B">
        <w:t xml:space="preserve"> adenocarcinoma, </w:t>
      </w:r>
      <w:proofErr w:type="spellStart"/>
      <w:r w:rsidRPr="009C142B">
        <w:t>Transcriptomics</w:t>
      </w:r>
      <w:proofErr w:type="spellEnd"/>
      <w:r w:rsidRPr="009C142B">
        <w:t xml:space="preserve">, </w:t>
      </w:r>
      <w:proofErr w:type="spellStart"/>
      <w:r w:rsidRPr="009C142B">
        <w:t>Differential</w:t>
      </w:r>
      <w:proofErr w:type="spellEnd"/>
      <w:r w:rsidRPr="009C142B">
        <w:t xml:space="preserve"> </w:t>
      </w:r>
      <w:proofErr w:type="spellStart"/>
      <w:r w:rsidRPr="009C142B">
        <w:t>expression</w:t>
      </w:r>
      <w:proofErr w:type="spellEnd"/>
      <w:r w:rsidRPr="009C142B">
        <w:t>, RNA-</w:t>
      </w:r>
      <w:proofErr w:type="spellStart"/>
      <w:r w:rsidRPr="009C142B">
        <w:t>seq</w:t>
      </w:r>
      <w:proofErr w:type="spellEnd"/>
      <w:r w:rsidRPr="009C142B">
        <w:t xml:space="preserve">, </w:t>
      </w:r>
      <w:proofErr w:type="spellStart"/>
      <w:r w:rsidRPr="009C142B">
        <w:t>Biomarkers</w:t>
      </w:r>
      <w:proofErr w:type="spellEnd"/>
      <w:r w:rsidRPr="009C142B">
        <w:t>.</w:t>
      </w:r>
      <w:r w:rsidR="001C2FB3">
        <w:br w:type="page"/>
      </w:r>
    </w:p>
    <w:bookmarkEnd w:id="0"/>
    <w:p w14:paraId="37509664" w14:textId="52E8292E" w:rsidR="008544B8" w:rsidRDefault="007B76BF" w:rsidP="006403BD">
      <w:pPr>
        <w:pStyle w:val="Ttulondices"/>
      </w:pPr>
      <w:r>
        <w:lastRenderedPageBreak/>
        <w:t xml:space="preserve">Índice </w:t>
      </w:r>
      <w:r w:rsidR="00FA21E3">
        <w:t>de contenidos</w:t>
      </w:r>
    </w:p>
    <w:p w14:paraId="6B1B3C52" w14:textId="7733BD92" w:rsidR="00015E06" w:rsidRDefault="00423E85">
      <w:pPr>
        <w:pStyle w:val="TDC1"/>
        <w:tabs>
          <w:tab w:val="left" w:pos="440"/>
        </w:tabs>
        <w:rPr>
          <w:rFonts w:eastAsiaTheme="minorEastAsia" w:cstheme="minorBidi"/>
          <w:noProof/>
          <w:kern w:val="2"/>
          <w14:ligatures w14:val="standardContextual"/>
        </w:rPr>
      </w:pPr>
      <w:r>
        <w:rPr>
          <w:sz w:val="22"/>
        </w:rPr>
        <w:fldChar w:fldCharType="begin"/>
      </w:r>
      <w:r>
        <w:rPr>
          <w:sz w:val="22"/>
        </w:rPr>
        <w:instrText xml:space="preserve"> TOC \o "1-3" \h \z \u </w:instrText>
      </w:r>
      <w:r>
        <w:rPr>
          <w:sz w:val="22"/>
        </w:rPr>
        <w:fldChar w:fldCharType="separate"/>
      </w:r>
      <w:hyperlink w:anchor="_Toc239417029" w:history="1">
        <w:r w:rsidR="00015E06" w:rsidRPr="008502FA">
          <w:rPr>
            <w:rStyle w:val="Hipervnculo"/>
            <w:noProof/>
          </w:rPr>
          <w:t>1.</w:t>
        </w:r>
        <w:r w:rsidR="00015E06">
          <w:rPr>
            <w:rFonts w:eastAsiaTheme="minorEastAsia" w:cstheme="minorBidi"/>
            <w:noProof/>
            <w:kern w:val="2"/>
            <w14:ligatures w14:val="standardContextual"/>
          </w:rPr>
          <w:tab/>
        </w:r>
        <w:r w:rsidR="00015E06" w:rsidRPr="008502FA">
          <w:rPr>
            <w:rStyle w:val="Hipervnculo"/>
            <w:noProof/>
          </w:rPr>
          <w:t>Introducción</w:t>
        </w:r>
        <w:r w:rsidR="00015E06">
          <w:rPr>
            <w:noProof/>
            <w:webHidden/>
          </w:rPr>
          <w:tab/>
        </w:r>
        <w:r w:rsidR="00015E06">
          <w:rPr>
            <w:noProof/>
            <w:webHidden/>
          </w:rPr>
          <w:fldChar w:fldCharType="begin"/>
        </w:r>
        <w:r w:rsidR="00015E06">
          <w:rPr>
            <w:noProof/>
            <w:webHidden/>
          </w:rPr>
          <w:instrText xml:space="preserve"> PAGEREF _Toc239417029 \h </w:instrText>
        </w:r>
        <w:r w:rsidR="00015E06">
          <w:rPr>
            <w:noProof/>
            <w:webHidden/>
          </w:rPr>
        </w:r>
        <w:r w:rsidR="00015E06">
          <w:rPr>
            <w:noProof/>
            <w:webHidden/>
          </w:rPr>
          <w:fldChar w:fldCharType="separate"/>
        </w:r>
        <w:r w:rsidR="00015E06">
          <w:rPr>
            <w:noProof/>
            <w:webHidden/>
          </w:rPr>
          <w:t>12</w:t>
        </w:r>
        <w:r w:rsidR="00015E06">
          <w:rPr>
            <w:noProof/>
            <w:webHidden/>
          </w:rPr>
          <w:fldChar w:fldCharType="end"/>
        </w:r>
      </w:hyperlink>
    </w:p>
    <w:p w14:paraId="0EE60237" w14:textId="6E482130" w:rsidR="00015E06" w:rsidRDefault="00015E06">
      <w:pPr>
        <w:pStyle w:val="TDC2"/>
        <w:tabs>
          <w:tab w:val="left" w:pos="960"/>
          <w:tab w:val="right" w:leader="dot" w:pos="9061"/>
        </w:tabs>
        <w:rPr>
          <w:rFonts w:eastAsiaTheme="minorEastAsia" w:cstheme="minorBidi"/>
          <w:noProof/>
          <w:kern w:val="2"/>
          <w14:ligatures w14:val="standardContextual"/>
        </w:rPr>
      </w:pPr>
      <w:hyperlink w:anchor="_Toc239417030" w:history="1">
        <w:r w:rsidRPr="008502FA">
          <w:rPr>
            <w:rStyle w:val="Hipervnculo"/>
            <w:noProof/>
          </w:rPr>
          <w:t>1.1.</w:t>
        </w:r>
        <w:r>
          <w:rPr>
            <w:rFonts w:eastAsiaTheme="minorEastAsia" w:cstheme="minorBidi"/>
            <w:noProof/>
            <w:kern w:val="2"/>
            <w14:ligatures w14:val="standardContextual"/>
          </w:rPr>
          <w:tab/>
        </w:r>
        <w:r w:rsidRPr="008502FA">
          <w:rPr>
            <w:rStyle w:val="Hipervnculo"/>
            <w:noProof/>
          </w:rPr>
          <w:t>Planteamiento del Problema</w:t>
        </w:r>
        <w:r>
          <w:rPr>
            <w:noProof/>
            <w:webHidden/>
          </w:rPr>
          <w:tab/>
        </w:r>
        <w:r>
          <w:rPr>
            <w:noProof/>
            <w:webHidden/>
          </w:rPr>
          <w:fldChar w:fldCharType="begin"/>
        </w:r>
        <w:r>
          <w:rPr>
            <w:noProof/>
            <w:webHidden/>
          </w:rPr>
          <w:instrText xml:space="preserve"> PAGEREF _Toc239417030 \h </w:instrText>
        </w:r>
        <w:r>
          <w:rPr>
            <w:noProof/>
            <w:webHidden/>
          </w:rPr>
        </w:r>
        <w:r>
          <w:rPr>
            <w:noProof/>
            <w:webHidden/>
          </w:rPr>
          <w:fldChar w:fldCharType="separate"/>
        </w:r>
        <w:r>
          <w:rPr>
            <w:noProof/>
            <w:webHidden/>
          </w:rPr>
          <w:t>12</w:t>
        </w:r>
        <w:r>
          <w:rPr>
            <w:noProof/>
            <w:webHidden/>
          </w:rPr>
          <w:fldChar w:fldCharType="end"/>
        </w:r>
      </w:hyperlink>
    </w:p>
    <w:p w14:paraId="28EFB0B4" w14:textId="620031F4" w:rsidR="00015E06" w:rsidRDefault="00015E06">
      <w:pPr>
        <w:pStyle w:val="TDC2"/>
        <w:tabs>
          <w:tab w:val="left" w:pos="960"/>
          <w:tab w:val="right" w:leader="dot" w:pos="9061"/>
        </w:tabs>
        <w:rPr>
          <w:rFonts w:eastAsiaTheme="minorEastAsia" w:cstheme="minorBidi"/>
          <w:noProof/>
          <w:kern w:val="2"/>
          <w14:ligatures w14:val="standardContextual"/>
        </w:rPr>
      </w:pPr>
      <w:hyperlink w:anchor="_Toc239417031" w:history="1">
        <w:r w:rsidRPr="008502FA">
          <w:rPr>
            <w:rStyle w:val="Hipervnculo"/>
            <w:noProof/>
          </w:rPr>
          <w:t>1.2.</w:t>
        </w:r>
        <w:r>
          <w:rPr>
            <w:rFonts w:eastAsiaTheme="minorEastAsia" w:cstheme="minorBidi"/>
            <w:noProof/>
            <w:kern w:val="2"/>
            <w14:ligatures w14:val="standardContextual"/>
          </w:rPr>
          <w:tab/>
        </w:r>
        <w:r w:rsidRPr="008502FA">
          <w:rPr>
            <w:rStyle w:val="Hipervnculo"/>
            <w:noProof/>
          </w:rPr>
          <w:t>Justificación</w:t>
        </w:r>
        <w:r>
          <w:rPr>
            <w:noProof/>
            <w:webHidden/>
          </w:rPr>
          <w:tab/>
        </w:r>
        <w:r>
          <w:rPr>
            <w:noProof/>
            <w:webHidden/>
          </w:rPr>
          <w:fldChar w:fldCharType="begin"/>
        </w:r>
        <w:r>
          <w:rPr>
            <w:noProof/>
            <w:webHidden/>
          </w:rPr>
          <w:instrText xml:space="preserve"> PAGEREF _Toc239417031 \h </w:instrText>
        </w:r>
        <w:r>
          <w:rPr>
            <w:noProof/>
            <w:webHidden/>
          </w:rPr>
        </w:r>
        <w:r>
          <w:rPr>
            <w:noProof/>
            <w:webHidden/>
          </w:rPr>
          <w:fldChar w:fldCharType="separate"/>
        </w:r>
        <w:r>
          <w:rPr>
            <w:noProof/>
            <w:webHidden/>
          </w:rPr>
          <w:t>13</w:t>
        </w:r>
        <w:r>
          <w:rPr>
            <w:noProof/>
            <w:webHidden/>
          </w:rPr>
          <w:fldChar w:fldCharType="end"/>
        </w:r>
      </w:hyperlink>
    </w:p>
    <w:p w14:paraId="0E5AB020" w14:textId="7997BF08" w:rsidR="00015E06" w:rsidRDefault="00015E06">
      <w:pPr>
        <w:pStyle w:val="TDC2"/>
        <w:tabs>
          <w:tab w:val="left" w:pos="960"/>
          <w:tab w:val="right" w:leader="dot" w:pos="9061"/>
        </w:tabs>
        <w:rPr>
          <w:rFonts w:eastAsiaTheme="minorEastAsia" w:cstheme="minorBidi"/>
          <w:noProof/>
          <w:kern w:val="2"/>
          <w14:ligatures w14:val="standardContextual"/>
        </w:rPr>
      </w:pPr>
      <w:hyperlink w:anchor="_Toc239417032" w:history="1">
        <w:r w:rsidRPr="008502FA">
          <w:rPr>
            <w:rStyle w:val="Hipervnculo"/>
            <w:noProof/>
          </w:rPr>
          <w:t>1.3.</w:t>
        </w:r>
        <w:r>
          <w:rPr>
            <w:rFonts w:eastAsiaTheme="minorEastAsia" w:cstheme="minorBidi"/>
            <w:noProof/>
            <w:kern w:val="2"/>
            <w14:ligatures w14:val="standardContextual"/>
          </w:rPr>
          <w:tab/>
        </w:r>
        <w:r w:rsidRPr="008502FA">
          <w:rPr>
            <w:rStyle w:val="Hipervnculo"/>
            <w:noProof/>
          </w:rPr>
          <w:t>Objetivos del Estudio</w:t>
        </w:r>
        <w:r>
          <w:rPr>
            <w:noProof/>
            <w:webHidden/>
          </w:rPr>
          <w:tab/>
        </w:r>
        <w:r>
          <w:rPr>
            <w:noProof/>
            <w:webHidden/>
          </w:rPr>
          <w:fldChar w:fldCharType="begin"/>
        </w:r>
        <w:r>
          <w:rPr>
            <w:noProof/>
            <w:webHidden/>
          </w:rPr>
          <w:instrText xml:space="preserve"> PAGEREF _Toc239417032 \h </w:instrText>
        </w:r>
        <w:r>
          <w:rPr>
            <w:noProof/>
            <w:webHidden/>
          </w:rPr>
        </w:r>
        <w:r>
          <w:rPr>
            <w:noProof/>
            <w:webHidden/>
          </w:rPr>
          <w:fldChar w:fldCharType="separate"/>
        </w:r>
        <w:r>
          <w:rPr>
            <w:noProof/>
            <w:webHidden/>
          </w:rPr>
          <w:t>14</w:t>
        </w:r>
        <w:r>
          <w:rPr>
            <w:noProof/>
            <w:webHidden/>
          </w:rPr>
          <w:fldChar w:fldCharType="end"/>
        </w:r>
      </w:hyperlink>
    </w:p>
    <w:p w14:paraId="48238115" w14:textId="08DD0569" w:rsidR="00015E06" w:rsidRDefault="00015E06">
      <w:pPr>
        <w:pStyle w:val="TDC1"/>
        <w:tabs>
          <w:tab w:val="left" w:pos="440"/>
        </w:tabs>
        <w:rPr>
          <w:rFonts w:eastAsiaTheme="minorEastAsia" w:cstheme="minorBidi"/>
          <w:noProof/>
          <w:kern w:val="2"/>
          <w14:ligatures w14:val="standardContextual"/>
        </w:rPr>
      </w:pPr>
      <w:hyperlink w:anchor="_Toc239417033" w:history="1">
        <w:r w:rsidRPr="008502FA">
          <w:rPr>
            <w:rStyle w:val="Hipervnculo"/>
            <w:noProof/>
          </w:rPr>
          <w:t>2.</w:t>
        </w:r>
        <w:r>
          <w:rPr>
            <w:rFonts w:eastAsiaTheme="minorEastAsia" w:cstheme="minorBidi"/>
            <w:noProof/>
            <w:kern w:val="2"/>
            <w14:ligatures w14:val="standardContextual"/>
          </w:rPr>
          <w:tab/>
        </w:r>
        <w:r w:rsidRPr="008502FA">
          <w:rPr>
            <w:rStyle w:val="Hipervnculo"/>
            <w:noProof/>
          </w:rPr>
          <w:t>Marco teórico</w:t>
        </w:r>
        <w:r>
          <w:rPr>
            <w:noProof/>
            <w:webHidden/>
          </w:rPr>
          <w:tab/>
        </w:r>
        <w:r>
          <w:rPr>
            <w:noProof/>
            <w:webHidden/>
          </w:rPr>
          <w:fldChar w:fldCharType="begin"/>
        </w:r>
        <w:r>
          <w:rPr>
            <w:noProof/>
            <w:webHidden/>
          </w:rPr>
          <w:instrText xml:space="preserve"> PAGEREF _Toc239417033 \h </w:instrText>
        </w:r>
        <w:r>
          <w:rPr>
            <w:noProof/>
            <w:webHidden/>
          </w:rPr>
        </w:r>
        <w:r>
          <w:rPr>
            <w:noProof/>
            <w:webHidden/>
          </w:rPr>
          <w:fldChar w:fldCharType="separate"/>
        </w:r>
        <w:r>
          <w:rPr>
            <w:noProof/>
            <w:webHidden/>
          </w:rPr>
          <w:t>16</w:t>
        </w:r>
        <w:r>
          <w:rPr>
            <w:noProof/>
            <w:webHidden/>
          </w:rPr>
          <w:fldChar w:fldCharType="end"/>
        </w:r>
      </w:hyperlink>
    </w:p>
    <w:p w14:paraId="151BEB15" w14:textId="0D37E264" w:rsidR="00015E06" w:rsidRDefault="00015E06">
      <w:pPr>
        <w:pStyle w:val="TDC2"/>
        <w:tabs>
          <w:tab w:val="left" w:pos="960"/>
          <w:tab w:val="right" w:leader="dot" w:pos="9061"/>
        </w:tabs>
        <w:rPr>
          <w:rFonts w:eastAsiaTheme="minorEastAsia" w:cstheme="minorBidi"/>
          <w:noProof/>
          <w:kern w:val="2"/>
          <w14:ligatures w14:val="standardContextual"/>
        </w:rPr>
      </w:pPr>
      <w:hyperlink w:anchor="_Toc239417034" w:history="1">
        <w:r w:rsidRPr="008502FA">
          <w:rPr>
            <w:rStyle w:val="Hipervnculo"/>
            <w:noProof/>
          </w:rPr>
          <w:t>2.1.</w:t>
        </w:r>
        <w:r>
          <w:rPr>
            <w:rFonts w:eastAsiaTheme="minorEastAsia" w:cstheme="minorBidi"/>
            <w:noProof/>
            <w:kern w:val="2"/>
            <w14:ligatures w14:val="standardContextual"/>
          </w:rPr>
          <w:tab/>
        </w:r>
        <w:r w:rsidRPr="008502FA">
          <w:rPr>
            <w:rStyle w:val="Hipervnculo"/>
            <w:noProof/>
          </w:rPr>
          <w:t>El Adenocarcinoma Colorrectal (CRC)</w:t>
        </w:r>
        <w:r>
          <w:rPr>
            <w:noProof/>
            <w:webHidden/>
          </w:rPr>
          <w:tab/>
        </w:r>
        <w:r>
          <w:rPr>
            <w:noProof/>
            <w:webHidden/>
          </w:rPr>
          <w:fldChar w:fldCharType="begin"/>
        </w:r>
        <w:r>
          <w:rPr>
            <w:noProof/>
            <w:webHidden/>
          </w:rPr>
          <w:instrText xml:space="preserve"> PAGEREF _Toc239417034 \h </w:instrText>
        </w:r>
        <w:r>
          <w:rPr>
            <w:noProof/>
            <w:webHidden/>
          </w:rPr>
        </w:r>
        <w:r>
          <w:rPr>
            <w:noProof/>
            <w:webHidden/>
          </w:rPr>
          <w:fldChar w:fldCharType="separate"/>
        </w:r>
        <w:r>
          <w:rPr>
            <w:noProof/>
            <w:webHidden/>
          </w:rPr>
          <w:t>16</w:t>
        </w:r>
        <w:r>
          <w:rPr>
            <w:noProof/>
            <w:webHidden/>
          </w:rPr>
          <w:fldChar w:fldCharType="end"/>
        </w:r>
      </w:hyperlink>
    </w:p>
    <w:p w14:paraId="6B16400B" w14:textId="50399DA8" w:rsidR="00015E06" w:rsidRDefault="00015E06">
      <w:pPr>
        <w:pStyle w:val="TDC2"/>
        <w:tabs>
          <w:tab w:val="left" w:pos="960"/>
          <w:tab w:val="right" w:leader="dot" w:pos="9061"/>
        </w:tabs>
        <w:rPr>
          <w:rFonts w:eastAsiaTheme="minorEastAsia" w:cstheme="minorBidi"/>
          <w:noProof/>
          <w:kern w:val="2"/>
          <w14:ligatures w14:val="standardContextual"/>
        </w:rPr>
      </w:pPr>
      <w:hyperlink w:anchor="_Toc239417035" w:history="1">
        <w:r w:rsidRPr="008502FA">
          <w:rPr>
            <w:rStyle w:val="Hipervnculo"/>
            <w:noProof/>
          </w:rPr>
          <w:t>2.2.</w:t>
        </w:r>
        <w:r>
          <w:rPr>
            <w:rFonts w:eastAsiaTheme="minorEastAsia" w:cstheme="minorBidi"/>
            <w:noProof/>
            <w:kern w:val="2"/>
            <w14:ligatures w14:val="standardContextual"/>
          </w:rPr>
          <w:tab/>
        </w:r>
        <w:r w:rsidRPr="008502FA">
          <w:rPr>
            <w:rStyle w:val="Hipervnculo"/>
            <w:noProof/>
          </w:rPr>
          <w:t>Bioinformática y Transcriptómica</w:t>
        </w:r>
        <w:r>
          <w:rPr>
            <w:noProof/>
            <w:webHidden/>
          </w:rPr>
          <w:tab/>
        </w:r>
        <w:r>
          <w:rPr>
            <w:noProof/>
            <w:webHidden/>
          </w:rPr>
          <w:fldChar w:fldCharType="begin"/>
        </w:r>
        <w:r>
          <w:rPr>
            <w:noProof/>
            <w:webHidden/>
          </w:rPr>
          <w:instrText xml:space="preserve"> PAGEREF _Toc239417035 \h </w:instrText>
        </w:r>
        <w:r>
          <w:rPr>
            <w:noProof/>
            <w:webHidden/>
          </w:rPr>
        </w:r>
        <w:r>
          <w:rPr>
            <w:noProof/>
            <w:webHidden/>
          </w:rPr>
          <w:fldChar w:fldCharType="separate"/>
        </w:r>
        <w:r>
          <w:rPr>
            <w:noProof/>
            <w:webHidden/>
          </w:rPr>
          <w:t>17</w:t>
        </w:r>
        <w:r>
          <w:rPr>
            <w:noProof/>
            <w:webHidden/>
          </w:rPr>
          <w:fldChar w:fldCharType="end"/>
        </w:r>
      </w:hyperlink>
    </w:p>
    <w:p w14:paraId="4FA3E7C5" w14:textId="44A05FD9" w:rsidR="00015E06" w:rsidRDefault="00015E06">
      <w:pPr>
        <w:pStyle w:val="TDC2"/>
        <w:tabs>
          <w:tab w:val="left" w:pos="960"/>
          <w:tab w:val="right" w:leader="dot" w:pos="9061"/>
        </w:tabs>
        <w:rPr>
          <w:rFonts w:eastAsiaTheme="minorEastAsia" w:cstheme="minorBidi"/>
          <w:noProof/>
          <w:kern w:val="2"/>
          <w14:ligatures w14:val="standardContextual"/>
        </w:rPr>
      </w:pPr>
      <w:hyperlink w:anchor="_Toc239417036" w:history="1">
        <w:r w:rsidRPr="008502FA">
          <w:rPr>
            <w:rStyle w:val="Hipervnculo"/>
            <w:noProof/>
          </w:rPr>
          <w:t>2.3.</w:t>
        </w:r>
        <w:r>
          <w:rPr>
            <w:rFonts w:eastAsiaTheme="minorEastAsia" w:cstheme="minorBidi"/>
            <w:noProof/>
            <w:kern w:val="2"/>
            <w14:ligatures w14:val="standardContextual"/>
          </w:rPr>
          <w:tab/>
        </w:r>
        <w:r w:rsidRPr="008502FA">
          <w:rPr>
            <w:rStyle w:val="Hipervnculo"/>
            <w:noProof/>
          </w:rPr>
          <w:t>Análisis De Expresión Génica Diferencial (DGEA)</w:t>
        </w:r>
        <w:r>
          <w:rPr>
            <w:noProof/>
            <w:webHidden/>
          </w:rPr>
          <w:tab/>
        </w:r>
        <w:r>
          <w:rPr>
            <w:noProof/>
            <w:webHidden/>
          </w:rPr>
          <w:fldChar w:fldCharType="begin"/>
        </w:r>
        <w:r>
          <w:rPr>
            <w:noProof/>
            <w:webHidden/>
          </w:rPr>
          <w:instrText xml:space="preserve"> PAGEREF _Toc239417036 \h </w:instrText>
        </w:r>
        <w:r>
          <w:rPr>
            <w:noProof/>
            <w:webHidden/>
          </w:rPr>
        </w:r>
        <w:r>
          <w:rPr>
            <w:noProof/>
            <w:webHidden/>
          </w:rPr>
          <w:fldChar w:fldCharType="separate"/>
        </w:r>
        <w:r>
          <w:rPr>
            <w:noProof/>
            <w:webHidden/>
          </w:rPr>
          <w:t>20</w:t>
        </w:r>
        <w:r>
          <w:rPr>
            <w:noProof/>
            <w:webHidden/>
          </w:rPr>
          <w:fldChar w:fldCharType="end"/>
        </w:r>
      </w:hyperlink>
    </w:p>
    <w:p w14:paraId="5DFF617B" w14:textId="6207999C" w:rsidR="00015E06" w:rsidRDefault="00015E06">
      <w:pPr>
        <w:pStyle w:val="TDC2"/>
        <w:tabs>
          <w:tab w:val="left" w:pos="960"/>
          <w:tab w:val="right" w:leader="dot" w:pos="9061"/>
        </w:tabs>
        <w:rPr>
          <w:rFonts w:eastAsiaTheme="minorEastAsia" w:cstheme="minorBidi"/>
          <w:noProof/>
          <w:kern w:val="2"/>
          <w14:ligatures w14:val="standardContextual"/>
        </w:rPr>
      </w:pPr>
      <w:hyperlink w:anchor="_Toc239417037" w:history="1">
        <w:r w:rsidRPr="008502FA">
          <w:rPr>
            <w:rStyle w:val="Hipervnculo"/>
            <w:noProof/>
          </w:rPr>
          <w:t>2.4.</w:t>
        </w:r>
        <w:r>
          <w:rPr>
            <w:rFonts w:eastAsiaTheme="minorEastAsia" w:cstheme="minorBidi"/>
            <w:noProof/>
            <w:kern w:val="2"/>
            <w14:ligatures w14:val="standardContextual"/>
          </w:rPr>
          <w:tab/>
        </w:r>
        <w:r w:rsidRPr="008502FA">
          <w:rPr>
            <w:rStyle w:val="Hipervnculo"/>
            <w:noProof/>
          </w:rPr>
          <w:t>Anotación Genómica y Análisis de Enriquecimiento Funcional</w:t>
        </w:r>
        <w:r>
          <w:rPr>
            <w:noProof/>
            <w:webHidden/>
          </w:rPr>
          <w:tab/>
        </w:r>
        <w:r>
          <w:rPr>
            <w:noProof/>
            <w:webHidden/>
          </w:rPr>
          <w:fldChar w:fldCharType="begin"/>
        </w:r>
        <w:r>
          <w:rPr>
            <w:noProof/>
            <w:webHidden/>
          </w:rPr>
          <w:instrText xml:space="preserve"> PAGEREF _Toc239417037 \h </w:instrText>
        </w:r>
        <w:r>
          <w:rPr>
            <w:noProof/>
            <w:webHidden/>
          </w:rPr>
        </w:r>
        <w:r>
          <w:rPr>
            <w:noProof/>
            <w:webHidden/>
          </w:rPr>
          <w:fldChar w:fldCharType="separate"/>
        </w:r>
        <w:r>
          <w:rPr>
            <w:noProof/>
            <w:webHidden/>
          </w:rPr>
          <w:t>22</w:t>
        </w:r>
        <w:r>
          <w:rPr>
            <w:noProof/>
            <w:webHidden/>
          </w:rPr>
          <w:fldChar w:fldCharType="end"/>
        </w:r>
      </w:hyperlink>
    </w:p>
    <w:p w14:paraId="294BA19F" w14:textId="136FBF27" w:rsidR="00015E06" w:rsidRDefault="00015E06">
      <w:pPr>
        <w:pStyle w:val="TDC1"/>
        <w:tabs>
          <w:tab w:val="left" w:pos="440"/>
        </w:tabs>
        <w:rPr>
          <w:rFonts w:eastAsiaTheme="minorEastAsia" w:cstheme="minorBidi"/>
          <w:noProof/>
          <w:kern w:val="2"/>
          <w14:ligatures w14:val="standardContextual"/>
        </w:rPr>
      </w:pPr>
      <w:hyperlink w:anchor="_Toc239417038" w:history="1">
        <w:r w:rsidRPr="008502FA">
          <w:rPr>
            <w:rStyle w:val="Hipervnculo"/>
            <w:noProof/>
          </w:rPr>
          <w:t>3.</w:t>
        </w:r>
        <w:r>
          <w:rPr>
            <w:rFonts w:eastAsiaTheme="minorEastAsia" w:cstheme="minorBidi"/>
            <w:noProof/>
            <w:kern w:val="2"/>
            <w14:ligatures w14:val="standardContextual"/>
          </w:rPr>
          <w:tab/>
        </w:r>
        <w:r w:rsidRPr="008502FA">
          <w:rPr>
            <w:rStyle w:val="Hipervnculo"/>
            <w:noProof/>
          </w:rPr>
          <w:t>Metodología</w:t>
        </w:r>
        <w:r>
          <w:rPr>
            <w:noProof/>
            <w:webHidden/>
          </w:rPr>
          <w:tab/>
        </w:r>
        <w:r>
          <w:rPr>
            <w:noProof/>
            <w:webHidden/>
          </w:rPr>
          <w:fldChar w:fldCharType="begin"/>
        </w:r>
        <w:r>
          <w:rPr>
            <w:noProof/>
            <w:webHidden/>
          </w:rPr>
          <w:instrText xml:space="preserve"> PAGEREF _Toc239417038 \h </w:instrText>
        </w:r>
        <w:r>
          <w:rPr>
            <w:noProof/>
            <w:webHidden/>
          </w:rPr>
        </w:r>
        <w:r>
          <w:rPr>
            <w:noProof/>
            <w:webHidden/>
          </w:rPr>
          <w:fldChar w:fldCharType="separate"/>
        </w:r>
        <w:r>
          <w:rPr>
            <w:noProof/>
            <w:webHidden/>
          </w:rPr>
          <w:t>25</w:t>
        </w:r>
        <w:r>
          <w:rPr>
            <w:noProof/>
            <w:webHidden/>
          </w:rPr>
          <w:fldChar w:fldCharType="end"/>
        </w:r>
      </w:hyperlink>
    </w:p>
    <w:p w14:paraId="558426DA" w14:textId="75B9DC4F" w:rsidR="00015E06" w:rsidRDefault="00015E06">
      <w:pPr>
        <w:pStyle w:val="TDC2"/>
        <w:tabs>
          <w:tab w:val="left" w:pos="960"/>
          <w:tab w:val="right" w:leader="dot" w:pos="9061"/>
        </w:tabs>
        <w:rPr>
          <w:rFonts w:eastAsiaTheme="minorEastAsia" w:cstheme="minorBidi"/>
          <w:noProof/>
          <w:kern w:val="2"/>
          <w14:ligatures w14:val="standardContextual"/>
        </w:rPr>
      </w:pPr>
      <w:hyperlink w:anchor="_Toc239417039" w:history="1">
        <w:r w:rsidRPr="008502FA">
          <w:rPr>
            <w:rStyle w:val="Hipervnculo"/>
            <w:noProof/>
          </w:rPr>
          <w:t>3.1.</w:t>
        </w:r>
        <w:r>
          <w:rPr>
            <w:rFonts w:eastAsiaTheme="minorEastAsia" w:cstheme="minorBidi"/>
            <w:noProof/>
            <w:kern w:val="2"/>
            <w14:ligatures w14:val="standardContextual"/>
          </w:rPr>
          <w:tab/>
        </w:r>
        <w:r w:rsidRPr="008502FA">
          <w:rPr>
            <w:rStyle w:val="Hipervnculo"/>
            <w:noProof/>
          </w:rPr>
          <w:t>Obtención de los Datos y Criterios de Selección</w:t>
        </w:r>
        <w:r>
          <w:rPr>
            <w:noProof/>
            <w:webHidden/>
          </w:rPr>
          <w:tab/>
        </w:r>
        <w:r>
          <w:rPr>
            <w:noProof/>
            <w:webHidden/>
          </w:rPr>
          <w:fldChar w:fldCharType="begin"/>
        </w:r>
        <w:r>
          <w:rPr>
            <w:noProof/>
            <w:webHidden/>
          </w:rPr>
          <w:instrText xml:space="preserve"> PAGEREF _Toc239417039 \h </w:instrText>
        </w:r>
        <w:r>
          <w:rPr>
            <w:noProof/>
            <w:webHidden/>
          </w:rPr>
        </w:r>
        <w:r>
          <w:rPr>
            <w:noProof/>
            <w:webHidden/>
          </w:rPr>
          <w:fldChar w:fldCharType="separate"/>
        </w:r>
        <w:r>
          <w:rPr>
            <w:noProof/>
            <w:webHidden/>
          </w:rPr>
          <w:t>25</w:t>
        </w:r>
        <w:r>
          <w:rPr>
            <w:noProof/>
            <w:webHidden/>
          </w:rPr>
          <w:fldChar w:fldCharType="end"/>
        </w:r>
      </w:hyperlink>
    </w:p>
    <w:p w14:paraId="49D36E15" w14:textId="6AEEA549" w:rsidR="00015E06" w:rsidRDefault="00015E06">
      <w:pPr>
        <w:pStyle w:val="TDC3"/>
        <w:tabs>
          <w:tab w:val="left" w:pos="1440"/>
          <w:tab w:val="right" w:leader="dot" w:pos="9061"/>
        </w:tabs>
        <w:rPr>
          <w:rFonts w:eastAsiaTheme="minorEastAsia" w:cstheme="minorBidi"/>
          <w:noProof/>
          <w:kern w:val="2"/>
          <w14:ligatures w14:val="standardContextual"/>
        </w:rPr>
      </w:pPr>
      <w:hyperlink w:anchor="_Toc239417040" w:history="1">
        <w:r w:rsidRPr="008502FA">
          <w:rPr>
            <w:rStyle w:val="Hipervnculo"/>
            <w:noProof/>
          </w:rPr>
          <w:t>3.1.1.</w:t>
        </w:r>
        <w:r>
          <w:rPr>
            <w:rFonts w:eastAsiaTheme="minorEastAsia" w:cstheme="minorBidi"/>
            <w:noProof/>
            <w:kern w:val="2"/>
            <w14:ligatures w14:val="standardContextual"/>
          </w:rPr>
          <w:tab/>
        </w:r>
        <w:r w:rsidRPr="008502FA">
          <w:rPr>
            <w:rStyle w:val="Hipervnculo"/>
            <w:noProof/>
          </w:rPr>
          <w:t>Fuente de datos</w:t>
        </w:r>
        <w:r>
          <w:rPr>
            <w:noProof/>
            <w:webHidden/>
          </w:rPr>
          <w:tab/>
        </w:r>
        <w:r>
          <w:rPr>
            <w:noProof/>
            <w:webHidden/>
          </w:rPr>
          <w:fldChar w:fldCharType="begin"/>
        </w:r>
        <w:r>
          <w:rPr>
            <w:noProof/>
            <w:webHidden/>
          </w:rPr>
          <w:instrText xml:space="preserve"> PAGEREF _Toc239417040 \h </w:instrText>
        </w:r>
        <w:r>
          <w:rPr>
            <w:noProof/>
            <w:webHidden/>
          </w:rPr>
        </w:r>
        <w:r>
          <w:rPr>
            <w:noProof/>
            <w:webHidden/>
          </w:rPr>
          <w:fldChar w:fldCharType="separate"/>
        </w:r>
        <w:r>
          <w:rPr>
            <w:noProof/>
            <w:webHidden/>
          </w:rPr>
          <w:t>25</w:t>
        </w:r>
        <w:r>
          <w:rPr>
            <w:noProof/>
            <w:webHidden/>
          </w:rPr>
          <w:fldChar w:fldCharType="end"/>
        </w:r>
      </w:hyperlink>
    </w:p>
    <w:p w14:paraId="4F330341" w14:textId="3C447AA6" w:rsidR="00015E06" w:rsidRDefault="00015E06">
      <w:pPr>
        <w:pStyle w:val="TDC3"/>
        <w:tabs>
          <w:tab w:val="left" w:pos="1440"/>
          <w:tab w:val="right" w:leader="dot" w:pos="9061"/>
        </w:tabs>
        <w:rPr>
          <w:rFonts w:eastAsiaTheme="minorEastAsia" w:cstheme="minorBidi"/>
          <w:noProof/>
          <w:kern w:val="2"/>
          <w14:ligatures w14:val="standardContextual"/>
        </w:rPr>
      </w:pPr>
      <w:hyperlink w:anchor="_Toc239417041" w:history="1">
        <w:r w:rsidRPr="008502FA">
          <w:rPr>
            <w:rStyle w:val="Hipervnculo"/>
            <w:noProof/>
          </w:rPr>
          <w:t>3.1.2.</w:t>
        </w:r>
        <w:r>
          <w:rPr>
            <w:rFonts w:eastAsiaTheme="minorEastAsia" w:cstheme="minorBidi"/>
            <w:noProof/>
            <w:kern w:val="2"/>
            <w14:ligatures w14:val="standardContextual"/>
          </w:rPr>
          <w:tab/>
        </w:r>
        <w:r w:rsidRPr="008502FA">
          <w:rPr>
            <w:rStyle w:val="Hipervnculo"/>
            <w:noProof/>
          </w:rPr>
          <w:t>Descripción de la cohorte</w:t>
        </w:r>
        <w:r>
          <w:rPr>
            <w:noProof/>
            <w:webHidden/>
          </w:rPr>
          <w:tab/>
        </w:r>
        <w:r>
          <w:rPr>
            <w:noProof/>
            <w:webHidden/>
          </w:rPr>
          <w:fldChar w:fldCharType="begin"/>
        </w:r>
        <w:r>
          <w:rPr>
            <w:noProof/>
            <w:webHidden/>
          </w:rPr>
          <w:instrText xml:space="preserve"> PAGEREF _Toc239417041 \h </w:instrText>
        </w:r>
        <w:r>
          <w:rPr>
            <w:noProof/>
            <w:webHidden/>
          </w:rPr>
        </w:r>
        <w:r>
          <w:rPr>
            <w:noProof/>
            <w:webHidden/>
          </w:rPr>
          <w:fldChar w:fldCharType="separate"/>
        </w:r>
        <w:r>
          <w:rPr>
            <w:noProof/>
            <w:webHidden/>
          </w:rPr>
          <w:t>29</w:t>
        </w:r>
        <w:r>
          <w:rPr>
            <w:noProof/>
            <w:webHidden/>
          </w:rPr>
          <w:fldChar w:fldCharType="end"/>
        </w:r>
      </w:hyperlink>
    </w:p>
    <w:p w14:paraId="7310B678" w14:textId="78D3C69E" w:rsidR="00015E06" w:rsidRDefault="00015E06">
      <w:pPr>
        <w:pStyle w:val="TDC2"/>
        <w:tabs>
          <w:tab w:val="left" w:pos="960"/>
          <w:tab w:val="right" w:leader="dot" w:pos="9061"/>
        </w:tabs>
        <w:rPr>
          <w:rFonts w:eastAsiaTheme="minorEastAsia" w:cstheme="minorBidi"/>
          <w:noProof/>
          <w:kern w:val="2"/>
          <w14:ligatures w14:val="standardContextual"/>
        </w:rPr>
      </w:pPr>
      <w:hyperlink w:anchor="_Toc239417042" w:history="1">
        <w:r w:rsidRPr="008502FA">
          <w:rPr>
            <w:rStyle w:val="Hipervnculo"/>
            <w:noProof/>
          </w:rPr>
          <w:t>3.2.</w:t>
        </w:r>
        <w:r>
          <w:rPr>
            <w:rFonts w:eastAsiaTheme="minorEastAsia" w:cstheme="minorBidi"/>
            <w:noProof/>
            <w:kern w:val="2"/>
            <w14:ligatures w14:val="standardContextual"/>
          </w:rPr>
          <w:tab/>
        </w:r>
        <w:r w:rsidRPr="008502FA">
          <w:rPr>
            <w:rStyle w:val="Hipervnculo"/>
            <w:noProof/>
          </w:rPr>
          <w:t>Análisis Exploratorio Inicial y Control de Calidad de los Conteos Crudos</w:t>
        </w:r>
        <w:r>
          <w:rPr>
            <w:noProof/>
            <w:webHidden/>
          </w:rPr>
          <w:tab/>
        </w:r>
        <w:r>
          <w:rPr>
            <w:noProof/>
            <w:webHidden/>
          </w:rPr>
          <w:fldChar w:fldCharType="begin"/>
        </w:r>
        <w:r>
          <w:rPr>
            <w:noProof/>
            <w:webHidden/>
          </w:rPr>
          <w:instrText xml:space="preserve"> PAGEREF _Toc239417042 \h </w:instrText>
        </w:r>
        <w:r>
          <w:rPr>
            <w:noProof/>
            <w:webHidden/>
          </w:rPr>
        </w:r>
        <w:r>
          <w:rPr>
            <w:noProof/>
            <w:webHidden/>
          </w:rPr>
          <w:fldChar w:fldCharType="separate"/>
        </w:r>
        <w:r>
          <w:rPr>
            <w:noProof/>
            <w:webHidden/>
          </w:rPr>
          <w:t>30</w:t>
        </w:r>
        <w:r>
          <w:rPr>
            <w:noProof/>
            <w:webHidden/>
          </w:rPr>
          <w:fldChar w:fldCharType="end"/>
        </w:r>
      </w:hyperlink>
    </w:p>
    <w:p w14:paraId="6334FBF9" w14:textId="58742D51" w:rsidR="00015E06" w:rsidRDefault="00015E06">
      <w:pPr>
        <w:pStyle w:val="TDC2"/>
        <w:tabs>
          <w:tab w:val="left" w:pos="960"/>
          <w:tab w:val="right" w:leader="dot" w:pos="9061"/>
        </w:tabs>
        <w:rPr>
          <w:rFonts w:eastAsiaTheme="minorEastAsia" w:cstheme="minorBidi"/>
          <w:noProof/>
          <w:kern w:val="2"/>
          <w14:ligatures w14:val="standardContextual"/>
        </w:rPr>
      </w:pPr>
      <w:hyperlink w:anchor="_Toc239417043" w:history="1">
        <w:r w:rsidRPr="008502FA">
          <w:rPr>
            <w:rStyle w:val="Hipervnculo"/>
            <w:noProof/>
          </w:rPr>
          <w:t>3.3.</w:t>
        </w:r>
        <w:r>
          <w:rPr>
            <w:rFonts w:eastAsiaTheme="minorEastAsia" w:cstheme="minorBidi"/>
            <w:noProof/>
            <w:kern w:val="2"/>
            <w14:ligatures w14:val="standardContextual"/>
          </w:rPr>
          <w:tab/>
        </w:r>
        <w:r w:rsidRPr="008502FA">
          <w:rPr>
            <w:rStyle w:val="Hipervnculo"/>
            <w:noProof/>
          </w:rPr>
          <w:t xml:space="preserve">Modelado Estadístico y Normalización Transcriptómica mediante </w:t>
        </w:r>
        <w:r w:rsidRPr="008502FA">
          <w:rPr>
            <w:rStyle w:val="Hipervnculo"/>
            <w:i/>
            <w:noProof/>
          </w:rPr>
          <w:t>DESeq2</w:t>
        </w:r>
        <w:r>
          <w:rPr>
            <w:noProof/>
            <w:webHidden/>
          </w:rPr>
          <w:tab/>
        </w:r>
        <w:r>
          <w:rPr>
            <w:noProof/>
            <w:webHidden/>
          </w:rPr>
          <w:fldChar w:fldCharType="begin"/>
        </w:r>
        <w:r>
          <w:rPr>
            <w:noProof/>
            <w:webHidden/>
          </w:rPr>
          <w:instrText xml:space="preserve"> PAGEREF _Toc239417043 \h </w:instrText>
        </w:r>
        <w:r>
          <w:rPr>
            <w:noProof/>
            <w:webHidden/>
          </w:rPr>
        </w:r>
        <w:r>
          <w:rPr>
            <w:noProof/>
            <w:webHidden/>
          </w:rPr>
          <w:fldChar w:fldCharType="separate"/>
        </w:r>
        <w:r>
          <w:rPr>
            <w:noProof/>
            <w:webHidden/>
          </w:rPr>
          <w:t>32</w:t>
        </w:r>
        <w:r>
          <w:rPr>
            <w:noProof/>
            <w:webHidden/>
          </w:rPr>
          <w:fldChar w:fldCharType="end"/>
        </w:r>
      </w:hyperlink>
    </w:p>
    <w:p w14:paraId="02B36C55" w14:textId="77149EBF" w:rsidR="00015E06" w:rsidRDefault="00015E06">
      <w:pPr>
        <w:pStyle w:val="TDC2"/>
        <w:tabs>
          <w:tab w:val="left" w:pos="960"/>
          <w:tab w:val="right" w:leader="dot" w:pos="9061"/>
        </w:tabs>
        <w:rPr>
          <w:rFonts w:eastAsiaTheme="minorEastAsia" w:cstheme="minorBidi"/>
          <w:noProof/>
          <w:kern w:val="2"/>
          <w14:ligatures w14:val="standardContextual"/>
        </w:rPr>
      </w:pPr>
      <w:hyperlink w:anchor="_Toc239417044" w:history="1">
        <w:r w:rsidRPr="008502FA">
          <w:rPr>
            <w:rStyle w:val="Hipervnculo"/>
            <w:noProof/>
          </w:rPr>
          <w:t>3.4.</w:t>
        </w:r>
        <w:r>
          <w:rPr>
            <w:rFonts w:eastAsiaTheme="minorEastAsia" w:cstheme="minorBidi"/>
            <w:noProof/>
            <w:kern w:val="2"/>
            <w14:ligatures w14:val="standardContextual"/>
          </w:rPr>
          <w:tab/>
        </w:r>
        <w:r w:rsidRPr="008502FA">
          <w:rPr>
            <w:rStyle w:val="Hipervnculo"/>
            <w:noProof/>
          </w:rPr>
          <w:t>Control de Falsos Positivos, Contracción del LFC y Filtrado de DEGs</w:t>
        </w:r>
        <w:r>
          <w:rPr>
            <w:noProof/>
            <w:webHidden/>
          </w:rPr>
          <w:tab/>
        </w:r>
        <w:r>
          <w:rPr>
            <w:noProof/>
            <w:webHidden/>
          </w:rPr>
          <w:fldChar w:fldCharType="begin"/>
        </w:r>
        <w:r>
          <w:rPr>
            <w:noProof/>
            <w:webHidden/>
          </w:rPr>
          <w:instrText xml:space="preserve"> PAGEREF _Toc239417044 \h </w:instrText>
        </w:r>
        <w:r>
          <w:rPr>
            <w:noProof/>
            <w:webHidden/>
          </w:rPr>
        </w:r>
        <w:r>
          <w:rPr>
            <w:noProof/>
            <w:webHidden/>
          </w:rPr>
          <w:fldChar w:fldCharType="separate"/>
        </w:r>
        <w:r>
          <w:rPr>
            <w:noProof/>
            <w:webHidden/>
          </w:rPr>
          <w:t>34</w:t>
        </w:r>
        <w:r>
          <w:rPr>
            <w:noProof/>
            <w:webHidden/>
          </w:rPr>
          <w:fldChar w:fldCharType="end"/>
        </w:r>
      </w:hyperlink>
    </w:p>
    <w:p w14:paraId="384FA96F" w14:textId="410E3F77" w:rsidR="00015E06" w:rsidRDefault="00015E06">
      <w:pPr>
        <w:pStyle w:val="TDC2"/>
        <w:tabs>
          <w:tab w:val="left" w:pos="960"/>
          <w:tab w:val="right" w:leader="dot" w:pos="9061"/>
        </w:tabs>
        <w:rPr>
          <w:rFonts w:eastAsiaTheme="minorEastAsia" w:cstheme="minorBidi"/>
          <w:noProof/>
          <w:kern w:val="2"/>
          <w14:ligatures w14:val="standardContextual"/>
        </w:rPr>
      </w:pPr>
      <w:hyperlink w:anchor="_Toc239417045" w:history="1">
        <w:r w:rsidRPr="008502FA">
          <w:rPr>
            <w:rStyle w:val="Hipervnculo"/>
            <w:noProof/>
          </w:rPr>
          <w:t>3.5.</w:t>
        </w:r>
        <w:r>
          <w:rPr>
            <w:rFonts w:eastAsiaTheme="minorEastAsia" w:cstheme="minorBidi"/>
            <w:noProof/>
            <w:kern w:val="2"/>
            <w14:ligatures w14:val="standardContextual"/>
          </w:rPr>
          <w:tab/>
        </w:r>
        <w:r w:rsidRPr="008502FA">
          <w:rPr>
            <w:rStyle w:val="Hipervnculo"/>
            <w:noProof/>
          </w:rPr>
          <w:t>Anotación Molecular y Mapeo de Identificadores Funcionales</w:t>
        </w:r>
        <w:r>
          <w:rPr>
            <w:noProof/>
            <w:webHidden/>
          </w:rPr>
          <w:tab/>
        </w:r>
        <w:r>
          <w:rPr>
            <w:noProof/>
            <w:webHidden/>
          </w:rPr>
          <w:fldChar w:fldCharType="begin"/>
        </w:r>
        <w:r>
          <w:rPr>
            <w:noProof/>
            <w:webHidden/>
          </w:rPr>
          <w:instrText xml:space="preserve"> PAGEREF _Toc239417045 \h </w:instrText>
        </w:r>
        <w:r>
          <w:rPr>
            <w:noProof/>
            <w:webHidden/>
          </w:rPr>
        </w:r>
        <w:r>
          <w:rPr>
            <w:noProof/>
            <w:webHidden/>
          </w:rPr>
          <w:fldChar w:fldCharType="separate"/>
        </w:r>
        <w:r>
          <w:rPr>
            <w:noProof/>
            <w:webHidden/>
          </w:rPr>
          <w:t>36</w:t>
        </w:r>
        <w:r>
          <w:rPr>
            <w:noProof/>
            <w:webHidden/>
          </w:rPr>
          <w:fldChar w:fldCharType="end"/>
        </w:r>
      </w:hyperlink>
    </w:p>
    <w:p w14:paraId="6323D5C6" w14:textId="1B5A9FCD" w:rsidR="00015E06" w:rsidRDefault="00015E06">
      <w:pPr>
        <w:pStyle w:val="TDC2"/>
        <w:tabs>
          <w:tab w:val="left" w:pos="960"/>
          <w:tab w:val="right" w:leader="dot" w:pos="9061"/>
        </w:tabs>
        <w:rPr>
          <w:rFonts w:eastAsiaTheme="minorEastAsia" w:cstheme="minorBidi"/>
          <w:noProof/>
          <w:kern w:val="2"/>
          <w14:ligatures w14:val="standardContextual"/>
        </w:rPr>
      </w:pPr>
      <w:hyperlink w:anchor="_Toc239417046" w:history="1">
        <w:r w:rsidRPr="008502FA">
          <w:rPr>
            <w:rStyle w:val="Hipervnculo"/>
            <w:noProof/>
          </w:rPr>
          <w:t>3.6.</w:t>
        </w:r>
        <w:r>
          <w:rPr>
            <w:rFonts w:eastAsiaTheme="minorEastAsia" w:cstheme="minorBidi"/>
            <w:noProof/>
            <w:kern w:val="2"/>
            <w14:ligatures w14:val="standardContextual"/>
          </w:rPr>
          <w:tab/>
        </w:r>
        <w:r w:rsidRPr="008502FA">
          <w:rPr>
            <w:rStyle w:val="Hipervnculo"/>
            <w:noProof/>
          </w:rPr>
          <w:t>Identificación de Firmas Consenso y Análisis de Enriquecimiento Funcional</w:t>
        </w:r>
        <w:r>
          <w:rPr>
            <w:noProof/>
            <w:webHidden/>
          </w:rPr>
          <w:tab/>
        </w:r>
        <w:r>
          <w:rPr>
            <w:noProof/>
            <w:webHidden/>
          </w:rPr>
          <w:fldChar w:fldCharType="begin"/>
        </w:r>
        <w:r>
          <w:rPr>
            <w:noProof/>
            <w:webHidden/>
          </w:rPr>
          <w:instrText xml:space="preserve"> PAGEREF _Toc239417046 \h </w:instrText>
        </w:r>
        <w:r>
          <w:rPr>
            <w:noProof/>
            <w:webHidden/>
          </w:rPr>
        </w:r>
        <w:r>
          <w:rPr>
            <w:noProof/>
            <w:webHidden/>
          </w:rPr>
          <w:fldChar w:fldCharType="separate"/>
        </w:r>
        <w:r>
          <w:rPr>
            <w:noProof/>
            <w:webHidden/>
          </w:rPr>
          <w:t>38</w:t>
        </w:r>
        <w:r>
          <w:rPr>
            <w:noProof/>
            <w:webHidden/>
          </w:rPr>
          <w:fldChar w:fldCharType="end"/>
        </w:r>
      </w:hyperlink>
    </w:p>
    <w:p w14:paraId="70CD0496" w14:textId="71D28A5F" w:rsidR="00015E06" w:rsidRDefault="00015E06">
      <w:pPr>
        <w:pStyle w:val="TDC1"/>
        <w:tabs>
          <w:tab w:val="left" w:pos="440"/>
        </w:tabs>
        <w:rPr>
          <w:rFonts w:eastAsiaTheme="minorEastAsia" w:cstheme="minorBidi"/>
          <w:noProof/>
          <w:kern w:val="2"/>
          <w14:ligatures w14:val="standardContextual"/>
        </w:rPr>
      </w:pPr>
      <w:hyperlink w:anchor="_Toc239417047" w:history="1">
        <w:r w:rsidRPr="008502FA">
          <w:rPr>
            <w:rStyle w:val="Hipervnculo"/>
            <w:noProof/>
          </w:rPr>
          <w:t>4.</w:t>
        </w:r>
        <w:r>
          <w:rPr>
            <w:rFonts w:eastAsiaTheme="minorEastAsia" w:cstheme="minorBidi"/>
            <w:noProof/>
            <w:kern w:val="2"/>
            <w14:ligatures w14:val="standardContextual"/>
          </w:rPr>
          <w:tab/>
        </w:r>
        <w:r w:rsidRPr="008502FA">
          <w:rPr>
            <w:rStyle w:val="Hipervnculo"/>
            <w:noProof/>
          </w:rPr>
          <w:t>Resultados</w:t>
        </w:r>
        <w:r>
          <w:rPr>
            <w:noProof/>
            <w:webHidden/>
          </w:rPr>
          <w:tab/>
        </w:r>
        <w:r>
          <w:rPr>
            <w:noProof/>
            <w:webHidden/>
          </w:rPr>
          <w:fldChar w:fldCharType="begin"/>
        </w:r>
        <w:r>
          <w:rPr>
            <w:noProof/>
            <w:webHidden/>
          </w:rPr>
          <w:instrText xml:space="preserve"> PAGEREF _Toc239417047 \h </w:instrText>
        </w:r>
        <w:r>
          <w:rPr>
            <w:noProof/>
            <w:webHidden/>
          </w:rPr>
        </w:r>
        <w:r>
          <w:rPr>
            <w:noProof/>
            <w:webHidden/>
          </w:rPr>
          <w:fldChar w:fldCharType="separate"/>
        </w:r>
        <w:r>
          <w:rPr>
            <w:noProof/>
            <w:webHidden/>
          </w:rPr>
          <w:t>41</w:t>
        </w:r>
        <w:r>
          <w:rPr>
            <w:noProof/>
            <w:webHidden/>
          </w:rPr>
          <w:fldChar w:fldCharType="end"/>
        </w:r>
      </w:hyperlink>
    </w:p>
    <w:p w14:paraId="0435F1C5" w14:textId="43D1DC78" w:rsidR="00015E06" w:rsidRDefault="00015E06">
      <w:pPr>
        <w:pStyle w:val="TDC2"/>
        <w:tabs>
          <w:tab w:val="left" w:pos="960"/>
          <w:tab w:val="right" w:leader="dot" w:pos="9061"/>
        </w:tabs>
        <w:rPr>
          <w:rFonts w:eastAsiaTheme="minorEastAsia" w:cstheme="minorBidi"/>
          <w:noProof/>
          <w:kern w:val="2"/>
          <w14:ligatures w14:val="standardContextual"/>
        </w:rPr>
      </w:pPr>
      <w:hyperlink w:anchor="_Toc239417048" w:history="1">
        <w:r w:rsidRPr="008502FA">
          <w:rPr>
            <w:rStyle w:val="Hipervnculo"/>
            <w:noProof/>
          </w:rPr>
          <w:t>4.1.</w:t>
        </w:r>
        <w:r>
          <w:rPr>
            <w:rFonts w:eastAsiaTheme="minorEastAsia" w:cstheme="minorBidi"/>
            <w:noProof/>
            <w:kern w:val="2"/>
            <w14:ligatures w14:val="standardContextual"/>
          </w:rPr>
          <w:tab/>
        </w:r>
        <w:r w:rsidRPr="008502FA">
          <w:rPr>
            <w:rStyle w:val="Hipervnculo"/>
            <w:noProof/>
          </w:rPr>
          <w:t>Análisis Exploratorio y Control de Calidad Inicial</w:t>
        </w:r>
        <w:r>
          <w:rPr>
            <w:noProof/>
            <w:webHidden/>
          </w:rPr>
          <w:tab/>
        </w:r>
        <w:r>
          <w:rPr>
            <w:noProof/>
            <w:webHidden/>
          </w:rPr>
          <w:fldChar w:fldCharType="begin"/>
        </w:r>
        <w:r>
          <w:rPr>
            <w:noProof/>
            <w:webHidden/>
          </w:rPr>
          <w:instrText xml:space="preserve"> PAGEREF _Toc239417048 \h </w:instrText>
        </w:r>
        <w:r>
          <w:rPr>
            <w:noProof/>
            <w:webHidden/>
          </w:rPr>
        </w:r>
        <w:r>
          <w:rPr>
            <w:noProof/>
            <w:webHidden/>
          </w:rPr>
          <w:fldChar w:fldCharType="separate"/>
        </w:r>
        <w:r>
          <w:rPr>
            <w:noProof/>
            <w:webHidden/>
          </w:rPr>
          <w:t>41</w:t>
        </w:r>
        <w:r>
          <w:rPr>
            <w:noProof/>
            <w:webHidden/>
          </w:rPr>
          <w:fldChar w:fldCharType="end"/>
        </w:r>
      </w:hyperlink>
    </w:p>
    <w:p w14:paraId="2488CF09" w14:textId="5A8B433B" w:rsidR="00015E06" w:rsidRDefault="00015E06">
      <w:pPr>
        <w:pStyle w:val="TDC2"/>
        <w:tabs>
          <w:tab w:val="left" w:pos="960"/>
          <w:tab w:val="right" w:leader="dot" w:pos="9061"/>
        </w:tabs>
        <w:rPr>
          <w:rFonts w:eastAsiaTheme="minorEastAsia" w:cstheme="minorBidi"/>
          <w:noProof/>
          <w:kern w:val="2"/>
          <w14:ligatures w14:val="standardContextual"/>
        </w:rPr>
      </w:pPr>
      <w:hyperlink w:anchor="_Toc239417049" w:history="1">
        <w:r w:rsidRPr="008502FA">
          <w:rPr>
            <w:rStyle w:val="Hipervnculo"/>
            <w:noProof/>
          </w:rPr>
          <w:t>4.2.</w:t>
        </w:r>
        <w:r>
          <w:rPr>
            <w:rFonts w:eastAsiaTheme="minorEastAsia" w:cstheme="minorBidi"/>
            <w:noProof/>
            <w:kern w:val="2"/>
            <w14:ligatures w14:val="standardContextual"/>
          </w:rPr>
          <w:tab/>
        </w:r>
        <w:r w:rsidRPr="008502FA">
          <w:rPr>
            <w:rStyle w:val="Hipervnculo"/>
            <w:noProof/>
          </w:rPr>
          <w:t>Identificación de Genes Diferencialmente Expresados Por Cohorte</w:t>
        </w:r>
        <w:r>
          <w:rPr>
            <w:noProof/>
            <w:webHidden/>
          </w:rPr>
          <w:tab/>
        </w:r>
        <w:r>
          <w:rPr>
            <w:noProof/>
            <w:webHidden/>
          </w:rPr>
          <w:fldChar w:fldCharType="begin"/>
        </w:r>
        <w:r>
          <w:rPr>
            <w:noProof/>
            <w:webHidden/>
          </w:rPr>
          <w:instrText xml:space="preserve"> PAGEREF _Toc239417049 \h </w:instrText>
        </w:r>
        <w:r>
          <w:rPr>
            <w:noProof/>
            <w:webHidden/>
          </w:rPr>
        </w:r>
        <w:r>
          <w:rPr>
            <w:noProof/>
            <w:webHidden/>
          </w:rPr>
          <w:fldChar w:fldCharType="separate"/>
        </w:r>
        <w:r>
          <w:rPr>
            <w:noProof/>
            <w:webHidden/>
          </w:rPr>
          <w:t>45</w:t>
        </w:r>
        <w:r>
          <w:rPr>
            <w:noProof/>
            <w:webHidden/>
          </w:rPr>
          <w:fldChar w:fldCharType="end"/>
        </w:r>
      </w:hyperlink>
    </w:p>
    <w:p w14:paraId="2F7B5626" w14:textId="0FD38E2E" w:rsidR="00015E06" w:rsidRDefault="00015E06">
      <w:pPr>
        <w:pStyle w:val="TDC2"/>
        <w:tabs>
          <w:tab w:val="left" w:pos="960"/>
          <w:tab w:val="right" w:leader="dot" w:pos="9061"/>
        </w:tabs>
        <w:rPr>
          <w:rFonts w:eastAsiaTheme="minorEastAsia" w:cstheme="minorBidi"/>
          <w:noProof/>
          <w:kern w:val="2"/>
          <w14:ligatures w14:val="standardContextual"/>
        </w:rPr>
      </w:pPr>
      <w:hyperlink w:anchor="_Toc239417050" w:history="1">
        <w:r w:rsidRPr="008502FA">
          <w:rPr>
            <w:rStyle w:val="Hipervnculo"/>
            <w:noProof/>
          </w:rPr>
          <w:t>4.3.</w:t>
        </w:r>
        <w:r>
          <w:rPr>
            <w:rFonts w:eastAsiaTheme="minorEastAsia" w:cstheme="minorBidi"/>
            <w:noProof/>
            <w:kern w:val="2"/>
            <w14:ligatures w14:val="standardContextual"/>
          </w:rPr>
          <w:tab/>
        </w:r>
        <w:r w:rsidRPr="008502FA">
          <w:rPr>
            <w:rStyle w:val="Hipervnculo"/>
            <w:noProof/>
          </w:rPr>
          <w:t>Determinación de la Firma Génica Consenso</w:t>
        </w:r>
        <w:r>
          <w:rPr>
            <w:noProof/>
            <w:webHidden/>
          </w:rPr>
          <w:tab/>
        </w:r>
        <w:r>
          <w:rPr>
            <w:noProof/>
            <w:webHidden/>
          </w:rPr>
          <w:fldChar w:fldCharType="begin"/>
        </w:r>
        <w:r>
          <w:rPr>
            <w:noProof/>
            <w:webHidden/>
          </w:rPr>
          <w:instrText xml:space="preserve"> PAGEREF _Toc239417050 \h </w:instrText>
        </w:r>
        <w:r>
          <w:rPr>
            <w:noProof/>
            <w:webHidden/>
          </w:rPr>
        </w:r>
        <w:r>
          <w:rPr>
            <w:noProof/>
            <w:webHidden/>
          </w:rPr>
          <w:fldChar w:fldCharType="separate"/>
        </w:r>
        <w:r>
          <w:rPr>
            <w:noProof/>
            <w:webHidden/>
          </w:rPr>
          <w:t>52</w:t>
        </w:r>
        <w:r>
          <w:rPr>
            <w:noProof/>
            <w:webHidden/>
          </w:rPr>
          <w:fldChar w:fldCharType="end"/>
        </w:r>
      </w:hyperlink>
    </w:p>
    <w:p w14:paraId="29A4CD64" w14:textId="6C02B2F5" w:rsidR="00015E06" w:rsidRDefault="00015E06">
      <w:pPr>
        <w:pStyle w:val="TDC2"/>
        <w:tabs>
          <w:tab w:val="left" w:pos="960"/>
          <w:tab w:val="right" w:leader="dot" w:pos="9061"/>
        </w:tabs>
        <w:rPr>
          <w:rFonts w:eastAsiaTheme="minorEastAsia" w:cstheme="minorBidi"/>
          <w:noProof/>
          <w:kern w:val="2"/>
          <w14:ligatures w14:val="standardContextual"/>
        </w:rPr>
      </w:pPr>
      <w:hyperlink w:anchor="_Toc239417051" w:history="1">
        <w:r w:rsidRPr="008502FA">
          <w:rPr>
            <w:rStyle w:val="Hipervnculo"/>
            <w:noProof/>
          </w:rPr>
          <w:t>4.4.</w:t>
        </w:r>
        <w:r>
          <w:rPr>
            <w:rFonts w:eastAsiaTheme="minorEastAsia" w:cstheme="minorBidi"/>
            <w:noProof/>
            <w:kern w:val="2"/>
            <w14:ligatures w14:val="standardContextual"/>
          </w:rPr>
          <w:tab/>
        </w:r>
        <w:r w:rsidRPr="008502FA">
          <w:rPr>
            <w:rStyle w:val="Hipervnculo"/>
            <w:noProof/>
          </w:rPr>
          <w:t>Caracterización Funcional y Análisis de Rutas de la Firma</w:t>
        </w:r>
        <w:r>
          <w:rPr>
            <w:noProof/>
            <w:webHidden/>
          </w:rPr>
          <w:tab/>
        </w:r>
        <w:r>
          <w:rPr>
            <w:noProof/>
            <w:webHidden/>
          </w:rPr>
          <w:fldChar w:fldCharType="begin"/>
        </w:r>
        <w:r>
          <w:rPr>
            <w:noProof/>
            <w:webHidden/>
          </w:rPr>
          <w:instrText xml:space="preserve"> PAGEREF _Toc239417051 \h </w:instrText>
        </w:r>
        <w:r>
          <w:rPr>
            <w:noProof/>
            <w:webHidden/>
          </w:rPr>
        </w:r>
        <w:r>
          <w:rPr>
            <w:noProof/>
            <w:webHidden/>
          </w:rPr>
          <w:fldChar w:fldCharType="separate"/>
        </w:r>
        <w:r>
          <w:rPr>
            <w:noProof/>
            <w:webHidden/>
          </w:rPr>
          <w:t>54</w:t>
        </w:r>
        <w:r>
          <w:rPr>
            <w:noProof/>
            <w:webHidden/>
          </w:rPr>
          <w:fldChar w:fldCharType="end"/>
        </w:r>
      </w:hyperlink>
    </w:p>
    <w:p w14:paraId="32684A26" w14:textId="72CE0E5A" w:rsidR="00015E06" w:rsidRDefault="00015E06">
      <w:pPr>
        <w:pStyle w:val="TDC3"/>
        <w:tabs>
          <w:tab w:val="left" w:pos="1440"/>
          <w:tab w:val="right" w:leader="dot" w:pos="9061"/>
        </w:tabs>
        <w:rPr>
          <w:rFonts w:eastAsiaTheme="minorEastAsia" w:cstheme="minorBidi"/>
          <w:noProof/>
          <w:kern w:val="2"/>
          <w14:ligatures w14:val="standardContextual"/>
        </w:rPr>
      </w:pPr>
      <w:hyperlink w:anchor="_Toc239417052" w:history="1">
        <w:r w:rsidRPr="008502FA">
          <w:rPr>
            <w:rStyle w:val="Hipervnculo"/>
            <w:noProof/>
          </w:rPr>
          <w:t>4.4.1.</w:t>
        </w:r>
        <w:r>
          <w:rPr>
            <w:rFonts w:eastAsiaTheme="minorEastAsia" w:cstheme="minorBidi"/>
            <w:noProof/>
            <w:kern w:val="2"/>
            <w14:ligatures w14:val="standardContextual"/>
          </w:rPr>
          <w:tab/>
        </w:r>
        <w:r w:rsidRPr="008502FA">
          <w:rPr>
            <w:rStyle w:val="Hipervnculo"/>
            <w:noProof/>
          </w:rPr>
          <w:t>Análisis de activación funcional (genes sobreexpresados)</w:t>
        </w:r>
        <w:r>
          <w:rPr>
            <w:noProof/>
            <w:webHidden/>
          </w:rPr>
          <w:tab/>
        </w:r>
        <w:r>
          <w:rPr>
            <w:noProof/>
            <w:webHidden/>
          </w:rPr>
          <w:fldChar w:fldCharType="begin"/>
        </w:r>
        <w:r>
          <w:rPr>
            <w:noProof/>
            <w:webHidden/>
          </w:rPr>
          <w:instrText xml:space="preserve"> PAGEREF _Toc239417052 \h </w:instrText>
        </w:r>
        <w:r>
          <w:rPr>
            <w:noProof/>
            <w:webHidden/>
          </w:rPr>
        </w:r>
        <w:r>
          <w:rPr>
            <w:noProof/>
            <w:webHidden/>
          </w:rPr>
          <w:fldChar w:fldCharType="separate"/>
        </w:r>
        <w:r>
          <w:rPr>
            <w:noProof/>
            <w:webHidden/>
          </w:rPr>
          <w:t>54</w:t>
        </w:r>
        <w:r>
          <w:rPr>
            <w:noProof/>
            <w:webHidden/>
          </w:rPr>
          <w:fldChar w:fldCharType="end"/>
        </w:r>
      </w:hyperlink>
    </w:p>
    <w:p w14:paraId="65F15EF5" w14:textId="15C310FF" w:rsidR="00015E06" w:rsidRDefault="00015E06">
      <w:pPr>
        <w:pStyle w:val="TDC3"/>
        <w:tabs>
          <w:tab w:val="left" w:pos="1440"/>
          <w:tab w:val="right" w:leader="dot" w:pos="9061"/>
        </w:tabs>
        <w:rPr>
          <w:rFonts w:eastAsiaTheme="minorEastAsia" w:cstheme="minorBidi"/>
          <w:noProof/>
          <w:kern w:val="2"/>
          <w14:ligatures w14:val="standardContextual"/>
        </w:rPr>
      </w:pPr>
      <w:hyperlink w:anchor="_Toc239417053" w:history="1">
        <w:r w:rsidRPr="008502FA">
          <w:rPr>
            <w:rStyle w:val="Hipervnculo"/>
            <w:noProof/>
          </w:rPr>
          <w:t>4.4.2.</w:t>
        </w:r>
        <w:r>
          <w:rPr>
            <w:rFonts w:eastAsiaTheme="minorEastAsia" w:cstheme="minorBidi"/>
            <w:noProof/>
            <w:kern w:val="2"/>
            <w14:ligatures w14:val="standardContextual"/>
          </w:rPr>
          <w:tab/>
        </w:r>
        <w:r w:rsidRPr="008502FA">
          <w:rPr>
            <w:rStyle w:val="Hipervnculo"/>
            <w:noProof/>
          </w:rPr>
          <w:t>Análisis de represión funcional (genes subexpresados)</w:t>
        </w:r>
        <w:r>
          <w:rPr>
            <w:noProof/>
            <w:webHidden/>
          </w:rPr>
          <w:tab/>
        </w:r>
        <w:r>
          <w:rPr>
            <w:noProof/>
            <w:webHidden/>
          </w:rPr>
          <w:fldChar w:fldCharType="begin"/>
        </w:r>
        <w:r>
          <w:rPr>
            <w:noProof/>
            <w:webHidden/>
          </w:rPr>
          <w:instrText xml:space="preserve"> PAGEREF _Toc239417053 \h </w:instrText>
        </w:r>
        <w:r>
          <w:rPr>
            <w:noProof/>
            <w:webHidden/>
          </w:rPr>
        </w:r>
        <w:r>
          <w:rPr>
            <w:noProof/>
            <w:webHidden/>
          </w:rPr>
          <w:fldChar w:fldCharType="separate"/>
        </w:r>
        <w:r>
          <w:rPr>
            <w:noProof/>
            <w:webHidden/>
          </w:rPr>
          <w:t>59</w:t>
        </w:r>
        <w:r>
          <w:rPr>
            <w:noProof/>
            <w:webHidden/>
          </w:rPr>
          <w:fldChar w:fldCharType="end"/>
        </w:r>
      </w:hyperlink>
    </w:p>
    <w:p w14:paraId="77D4BDF5" w14:textId="13FBDF71" w:rsidR="00015E06" w:rsidRDefault="00015E06">
      <w:pPr>
        <w:pStyle w:val="TDC1"/>
        <w:tabs>
          <w:tab w:val="left" w:pos="440"/>
        </w:tabs>
        <w:rPr>
          <w:rFonts w:eastAsiaTheme="minorEastAsia" w:cstheme="minorBidi"/>
          <w:noProof/>
          <w:kern w:val="2"/>
          <w14:ligatures w14:val="standardContextual"/>
        </w:rPr>
      </w:pPr>
      <w:hyperlink w:anchor="_Toc239417054" w:history="1">
        <w:r w:rsidRPr="008502FA">
          <w:rPr>
            <w:rStyle w:val="Hipervnculo"/>
            <w:noProof/>
          </w:rPr>
          <w:t>5.</w:t>
        </w:r>
        <w:r>
          <w:rPr>
            <w:rFonts w:eastAsiaTheme="minorEastAsia" w:cstheme="minorBidi"/>
            <w:noProof/>
            <w:kern w:val="2"/>
            <w14:ligatures w14:val="standardContextual"/>
          </w:rPr>
          <w:tab/>
        </w:r>
        <w:r w:rsidRPr="008502FA">
          <w:rPr>
            <w:rStyle w:val="Hipervnculo"/>
            <w:noProof/>
          </w:rPr>
          <w:t>Discusión</w:t>
        </w:r>
        <w:r>
          <w:rPr>
            <w:noProof/>
            <w:webHidden/>
          </w:rPr>
          <w:tab/>
        </w:r>
        <w:r>
          <w:rPr>
            <w:noProof/>
            <w:webHidden/>
          </w:rPr>
          <w:fldChar w:fldCharType="begin"/>
        </w:r>
        <w:r>
          <w:rPr>
            <w:noProof/>
            <w:webHidden/>
          </w:rPr>
          <w:instrText xml:space="preserve"> PAGEREF _Toc239417054 \h </w:instrText>
        </w:r>
        <w:r>
          <w:rPr>
            <w:noProof/>
            <w:webHidden/>
          </w:rPr>
        </w:r>
        <w:r>
          <w:rPr>
            <w:noProof/>
            <w:webHidden/>
          </w:rPr>
          <w:fldChar w:fldCharType="separate"/>
        </w:r>
        <w:r>
          <w:rPr>
            <w:noProof/>
            <w:webHidden/>
          </w:rPr>
          <w:t>63</w:t>
        </w:r>
        <w:r>
          <w:rPr>
            <w:noProof/>
            <w:webHidden/>
          </w:rPr>
          <w:fldChar w:fldCharType="end"/>
        </w:r>
      </w:hyperlink>
    </w:p>
    <w:p w14:paraId="378861DB" w14:textId="643890F7" w:rsidR="00015E06" w:rsidRDefault="00015E06">
      <w:pPr>
        <w:pStyle w:val="TDC2"/>
        <w:tabs>
          <w:tab w:val="left" w:pos="960"/>
          <w:tab w:val="right" w:leader="dot" w:pos="9061"/>
        </w:tabs>
        <w:rPr>
          <w:rFonts w:eastAsiaTheme="minorEastAsia" w:cstheme="minorBidi"/>
          <w:noProof/>
          <w:kern w:val="2"/>
          <w14:ligatures w14:val="standardContextual"/>
        </w:rPr>
      </w:pPr>
      <w:hyperlink w:anchor="_Toc239417055" w:history="1">
        <w:r w:rsidRPr="008502FA">
          <w:rPr>
            <w:rStyle w:val="Hipervnculo"/>
            <w:noProof/>
          </w:rPr>
          <w:t>5.1.</w:t>
        </w:r>
        <w:r>
          <w:rPr>
            <w:rFonts w:eastAsiaTheme="minorEastAsia" w:cstheme="minorBidi"/>
            <w:noProof/>
            <w:kern w:val="2"/>
            <w14:ligatures w14:val="standardContextual"/>
          </w:rPr>
          <w:tab/>
        </w:r>
        <w:r w:rsidRPr="008502FA">
          <w:rPr>
            <w:rStyle w:val="Hipervnculo"/>
            <w:noProof/>
          </w:rPr>
          <w:t>Interpretación de los Biomarcadores Clave</w:t>
        </w:r>
        <w:r>
          <w:rPr>
            <w:noProof/>
            <w:webHidden/>
          </w:rPr>
          <w:tab/>
        </w:r>
        <w:r>
          <w:rPr>
            <w:noProof/>
            <w:webHidden/>
          </w:rPr>
          <w:fldChar w:fldCharType="begin"/>
        </w:r>
        <w:r>
          <w:rPr>
            <w:noProof/>
            <w:webHidden/>
          </w:rPr>
          <w:instrText xml:space="preserve"> PAGEREF _Toc239417055 \h </w:instrText>
        </w:r>
        <w:r>
          <w:rPr>
            <w:noProof/>
            <w:webHidden/>
          </w:rPr>
        </w:r>
        <w:r>
          <w:rPr>
            <w:noProof/>
            <w:webHidden/>
          </w:rPr>
          <w:fldChar w:fldCharType="separate"/>
        </w:r>
        <w:r>
          <w:rPr>
            <w:noProof/>
            <w:webHidden/>
          </w:rPr>
          <w:t>63</w:t>
        </w:r>
        <w:r>
          <w:rPr>
            <w:noProof/>
            <w:webHidden/>
          </w:rPr>
          <w:fldChar w:fldCharType="end"/>
        </w:r>
      </w:hyperlink>
    </w:p>
    <w:p w14:paraId="061EE029" w14:textId="4A7E5565" w:rsidR="00015E06" w:rsidRDefault="00015E06">
      <w:pPr>
        <w:pStyle w:val="TDC3"/>
        <w:tabs>
          <w:tab w:val="left" w:pos="1440"/>
          <w:tab w:val="right" w:leader="dot" w:pos="9061"/>
        </w:tabs>
        <w:rPr>
          <w:rFonts w:eastAsiaTheme="minorEastAsia" w:cstheme="minorBidi"/>
          <w:noProof/>
          <w:kern w:val="2"/>
          <w14:ligatures w14:val="standardContextual"/>
        </w:rPr>
      </w:pPr>
      <w:hyperlink w:anchor="_Toc239417056" w:history="1">
        <w:r w:rsidRPr="008502FA">
          <w:rPr>
            <w:rStyle w:val="Hipervnculo"/>
            <w:noProof/>
          </w:rPr>
          <w:t>5.1.1.</w:t>
        </w:r>
        <w:r>
          <w:rPr>
            <w:rFonts w:eastAsiaTheme="minorEastAsia" w:cstheme="minorBidi"/>
            <w:noProof/>
            <w:kern w:val="2"/>
            <w14:ligatures w14:val="standardContextual"/>
          </w:rPr>
          <w:tab/>
        </w:r>
        <w:r w:rsidRPr="008502FA">
          <w:rPr>
            <w:rStyle w:val="Hipervnculo"/>
            <w:noProof/>
          </w:rPr>
          <w:t>Eje de Activación: invasión, proliferación y estroma reactivo</w:t>
        </w:r>
        <w:r>
          <w:rPr>
            <w:noProof/>
            <w:webHidden/>
          </w:rPr>
          <w:tab/>
        </w:r>
        <w:r>
          <w:rPr>
            <w:noProof/>
            <w:webHidden/>
          </w:rPr>
          <w:fldChar w:fldCharType="begin"/>
        </w:r>
        <w:r>
          <w:rPr>
            <w:noProof/>
            <w:webHidden/>
          </w:rPr>
          <w:instrText xml:space="preserve"> PAGEREF _Toc239417056 \h </w:instrText>
        </w:r>
        <w:r>
          <w:rPr>
            <w:noProof/>
            <w:webHidden/>
          </w:rPr>
        </w:r>
        <w:r>
          <w:rPr>
            <w:noProof/>
            <w:webHidden/>
          </w:rPr>
          <w:fldChar w:fldCharType="separate"/>
        </w:r>
        <w:r>
          <w:rPr>
            <w:noProof/>
            <w:webHidden/>
          </w:rPr>
          <w:t>63</w:t>
        </w:r>
        <w:r>
          <w:rPr>
            <w:noProof/>
            <w:webHidden/>
          </w:rPr>
          <w:fldChar w:fldCharType="end"/>
        </w:r>
      </w:hyperlink>
    </w:p>
    <w:p w14:paraId="698A30F3" w14:textId="47E7C49D" w:rsidR="00015E06" w:rsidRDefault="00015E06">
      <w:pPr>
        <w:pStyle w:val="TDC3"/>
        <w:tabs>
          <w:tab w:val="left" w:pos="1440"/>
          <w:tab w:val="right" w:leader="dot" w:pos="9061"/>
        </w:tabs>
        <w:rPr>
          <w:rFonts w:eastAsiaTheme="minorEastAsia" w:cstheme="minorBidi"/>
          <w:noProof/>
          <w:kern w:val="2"/>
          <w14:ligatures w14:val="standardContextual"/>
        </w:rPr>
      </w:pPr>
      <w:hyperlink w:anchor="_Toc239417057" w:history="1">
        <w:r w:rsidRPr="008502FA">
          <w:rPr>
            <w:rStyle w:val="Hipervnculo"/>
            <w:noProof/>
          </w:rPr>
          <w:t>5.1.2.</w:t>
        </w:r>
        <w:r>
          <w:rPr>
            <w:rFonts w:eastAsiaTheme="minorEastAsia" w:cstheme="minorBidi"/>
            <w:noProof/>
            <w:kern w:val="2"/>
            <w14:ligatures w14:val="standardContextual"/>
          </w:rPr>
          <w:tab/>
        </w:r>
        <w:r w:rsidRPr="008502FA">
          <w:rPr>
            <w:rStyle w:val="Hipervnculo"/>
            <w:noProof/>
          </w:rPr>
          <w:t>Eje de Represión: desdiferenciación y pérdida de la identidad epitelial</w:t>
        </w:r>
        <w:r>
          <w:rPr>
            <w:noProof/>
            <w:webHidden/>
          </w:rPr>
          <w:tab/>
        </w:r>
        <w:r>
          <w:rPr>
            <w:noProof/>
            <w:webHidden/>
          </w:rPr>
          <w:fldChar w:fldCharType="begin"/>
        </w:r>
        <w:r>
          <w:rPr>
            <w:noProof/>
            <w:webHidden/>
          </w:rPr>
          <w:instrText xml:space="preserve"> PAGEREF _Toc239417057 \h </w:instrText>
        </w:r>
        <w:r>
          <w:rPr>
            <w:noProof/>
            <w:webHidden/>
          </w:rPr>
        </w:r>
        <w:r>
          <w:rPr>
            <w:noProof/>
            <w:webHidden/>
          </w:rPr>
          <w:fldChar w:fldCharType="separate"/>
        </w:r>
        <w:r>
          <w:rPr>
            <w:noProof/>
            <w:webHidden/>
          </w:rPr>
          <w:t>65</w:t>
        </w:r>
        <w:r>
          <w:rPr>
            <w:noProof/>
            <w:webHidden/>
          </w:rPr>
          <w:fldChar w:fldCharType="end"/>
        </w:r>
      </w:hyperlink>
    </w:p>
    <w:p w14:paraId="7584D2FC" w14:textId="2AC521E0" w:rsidR="00015E06" w:rsidRDefault="00015E06">
      <w:pPr>
        <w:pStyle w:val="TDC2"/>
        <w:tabs>
          <w:tab w:val="left" w:pos="960"/>
          <w:tab w:val="right" w:leader="dot" w:pos="9061"/>
        </w:tabs>
        <w:rPr>
          <w:rFonts w:eastAsiaTheme="minorEastAsia" w:cstheme="minorBidi"/>
          <w:noProof/>
          <w:kern w:val="2"/>
          <w14:ligatures w14:val="standardContextual"/>
        </w:rPr>
      </w:pPr>
      <w:hyperlink w:anchor="_Toc239417058" w:history="1">
        <w:r w:rsidRPr="008502FA">
          <w:rPr>
            <w:rStyle w:val="Hipervnculo"/>
            <w:noProof/>
          </w:rPr>
          <w:t>5.2.</w:t>
        </w:r>
        <w:r>
          <w:rPr>
            <w:rFonts w:eastAsiaTheme="minorEastAsia" w:cstheme="minorBidi"/>
            <w:noProof/>
            <w:kern w:val="2"/>
            <w14:ligatures w14:val="standardContextual"/>
          </w:rPr>
          <w:tab/>
        </w:r>
        <w:r w:rsidRPr="008502FA">
          <w:rPr>
            <w:rStyle w:val="Hipervnculo"/>
            <w:noProof/>
          </w:rPr>
          <w:t>Análisis del Enriquecimiento Funcional en el Contexto Clínico</w:t>
        </w:r>
        <w:r>
          <w:rPr>
            <w:noProof/>
            <w:webHidden/>
          </w:rPr>
          <w:tab/>
        </w:r>
        <w:r>
          <w:rPr>
            <w:noProof/>
            <w:webHidden/>
          </w:rPr>
          <w:fldChar w:fldCharType="begin"/>
        </w:r>
        <w:r>
          <w:rPr>
            <w:noProof/>
            <w:webHidden/>
          </w:rPr>
          <w:instrText xml:space="preserve"> PAGEREF _Toc239417058 \h </w:instrText>
        </w:r>
        <w:r>
          <w:rPr>
            <w:noProof/>
            <w:webHidden/>
          </w:rPr>
        </w:r>
        <w:r>
          <w:rPr>
            <w:noProof/>
            <w:webHidden/>
          </w:rPr>
          <w:fldChar w:fldCharType="separate"/>
        </w:r>
        <w:r>
          <w:rPr>
            <w:noProof/>
            <w:webHidden/>
          </w:rPr>
          <w:t>67</w:t>
        </w:r>
        <w:r>
          <w:rPr>
            <w:noProof/>
            <w:webHidden/>
          </w:rPr>
          <w:fldChar w:fldCharType="end"/>
        </w:r>
      </w:hyperlink>
    </w:p>
    <w:p w14:paraId="039EFF4B" w14:textId="1A31AC17" w:rsidR="00015E06" w:rsidRDefault="00015E06">
      <w:pPr>
        <w:pStyle w:val="TDC2"/>
        <w:tabs>
          <w:tab w:val="left" w:pos="960"/>
          <w:tab w:val="right" w:leader="dot" w:pos="9061"/>
        </w:tabs>
        <w:rPr>
          <w:rFonts w:eastAsiaTheme="minorEastAsia" w:cstheme="minorBidi"/>
          <w:noProof/>
          <w:kern w:val="2"/>
          <w14:ligatures w14:val="standardContextual"/>
        </w:rPr>
      </w:pPr>
      <w:hyperlink w:anchor="_Toc239417059" w:history="1">
        <w:r w:rsidRPr="008502FA">
          <w:rPr>
            <w:rStyle w:val="Hipervnculo"/>
            <w:noProof/>
          </w:rPr>
          <w:t>5.3.</w:t>
        </w:r>
        <w:r>
          <w:rPr>
            <w:rFonts w:eastAsiaTheme="minorEastAsia" w:cstheme="minorBidi"/>
            <w:noProof/>
            <w:kern w:val="2"/>
            <w14:ligatures w14:val="standardContextual"/>
          </w:rPr>
          <w:tab/>
        </w:r>
        <w:r w:rsidRPr="008502FA">
          <w:rPr>
            <w:rStyle w:val="Hipervnculo"/>
            <w:noProof/>
          </w:rPr>
          <w:t>Validez Externa de la Firma Consenso y Heterogeneidad Inter-cohorte</w:t>
        </w:r>
        <w:r>
          <w:rPr>
            <w:noProof/>
            <w:webHidden/>
          </w:rPr>
          <w:tab/>
        </w:r>
        <w:r>
          <w:rPr>
            <w:noProof/>
            <w:webHidden/>
          </w:rPr>
          <w:fldChar w:fldCharType="begin"/>
        </w:r>
        <w:r>
          <w:rPr>
            <w:noProof/>
            <w:webHidden/>
          </w:rPr>
          <w:instrText xml:space="preserve"> PAGEREF _Toc239417059 \h </w:instrText>
        </w:r>
        <w:r>
          <w:rPr>
            <w:noProof/>
            <w:webHidden/>
          </w:rPr>
        </w:r>
        <w:r>
          <w:rPr>
            <w:noProof/>
            <w:webHidden/>
          </w:rPr>
          <w:fldChar w:fldCharType="separate"/>
        </w:r>
        <w:r>
          <w:rPr>
            <w:noProof/>
            <w:webHidden/>
          </w:rPr>
          <w:t>69</w:t>
        </w:r>
        <w:r>
          <w:rPr>
            <w:noProof/>
            <w:webHidden/>
          </w:rPr>
          <w:fldChar w:fldCharType="end"/>
        </w:r>
      </w:hyperlink>
    </w:p>
    <w:p w14:paraId="05B48989" w14:textId="664ABCA3" w:rsidR="00015E06" w:rsidRDefault="00015E06">
      <w:pPr>
        <w:pStyle w:val="TDC2"/>
        <w:tabs>
          <w:tab w:val="left" w:pos="960"/>
          <w:tab w:val="right" w:leader="dot" w:pos="9061"/>
        </w:tabs>
        <w:rPr>
          <w:rFonts w:eastAsiaTheme="minorEastAsia" w:cstheme="minorBidi"/>
          <w:noProof/>
          <w:kern w:val="2"/>
          <w14:ligatures w14:val="standardContextual"/>
        </w:rPr>
      </w:pPr>
      <w:hyperlink w:anchor="_Toc239417060" w:history="1">
        <w:r w:rsidRPr="008502FA">
          <w:rPr>
            <w:rStyle w:val="Hipervnculo"/>
            <w:noProof/>
          </w:rPr>
          <w:t>5.4.</w:t>
        </w:r>
        <w:r>
          <w:rPr>
            <w:rFonts w:eastAsiaTheme="minorEastAsia" w:cstheme="minorBidi"/>
            <w:noProof/>
            <w:kern w:val="2"/>
            <w14:ligatures w14:val="standardContextual"/>
          </w:rPr>
          <w:tab/>
        </w:r>
        <w:r w:rsidRPr="008502FA">
          <w:rPr>
            <w:rStyle w:val="Hipervnculo"/>
            <w:noProof/>
          </w:rPr>
          <w:t>Limitaciones del Estudio, Prospectiva y Trabajo Futuro</w:t>
        </w:r>
        <w:r>
          <w:rPr>
            <w:noProof/>
            <w:webHidden/>
          </w:rPr>
          <w:tab/>
        </w:r>
        <w:r>
          <w:rPr>
            <w:noProof/>
            <w:webHidden/>
          </w:rPr>
          <w:fldChar w:fldCharType="begin"/>
        </w:r>
        <w:r>
          <w:rPr>
            <w:noProof/>
            <w:webHidden/>
          </w:rPr>
          <w:instrText xml:space="preserve"> PAGEREF _Toc239417060 \h </w:instrText>
        </w:r>
        <w:r>
          <w:rPr>
            <w:noProof/>
            <w:webHidden/>
          </w:rPr>
        </w:r>
        <w:r>
          <w:rPr>
            <w:noProof/>
            <w:webHidden/>
          </w:rPr>
          <w:fldChar w:fldCharType="separate"/>
        </w:r>
        <w:r>
          <w:rPr>
            <w:noProof/>
            <w:webHidden/>
          </w:rPr>
          <w:t>70</w:t>
        </w:r>
        <w:r>
          <w:rPr>
            <w:noProof/>
            <w:webHidden/>
          </w:rPr>
          <w:fldChar w:fldCharType="end"/>
        </w:r>
      </w:hyperlink>
    </w:p>
    <w:p w14:paraId="7A0D0377" w14:textId="426C4872" w:rsidR="00015E06" w:rsidRDefault="00015E06">
      <w:pPr>
        <w:pStyle w:val="TDC1"/>
        <w:tabs>
          <w:tab w:val="left" w:pos="440"/>
        </w:tabs>
        <w:rPr>
          <w:rFonts w:eastAsiaTheme="minorEastAsia" w:cstheme="minorBidi"/>
          <w:noProof/>
          <w:kern w:val="2"/>
          <w14:ligatures w14:val="standardContextual"/>
        </w:rPr>
      </w:pPr>
      <w:hyperlink w:anchor="_Toc239417061" w:history="1">
        <w:r w:rsidRPr="008502FA">
          <w:rPr>
            <w:rStyle w:val="Hipervnculo"/>
            <w:noProof/>
          </w:rPr>
          <w:t>6.</w:t>
        </w:r>
        <w:r>
          <w:rPr>
            <w:rFonts w:eastAsiaTheme="minorEastAsia" w:cstheme="minorBidi"/>
            <w:noProof/>
            <w:kern w:val="2"/>
            <w14:ligatures w14:val="standardContextual"/>
          </w:rPr>
          <w:tab/>
        </w:r>
        <w:r w:rsidRPr="008502FA">
          <w:rPr>
            <w:rStyle w:val="Hipervnculo"/>
            <w:noProof/>
          </w:rPr>
          <w:t>Conclusiones</w:t>
        </w:r>
        <w:r>
          <w:rPr>
            <w:noProof/>
            <w:webHidden/>
          </w:rPr>
          <w:tab/>
        </w:r>
        <w:r>
          <w:rPr>
            <w:noProof/>
            <w:webHidden/>
          </w:rPr>
          <w:fldChar w:fldCharType="begin"/>
        </w:r>
        <w:r>
          <w:rPr>
            <w:noProof/>
            <w:webHidden/>
          </w:rPr>
          <w:instrText xml:space="preserve"> PAGEREF _Toc239417061 \h </w:instrText>
        </w:r>
        <w:r>
          <w:rPr>
            <w:noProof/>
            <w:webHidden/>
          </w:rPr>
        </w:r>
        <w:r>
          <w:rPr>
            <w:noProof/>
            <w:webHidden/>
          </w:rPr>
          <w:fldChar w:fldCharType="separate"/>
        </w:r>
        <w:r>
          <w:rPr>
            <w:noProof/>
            <w:webHidden/>
          </w:rPr>
          <w:t>72</w:t>
        </w:r>
        <w:r>
          <w:rPr>
            <w:noProof/>
            <w:webHidden/>
          </w:rPr>
          <w:fldChar w:fldCharType="end"/>
        </w:r>
      </w:hyperlink>
    </w:p>
    <w:p w14:paraId="604ADCFF" w14:textId="38129979" w:rsidR="00015E06" w:rsidRDefault="00015E06">
      <w:pPr>
        <w:pStyle w:val="TDC1"/>
        <w:rPr>
          <w:rFonts w:eastAsiaTheme="minorEastAsia" w:cstheme="minorBidi"/>
          <w:noProof/>
          <w:kern w:val="2"/>
          <w14:ligatures w14:val="standardContextual"/>
        </w:rPr>
      </w:pPr>
      <w:hyperlink w:anchor="_Toc239417062" w:history="1">
        <w:r w:rsidRPr="008502FA">
          <w:rPr>
            <w:rStyle w:val="Hipervnculo"/>
            <w:noProof/>
          </w:rPr>
          <w:t>Referencias Bibliográficas</w:t>
        </w:r>
        <w:r>
          <w:rPr>
            <w:noProof/>
            <w:webHidden/>
          </w:rPr>
          <w:tab/>
        </w:r>
        <w:r>
          <w:rPr>
            <w:noProof/>
            <w:webHidden/>
          </w:rPr>
          <w:fldChar w:fldCharType="begin"/>
        </w:r>
        <w:r>
          <w:rPr>
            <w:noProof/>
            <w:webHidden/>
          </w:rPr>
          <w:instrText xml:space="preserve"> PAGEREF _Toc239417062 \h </w:instrText>
        </w:r>
        <w:r>
          <w:rPr>
            <w:noProof/>
            <w:webHidden/>
          </w:rPr>
        </w:r>
        <w:r>
          <w:rPr>
            <w:noProof/>
            <w:webHidden/>
          </w:rPr>
          <w:fldChar w:fldCharType="separate"/>
        </w:r>
        <w:r>
          <w:rPr>
            <w:noProof/>
            <w:webHidden/>
          </w:rPr>
          <w:t>75</w:t>
        </w:r>
        <w:r>
          <w:rPr>
            <w:noProof/>
            <w:webHidden/>
          </w:rPr>
          <w:fldChar w:fldCharType="end"/>
        </w:r>
      </w:hyperlink>
    </w:p>
    <w:p w14:paraId="330D0AB7" w14:textId="7760323A" w:rsidR="00015E06" w:rsidRDefault="00015E06">
      <w:pPr>
        <w:pStyle w:val="TDC1"/>
        <w:tabs>
          <w:tab w:val="left" w:pos="1200"/>
        </w:tabs>
        <w:rPr>
          <w:rFonts w:eastAsiaTheme="minorEastAsia" w:cstheme="minorBidi"/>
          <w:noProof/>
          <w:kern w:val="2"/>
          <w14:ligatures w14:val="standardContextual"/>
        </w:rPr>
      </w:pPr>
      <w:hyperlink w:anchor="_Toc239417063" w:history="1">
        <w:r w:rsidRPr="008502FA">
          <w:rPr>
            <w:rStyle w:val="Hipervnculo"/>
            <w:noProof/>
          </w:rPr>
          <w:t>Anexo A.</w:t>
        </w:r>
        <w:r>
          <w:rPr>
            <w:rFonts w:eastAsiaTheme="minorEastAsia" w:cstheme="minorBidi"/>
            <w:noProof/>
            <w:kern w:val="2"/>
            <w14:ligatures w14:val="standardContextual"/>
          </w:rPr>
          <w:tab/>
        </w:r>
        <w:r w:rsidRPr="008502FA">
          <w:rPr>
            <w:rStyle w:val="Hipervnculo"/>
            <w:noProof/>
          </w:rPr>
          <w:t>Material Suplementario de la Firma Consenso</w:t>
        </w:r>
        <w:r>
          <w:rPr>
            <w:noProof/>
            <w:webHidden/>
          </w:rPr>
          <w:tab/>
        </w:r>
        <w:r>
          <w:rPr>
            <w:noProof/>
            <w:webHidden/>
          </w:rPr>
          <w:fldChar w:fldCharType="begin"/>
        </w:r>
        <w:r>
          <w:rPr>
            <w:noProof/>
            <w:webHidden/>
          </w:rPr>
          <w:instrText xml:space="preserve"> PAGEREF _Toc239417063 \h </w:instrText>
        </w:r>
        <w:r>
          <w:rPr>
            <w:noProof/>
            <w:webHidden/>
          </w:rPr>
        </w:r>
        <w:r>
          <w:rPr>
            <w:noProof/>
            <w:webHidden/>
          </w:rPr>
          <w:fldChar w:fldCharType="separate"/>
        </w:r>
        <w:r>
          <w:rPr>
            <w:noProof/>
            <w:webHidden/>
          </w:rPr>
          <w:t>81</w:t>
        </w:r>
        <w:r>
          <w:rPr>
            <w:noProof/>
            <w:webHidden/>
          </w:rPr>
          <w:fldChar w:fldCharType="end"/>
        </w:r>
      </w:hyperlink>
    </w:p>
    <w:p w14:paraId="1660CD6C" w14:textId="35F53218" w:rsidR="00015E06" w:rsidRDefault="00015E06">
      <w:pPr>
        <w:pStyle w:val="TDC1"/>
        <w:tabs>
          <w:tab w:val="left" w:pos="1200"/>
        </w:tabs>
        <w:rPr>
          <w:rFonts w:eastAsiaTheme="minorEastAsia" w:cstheme="minorBidi"/>
          <w:noProof/>
          <w:kern w:val="2"/>
          <w14:ligatures w14:val="standardContextual"/>
        </w:rPr>
      </w:pPr>
      <w:hyperlink w:anchor="_Toc239417064" w:history="1">
        <w:r w:rsidRPr="008502FA">
          <w:rPr>
            <w:rStyle w:val="Hipervnculo"/>
            <w:noProof/>
          </w:rPr>
          <w:t>Anexo B.</w:t>
        </w:r>
        <w:r>
          <w:rPr>
            <w:rFonts w:eastAsiaTheme="minorEastAsia" w:cstheme="minorBidi"/>
            <w:noProof/>
            <w:kern w:val="2"/>
            <w14:ligatures w14:val="standardContextual"/>
          </w:rPr>
          <w:tab/>
        </w:r>
        <w:r w:rsidRPr="008502FA">
          <w:rPr>
            <w:rStyle w:val="Hipervnculo"/>
            <w:noProof/>
          </w:rPr>
          <w:t>Análisis Funcionales Secundarios</w:t>
        </w:r>
        <w:r>
          <w:rPr>
            <w:noProof/>
            <w:webHidden/>
          </w:rPr>
          <w:tab/>
        </w:r>
        <w:r>
          <w:rPr>
            <w:noProof/>
            <w:webHidden/>
          </w:rPr>
          <w:fldChar w:fldCharType="begin"/>
        </w:r>
        <w:r>
          <w:rPr>
            <w:noProof/>
            <w:webHidden/>
          </w:rPr>
          <w:instrText xml:space="preserve"> PAGEREF _Toc239417064 \h </w:instrText>
        </w:r>
        <w:r>
          <w:rPr>
            <w:noProof/>
            <w:webHidden/>
          </w:rPr>
        </w:r>
        <w:r>
          <w:rPr>
            <w:noProof/>
            <w:webHidden/>
          </w:rPr>
          <w:fldChar w:fldCharType="separate"/>
        </w:r>
        <w:r>
          <w:rPr>
            <w:noProof/>
            <w:webHidden/>
          </w:rPr>
          <w:t>90</w:t>
        </w:r>
        <w:r>
          <w:rPr>
            <w:noProof/>
            <w:webHidden/>
          </w:rPr>
          <w:fldChar w:fldCharType="end"/>
        </w:r>
      </w:hyperlink>
    </w:p>
    <w:p w14:paraId="1AB571E4" w14:textId="10CF5EA3" w:rsidR="00015E06" w:rsidRDefault="00015E06">
      <w:pPr>
        <w:pStyle w:val="TDC1"/>
        <w:tabs>
          <w:tab w:val="left" w:pos="1200"/>
        </w:tabs>
        <w:rPr>
          <w:rFonts w:eastAsiaTheme="minorEastAsia" w:cstheme="minorBidi"/>
          <w:noProof/>
          <w:kern w:val="2"/>
          <w14:ligatures w14:val="standardContextual"/>
        </w:rPr>
      </w:pPr>
      <w:hyperlink w:anchor="_Toc239417065" w:history="1">
        <w:r w:rsidRPr="008502FA">
          <w:rPr>
            <w:rStyle w:val="Hipervnculo"/>
            <w:noProof/>
          </w:rPr>
          <w:t>Anexo C.</w:t>
        </w:r>
        <w:r>
          <w:rPr>
            <w:rFonts w:eastAsiaTheme="minorEastAsia" w:cstheme="minorBidi"/>
            <w:noProof/>
            <w:kern w:val="2"/>
            <w14:ligatures w14:val="standardContextual"/>
          </w:rPr>
          <w:tab/>
        </w:r>
        <w:r w:rsidRPr="008502FA">
          <w:rPr>
            <w:rStyle w:val="Hipervnculo"/>
            <w:noProof/>
          </w:rPr>
          <w:t>Clasificación funcional de la firma consenso</w:t>
        </w:r>
        <w:r>
          <w:rPr>
            <w:noProof/>
            <w:webHidden/>
          </w:rPr>
          <w:tab/>
        </w:r>
        <w:r>
          <w:rPr>
            <w:noProof/>
            <w:webHidden/>
          </w:rPr>
          <w:fldChar w:fldCharType="begin"/>
        </w:r>
        <w:r>
          <w:rPr>
            <w:noProof/>
            <w:webHidden/>
          </w:rPr>
          <w:instrText xml:space="preserve"> PAGEREF _Toc239417065 \h </w:instrText>
        </w:r>
        <w:r>
          <w:rPr>
            <w:noProof/>
            <w:webHidden/>
          </w:rPr>
        </w:r>
        <w:r>
          <w:rPr>
            <w:noProof/>
            <w:webHidden/>
          </w:rPr>
          <w:fldChar w:fldCharType="separate"/>
        </w:r>
        <w:r>
          <w:rPr>
            <w:noProof/>
            <w:webHidden/>
          </w:rPr>
          <w:t>94</w:t>
        </w:r>
        <w:r>
          <w:rPr>
            <w:noProof/>
            <w:webHidden/>
          </w:rPr>
          <w:fldChar w:fldCharType="end"/>
        </w:r>
      </w:hyperlink>
    </w:p>
    <w:p w14:paraId="5177810C" w14:textId="3DDF0082" w:rsidR="005D549B" w:rsidRPr="00727AE8" w:rsidRDefault="00423E85" w:rsidP="006403BD">
      <w:pPr>
        <w:pStyle w:val="Ttulondices"/>
      </w:pPr>
      <w:r>
        <w:rPr>
          <w:rFonts w:asciiTheme="minorHAnsi" w:hAnsiTheme="minorHAnsi" w:cs="Times New Roman"/>
          <w:sz w:val="22"/>
          <w:szCs w:val="24"/>
          <w:lang w:eastAsia="es-ES"/>
        </w:rPr>
        <w:fldChar w:fldCharType="end"/>
      </w:r>
      <w:r w:rsidR="005D549B" w:rsidRPr="00727AE8">
        <w:br w:type="page"/>
      </w:r>
      <w:r w:rsidR="003F24BC">
        <w:lastRenderedPageBreak/>
        <w:t>Í</w:t>
      </w:r>
      <w:r w:rsidR="00194057" w:rsidRPr="00727AE8">
        <w:t xml:space="preserve">ndice de figuras </w:t>
      </w:r>
      <w:r w:rsidR="00A7686B">
        <w:t xml:space="preserve"> </w:t>
      </w:r>
    </w:p>
    <w:p w14:paraId="11D73165" w14:textId="2A347818" w:rsidR="00381CA1" w:rsidRDefault="00C10A65">
      <w:pPr>
        <w:pStyle w:val="TDC1"/>
        <w:rPr>
          <w:rFonts w:eastAsiaTheme="minorEastAsia" w:cstheme="minorBidi"/>
          <w:noProof/>
          <w:kern w:val="2"/>
          <w14:ligatures w14:val="standardContextual"/>
        </w:rPr>
      </w:pPr>
      <w:r w:rsidRPr="00B34BF5">
        <w:rPr>
          <w:rFonts w:cs="Arial"/>
          <w:highlight w:val="yellow"/>
        </w:rPr>
        <w:fldChar w:fldCharType="begin"/>
      </w:r>
      <w:r w:rsidRPr="00B34BF5">
        <w:rPr>
          <w:rFonts w:cs="Arial"/>
          <w:highlight w:val="yellow"/>
        </w:rPr>
        <w:instrText xml:space="preserve"> TOC \f \h \z \t "Título 9;1;Figuras;1" </w:instrText>
      </w:r>
      <w:r w:rsidRPr="00B34BF5">
        <w:rPr>
          <w:rFonts w:cs="Arial"/>
          <w:highlight w:val="yellow"/>
        </w:rPr>
        <w:fldChar w:fldCharType="separate"/>
      </w:r>
      <w:hyperlink w:anchor="_Toc238816308" w:history="1">
        <w:r w:rsidR="00381CA1" w:rsidRPr="00852744">
          <w:rPr>
            <w:rStyle w:val="Hipervnculo"/>
            <w:noProof/>
          </w:rPr>
          <w:t>Figura 1.  Flujo de trabajo bioinformático para el análisis, armonización e integración de datos transcriptómicos de RNA-seq en adenocarcinoma colorrectal. (Elaboración propia)</w:t>
        </w:r>
        <w:r w:rsidR="00381CA1">
          <w:rPr>
            <w:noProof/>
            <w:webHidden/>
          </w:rPr>
          <w:tab/>
        </w:r>
        <w:r w:rsidR="00381CA1">
          <w:rPr>
            <w:noProof/>
            <w:webHidden/>
          </w:rPr>
          <w:fldChar w:fldCharType="begin"/>
        </w:r>
        <w:r w:rsidR="00381CA1">
          <w:rPr>
            <w:noProof/>
            <w:webHidden/>
          </w:rPr>
          <w:instrText xml:space="preserve"> PAGEREF _Toc238816308 \h </w:instrText>
        </w:r>
        <w:r w:rsidR="00381CA1">
          <w:rPr>
            <w:noProof/>
            <w:webHidden/>
          </w:rPr>
        </w:r>
        <w:r w:rsidR="00381CA1">
          <w:rPr>
            <w:noProof/>
            <w:webHidden/>
          </w:rPr>
          <w:fldChar w:fldCharType="separate"/>
        </w:r>
        <w:r w:rsidR="00381CA1">
          <w:rPr>
            <w:noProof/>
            <w:webHidden/>
          </w:rPr>
          <w:t>40</w:t>
        </w:r>
        <w:r w:rsidR="00381CA1">
          <w:rPr>
            <w:noProof/>
            <w:webHidden/>
          </w:rPr>
          <w:fldChar w:fldCharType="end"/>
        </w:r>
      </w:hyperlink>
    </w:p>
    <w:p w14:paraId="078EA74B" w14:textId="4916DE84" w:rsidR="00381CA1" w:rsidRDefault="00381CA1">
      <w:pPr>
        <w:pStyle w:val="TDC1"/>
        <w:rPr>
          <w:rFonts w:eastAsiaTheme="minorEastAsia" w:cstheme="minorBidi"/>
          <w:noProof/>
          <w:kern w:val="2"/>
          <w14:ligatures w14:val="standardContextual"/>
        </w:rPr>
      </w:pPr>
      <w:hyperlink w:anchor="_Toc238816309" w:history="1">
        <w:r w:rsidRPr="00852744">
          <w:rPr>
            <w:rStyle w:val="Hipervnculo"/>
            <w:noProof/>
          </w:rPr>
          <w:t>Figura 2. Histograma de conteos crudos iniciales en la cohorte modelo GSE104836.</w:t>
        </w:r>
        <w:r>
          <w:rPr>
            <w:noProof/>
            <w:webHidden/>
          </w:rPr>
          <w:tab/>
        </w:r>
        <w:r>
          <w:rPr>
            <w:noProof/>
            <w:webHidden/>
          </w:rPr>
          <w:fldChar w:fldCharType="begin"/>
        </w:r>
        <w:r>
          <w:rPr>
            <w:noProof/>
            <w:webHidden/>
          </w:rPr>
          <w:instrText xml:space="preserve"> PAGEREF _Toc238816309 \h </w:instrText>
        </w:r>
        <w:r>
          <w:rPr>
            <w:noProof/>
            <w:webHidden/>
          </w:rPr>
        </w:r>
        <w:r>
          <w:rPr>
            <w:noProof/>
            <w:webHidden/>
          </w:rPr>
          <w:fldChar w:fldCharType="separate"/>
        </w:r>
        <w:r>
          <w:rPr>
            <w:noProof/>
            <w:webHidden/>
          </w:rPr>
          <w:t>43</w:t>
        </w:r>
        <w:r>
          <w:rPr>
            <w:noProof/>
            <w:webHidden/>
          </w:rPr>
          <w:fldChar w:fldCharType="end"/>
        </w:r>
      </w:hyperlink>
    </w:p>
    <w:p w14:paraId="06B4932F" w14:textId="3721AD43" w:rsidR="00381CA1" w:rsidRDefault="00381CA1">
      <w:pPr>
        <w:pStyle w:val="TDC1"/>
        <w:rPr>
          <w:rFonts w:eastAsiaTheme="minorEastAsia" w:cstheme="minorBidi"/>
          <w:noProof/>
          <w:kern w:val="2"/>
          <w14:ligatures w14:val="standardContextual"/>
        </w:rPr>
      </w:pPr>
      <w:hyperlink w:anchor="_Toc238816310" w:history="1">
        <w:r w:rsidRPr="00852744">
          <w:rPr>
            <w:rStyle w:val="Hipervnculo"/>
            <w:noProof/>
          </w:rPr>
          <w:t>Figura 3. Histograma de frecuencias tras el filtrado dinámico y la transformación rlog en la cohorte modelo GSE104836.</w:t>
        </w:r>
        <w:r>
          <w:rPr>
            <w:noProof/>
            <w:webHidden/>
          </w:rPr>
          <w:tab/>
        </w:r>
        <w:r>
          <w:rPr>
            <w:noProof/>
            <w:webHidden/>
          </w:rPr>
          <w:fldChar w:fldCharType="begin"/>
        </w:r>
        <w:r>
          <w:rPr>
            <w:noProof/>
            <w:webHidden/>
          </w:rPr>
          <w:instrText xml:space="preserve"> PAGEREF _Toc238816310 \h </w:instrText>
        </w:r>
        <w:r>
          <w:rPr>
            <w:noProof/>
            <w:webHidden/>
          </w:rPr>
        </w:r>
        <w:r>
          <w:rPr>
            <w:noProof/>
            <w:webHidden/>
          </w:rPr>
          <w:fldChar w:fldCharType="separate"/>
        </w:r>
        <w:r>
          <w:rPr>
            <w:noProof/>
            <w:webHidden/>
          </w:rPr>
          <w:t>43</w:t>
        </w:r>
        <w:r>
          <w:rPr>
            <w:noProof/>
            <w:webHidden/>
          </w:rPr>
          <w:fldChar w:fldCharType="end"/>
        </w:r>
      </w:hyperlink>
    </w:p>
    <w:p w14:paraId="587F289F" w14:textId="0E1F0526" w:rsidR="00381CA1" w:rsidRDefault="00381CA1">
      <w:pPr>
        <w:pStyle w:val="TDC1"/>
        <w:rPr>
          <w:rFonts w:eastAsiaTheme="minorEastAsia" w:cstheme="minorBidi"/>
          <w:noProof/>
          <w:kern w:val="2"/>
          <w14:ligatures w14:val="standardContextual"/>
        </w:rPr>
      </w:pPr>
      <w:hyperlink w:anchor="_Toc238816311" w:history="1">
        <w:r w:rsidRPr="00852744">
          <w:rPr>
            <w:rStyle w:val="Hipervnculo"/>
            <w:noProof/>
          </w:rPr>
          <w:t>Figura 4. Análisis de componentes principales de los conteos crudos iniciales en la cohorte modelo GSE104836.</w:t>
        </w:r>
        <w:r>
          <w:rPr>
            <w:noProof/>
            <w:webHidden/>
          </w:rPr>
          <w:tab/>
        </w:r>
        <w:r>
          <w:rPr>
            <w:noProof/>
            <w:webHidden/>
          </w:rPr>
          <w:fldChar w:fldCharType="begin"/>
        </w:r>
        <w:r>
          <w:rPr>
            <w:noProof/>
            <w:webHidden/>
          </w:rPr>
          <w:instrText xml:space="preserve"> PAGEREF _Toc238816311 \h </w:instrText>
        </w:r>
        <w:r>
          <w:rPr>
            <w:noProof/>
            <w:webHidden/>
          </w:rPr>
        </w:r>
        <w:r>
          <w:rPr>
            <w:noProof/>
            <w:webHidden/>
          </w:rPr>
          <w:fldChar w:fldCharType="separate"/>
        </w:r>
        <w:r>
          <w:rPr>
            <w:noProof/>
            <w:webHidden/>
          </w:rPr>
          <w:t>44</w:t>
        </w:r>
        <w:r>
          <w:rPr>
            <w:noProof/>
            <w:webHidden/>
          </w:rPr>
          <w:fldChar w:fldCharType="end"/>
        </w:r>
      </w:hyperlink>
    </w:p>
    <w:p w14:paraId="21463E98" w14:textId="65DB624A" w:rsidR="00381CA1" w:rsidRDefault="00381CA1">
      <w:pPr>
        <w:pStyle w:val="TDC1"/>
        <w:rPr>
          <w:rFonts w:eastAsiaTheme="minorEastAsia" w:cstheme="minorBidi"/>
          <w:noProof/>
          <w:kern w:val="2"/>
          <w14:ligatures w14:val="standardContextual"/>
        </w:rPr>
      </w:pPr>
      <w:hyperlink w:anchor="_Toc238816312" w:history="1">
        <w:r w:rsidRPr="00852744">
          <w:rPr>
            <w:rStyle w:val="Hipervnculo"/>
            <w:noProof/>
          </w:rPr>
          <w:t>Figura 5. Análisis de componentes principales tras el filtrado dinámico y la transformación en la cohorte modelo GSE104836.</w:t>
        </w:r>
        <w:r>
          <w:rPr>
            <w:noProof/>
            <w:webHidden/>
          </w:rPr>
          <w:tab/>
        </w:r>
        <w:r>
          <w:rPr>
            <w:noProof/>
            <w:webHidden/>
          </w:rPr>
          <w:fldChar w:fldCharType="begin"/>
        </w:r>
        <w:r>
          <w:rPr>
            <w:noProof/>
            <w:webHidden/>
          </w:rPr>
          <w:instrText xml:space="preserve"> PAGEREF _Toc238816312 \h </w:instrText>
        </w:r>
        <w:r>
          <w:rPr>
            <w:noProof/>
            <w:webHidden/>
          </w:rPr>
        </w:r>
        <w:r>
          <w:rPr>
            <w:noProof/>
            <w:webHidden/>
          </w:rPr>
          <w:fldChar w:fldCharType="separate"/>
        </w:r>
        <w:r>
          <w:rPr>
            <w:noProof/>
            <w:webHidden/>
          </w:rPr>
          <w:t>45</w:t>
        </w:r>
        <w:r>
          <w:rPr>
            <w:noProof/>
            <w:webHidden/>
          </w:rPr>
          <w:fldChar w:fldCharType="end"/>
        </w:r>
      </w:hyperlink>
    </w:p>
    <w:p w14:paraId="1EDC171A" w14:textId="11988FEA" w:rsidR="00381CA1" w:rsidRDefault="00381CA1">
      <w:pPr>
        <w:pStyle w:val="TDC1"/>
        <w:rPr>
          <w:rFonts w:eastAsiaTheme="minorEastAsia" w:cstheme="minorBidi"/>
          <w:noProof/>
          <w:kern w:val="2"/>
          <w14:ligatures w14:val="standardContextual"/>
        </w:rPr>
      </w:pPr>
      <w:hyperlink w:anchor="_Toc238816313" w:history="1">
        <w:r w:rsidRPr="00852744">
          <w:rPr>
            <w:rStyle w:val="Hipervnculo"/>
            <w:noProof/>
          </w:rPr>
          <w:t>Figura 6. Análisis de componentes principales restringido a los 1.500 genes más significativos en la cohorte modelo GSE104836.</w:t>
        </w:r>
        <w:r>
          <w:rPr>
            <w:noProof/>
            <w:webHidden/>
          </w:rPr>
          <w:tab/>
        </w:r>
        <w:r>
          <w:rPr>
            <w:noProof/>
            <w:webHidden/>
          </w:rPr>
          <w:fldChar w:fldCharType="begin"/>
        </w:r>
        <w:r>
          <w:rPr>
            <w:noProof/>
            <w:webHidden/>
          </w:rPr>
          <w:instrText xml:space="preserve"> PAGEREF _Toc238816313 \h </w:instrText>
        </w:r>
        <w:r>
          <w:rPr>
            <w:noProof/>
            <w:webHidden/>
          </w:rPr>
        </w:r>
        <w:r>
          <w:rPr>
            <w:noProof/>
            <w:webHidden/>
          </w:rPr>
          <w:fldChar w:fldCharType="separate"/>
        </w:r>
        <w:r>
          <w:rPr>
            <w:noProof/>
            <w:webHidden/>
          </w:rPr>
          <w:t>47</w:t>
        </w:r>
        <w:r>
          <w:rPr>
            <w:noProof/>
            <w:webHidden/>
          </w:rPr>
          <w:fldChar w:fldCharType="end"/>
        </w:r>
      </w:hyperlink>
    </w:p>
    <w:p w14:paraId="7C6EF7AA" w14:textId="357FA6A2" w:rsidR="00381CA1" w:rsidRDefault="00381CA1">
      <w:pPr>
        <w:pStyle w:val="TDC1"/>
        <w:rPr>
          <w:rFonts w:eastAsiaTheme="minorEastAsia" w:cstheme="minorBidi"/>
          <w:noProof/>
          <w:kern w:val="2"/>
          <w14:ligatures w14:val="standardContextual"/>
        </w:rPr>
      </w:pPr>
      <w:hyperlink w:anchor="_Toc238816314" w:history="1">
        <w:r w:rsidRPr="00852744">
          <w:rPr>
            <w:rStyle w:val="Hipervnculo"/>
            <w:noProof/>
          </w:rPr>
          <w:t>Figura 7. Gráfico MA de la distribución del cambio de expresión frente a la media de conteos normalizados en la cohorte modelo GSE104836.</w:t>
        </w:r>
        <w:r>
          <w:rPr>
            <w:noProof/>
            <w:webHidden/>
          </w:rPr>
          <w:tab/>
        </w:r>
        <w:r>
          <w:rPr>
            <w:noProof/>
            <w:webHidden/>
          </w:rPr>
          <w:fldChar w:fldCharType="begin"/>
        </w:r>
        <w:r>
          <w:rPr>
            <w:noProof/>
            <w:webHidden/>
          </w:rPr>
          <w:instrText xml:space="preserve"> PAGEREF _Toc238816314 \h </w:instrText>
        </w:r>
        <w:r>
          <w:rPr>
            <w:noProof/>
            <w:webHidden/>
          </w:rPr>
        </w:r>
        <w:r>
          <w:rPr>
            <w:noProof/>
            <w:webHidden/>
          </w:rPr>
          <w:fldChar w:fldCharType="separate"/>
        </w:r>
        <w:r>
          <w:rPr>
            <w:noProof/>
            <w:webHidden/>
          </w:rPr>
          <w:t>48</w:t>
        </w:r>
        <w:r>
          <w:rPr>
            <w:noProof/>
            <w:webHidden/>
          </w:rPr>
          <w:fldChar w:fldCharType="end"/>
        </w:r>
      </w:hyperlink>
    </w:p>
    <w:p w14:paraId="48202FF1" w14:textId="1392C952" w:rsidR="00381CA1" w:rsidRDefault="00381CA1">
      <w:pPr>
        <w:pStyle w:val="TDC1"/>
        <w:rPr>
          <w:rFonts w:eastAsiaTheme="minorEastAsia" w:cstheme="minorBidi"/>
          <w:noProof/>
          <w:kern w:val="2"/>
          <w14:ligatures w14:val="standardContextual"/>
        </w:rPr>
      </w:pPr>
      <w:hyperlink w:anchor="_Toc238816315" w:history="1">
        <w:r w:rsidRPr="00852744">
          <w:rPr>
            <w:rStyle w:val="Hipervnculo"/>
            <w:noProof/>
          </w:rPr>
          <w:t>Figura 8. Niveles de expresión relativos de los 20 genes más significativos en tejido tumoral y sano para la cohorte modelo GSE104836.</w:t>
        </w:r>
        <w:r>
          <w:rPr>
            <w:noProof/>
            <w:webHidden/>
          </w:rPr>
          <w:tab/>
        </w:r>
        <w:r>
          <w:rPr>
            <w:noProof/>
            <w:webHidden/>
          </w:rPr>
          <w:fldChar w:fldCharType="begin"/>
        </w:r>
        <w:r>
          <w:rPr>
            <w:noProof/>
            <w:webHidden/>
          </w:rPr>
          <w:instrText xml:space="preserve"> PAGEREF _Toc238816315 \h </w:instrText>
        </w:r>
        <w:r>
          <w:rPr>
            <w:noProof/>
            <w:webHidden/>
          </w:rPr>
        </w:r>
        <w:r>
          <w:rPr>
            <w:noProof/>
            <w:webHidden/>
          </w:rPr>
          <w:fldChar w:fldCharType="separate"/>
        </w:r>
        <w:r>
          <w:rPr>
            <w:noProof/>
            <w:webHidden/>
          </w:rPr>
          <w:t>49</w:t>
        </w:r>
        <w:r>
          <w:rPr>
            <w:noProof/>
            <w:webHidden/>
          </w:rPr>
          <w:fldChar w:fldCharType="end"/>
        </w:r>
      </w:hyperlink>
    </w:p>
    <w:p w14:paraId="15DBFBB5" w14:textId="5D15B419" w:rsidR="00381CA1" w:rsidRDefault="00381CA1">
      <w:pPr>
        <w:pStyle w:val="TDC1"/>
        <w:rPr>
          <w:rFonts w:eastAsiaTheme="minorEastAsia" w:cstheme="minorBidi"/>
          <w:noProof/>
          <w:kern w:val="2"/>
          <w14:ligatures w14:val="standardContextual"/>
        </w:rPr>
      </w:pPr>
      <w:hyperlink w:anchor="_Toc238816316" w:history="1">
        <w:r w:rsidRPr="00852744">
          <w:rPr>
            <w:rStyle w:val="Hipervnculo"/>
            <w:noProof/>
          </w:rPr>
          <w:t>Figura 9. Diagrama de volcán del perfil de expresión diferencial en la cohorte modelo GSE104836.</w:t>
        </w:r>
        <w:r>
          <w:rPr>
            <w:noProof/>
            <w:webHidden/>
          </w:rPr>
          <w:tab/>
        </w:r>
        <w:r>
          <w:rPr>
            <w:noProof/>
            <w:webHidden/>
          </w:rPr>
          <w:fldChar w:fldCharType="begin"/>
        </w:r>
        <w:r>
          <w:rPr>
            <w:noProof/>
            <w:webHidden/>
          </w:rPr>
          <w:instrText xml:space="preserve"> PAGEREF _Toc238816316 \h </w:instrText>
        </w:r>
        <w:r>
          <w:rPr>
            <w:noProof/>
            <w:webHidden/>
          </w:rPr>
        </w:r>
        <w:r>
          <w:rPr>
            <w:noProof/>
            <w:webHidden/>
          </w:rPr>
          <w:fldChar w:fldCharType="separate"/>
        </w:r>
        <w:r>
          <w:rPr>
            <w:noProof/>
            <w:webHidden/>
          </w:rPr>
          <w:t>50</w:t>
        </w:r>
        <w:r>
          <w:rPr>
            <w:noProof/>
            <w:webHidden/>
          </w:rPr>
          <w:fldChar w:fldCharType="end"/>
        </w:r>
      </w:hyperlink>
    </w:p>
    <w:p w14:paraId="33540959" w14:textId="4F5C7F5E" w:rsidR="00381CA1" w:rsidRDefault="00381CA1">
      <w:pPr>
        <w:pStyle w:val="TDC1"/>
        <w:rPr>
          <w:rFonts w:eastAsiaTheme="minorEastAsia" w:cstheme="minorBidi"/>
          <w:noProof/>
          <w:kern w:val="2"/>
          <w14:ligatures w14:val="standardContextual"/>
        </w:rPr>
      </w:pPr>
      <w:hyperlink w:anchor="_Toc238816317" w:history="1">
        <w:r w:rsidRPr="00852744">
          <w:rPr>
            <w:rStyle w:val="Hipervnculo"/>
            <w:noProof/>
          </w:rPr>
          <w:t>Figura 10. Mapa de calor (heatmap) de los 20 genes más significativos en la cohorte modelo GSE104836.</w:t>
        </w:r>
        <w:r>
          <w:rPr>
            <w:noProof/>
            <w:webHidden/>
          </w:rPr>
          <w:tab/>
        </w:r>
        <w:r>
          <w:rPr>
            <w:noProof/>
            <w:webHidden/>
          </w:rPr>
          <w:fldChar w:fldCharType="begin"/>
        </w:r>
        <w:r>
          <w:rPr>
            <w:noProof/>
            <w:webHidden/>
          </w:rPr>
          <w:instrText xml:space="preserve"> PAGEREF _Toc238816317 \h </w:instrText>
        </w:r>
        <w:r>
          <w:rPr>
            <w:noProof/>
            <w:webHidden/>
          </w:rPr>
        </w:r>
        <w:r>
          <w:rPr>
            <w:noProof/>
            <w:webHidden/>
          </w:rPr>
          <w:fldChar w:fldCharType="separate"/>
        </w:r>
        <w:r>
          <w:rPr>
            <w:noProof/>
            <w:webHidden/>
          </w:rPr>
          <w:t>51</w:t>
        </w:r>
        <w:r>
          <w:rPr>
            <w:noProof/>
            <w:webHidden/>
          </w:rPr>
          <w:fldChar w:fldCharType="end"/>
        </w:r>
      </w:hyperlink>
    </w:p>
    <w:p w14:paraId="39F776D2" w14:textId="5100013E" w:rsidR="00381CA1" w:rsidRDefault="00381CA1">
      <w:pPr>
        <w:pStyle w:val="TDC1"/>
        <w:rPr>
          <w:rFonts w:eastAsiaTheme="minorEastAsia" w:cstheme="minorBidi"/>
          <w:noProof/>
          <w:kern w:val="2"/>
          <w14:ligatures w14:val="standardContextual"/>
        </w:rPr>
      </w:pPr>
      <w:hyperlink w:anchor="_Toc238816318" w:history="1">
        <w:r w:rsidRPr="00852744">
          <w:rPr>
            <w:rStyle w:val="Hipervnculo"/>
            <w:noProof/>
          </w:rPr>
          <w:t>Figura 11. Diagrama de intersección UpSet de los genes significativamente sobreexpresados (UP) en las seis cohortes del estudio.</w:t>
        </w:r>
        <w:r>
          <w:rPr>
            <w:noProof/>
            <w:webHidden/>
          </w:rPr>
          <w:tab/>
        </w:r>
        <w:r>
          <w:rPr>
            <w:noProof/>
            <w:webHidden/>
          </w:rPr>
          <w:fldChar w:fldCharType="begin"/>
        </w:r>
        <w:r>
          <w:rPr>
            <w:noProof/>
            <w:webHidden/>
          </w:rPr>
          <w:instrText xml:space="preserve"> PAGEREF _Toc238816318 \h </w:instrText>
        </w:r>
        <w:r>
          <w:rPr>
            <w:noProof/>
            <w:webHidden/>
          </w:rPr>
        </w:r>
        <w:r>
          <w:rPr>
            <w:noProof/>
            <w:webHidden/>
          </w:rPr>
          <w:fldChar w:fldCharType="separate"/>
        </w:r>
        <w:r>
          <w:rPr>
            <w:noProof/>
            <w:webHidden/>
          </w:rPr>
          <w:t>53</w:t>
        </w:r>
        <w:r>
          <w:rPr>
            <w:noProof/>
            <w:webHidden/>
          </w:rPr>
          <w:fldChar w:fldCharType="end"/>
        </w:r>
      </w:hyperlink>
    </w:p>
    <w:p w14:paraId="659627CF" w14:textId="13194B86" w:rsidR="00381CA1" w:rsidRDefault="00381CA1">
      <w:pPr>
        <w:pStyle w:val="TDC1"/>
        <w:rPr>
          <w:rFonts w:eastAsiaTheme="minorEastAsia" w:cstheme="minorBidi"/>
          <w:noProof/>
          <w:kern w:val="2"/>
          <w14:ligatures w14:val="standardContextual"/>
        </w:rPr>
      </w:pPr>
      <w:hyperlink w:anchor="_Toc238816319" w:history="1">
        <w:r w:rsidRPr="00852744">
          <w:rPr>
            <w:rStyle w:val="Hipervnculo"/>
            <w:noProof/>
          </w:rPr>
          <w:t>Figura 12. Diagrama de intersección UpSet de los genes significativamente subexpresados (DOWN) en las seis cohortes del estudio.</w:t>
        </w:r>
        <w:r>
          <w:rPr>
            <w:noProof/>
            <w:webHidden/>
          </w:rPr>
          <w:tab/>
        </w:r>
        <w:r>
          <w:rPr>
            <w:noProof/>
            <w:webHidden/>
          </w:rPr>
          <w:fldChar w:fldCharType="begin"/>
        </w:r>
        <w:r>
          <w:rPr>
            <w:noProof/>
            <w:webHidden/>
          </w:rPr>
          <w:instrText xml:space="preserve"> PAGEREF _Toc238816319 \h </w:instrText>
        </w:r>
        <w:r>
          <w:rPr>
            <w:noProof/>
            <w:webHidden/>
          </w:rPr>
        </w:r>
        <w:r>
          <w:rPr>
            <w:noProof/>
            <w:webHidden/>
          </w:rPr>
          <w:fldChar w:fldCharType="separate"/>
        </w:r>
        <w:r>
          <w:rPr>
            <w:noProof/>
            <w:webHidden/>
          </w:rPr>
          <w:t>54</w:t>
        </w:r>
        <w:r>
          <w:rPr>
            <w:noProof/>
            <w:webHidden/>
          </w:rPr>
          <w:fldChar w:fldCharType="end"/>
        </w:r>
      </w:hyperlink>
    </w:p>
    <w:p w14:paraId="4C822204" w14:textId="72F7C5EF" w:rsidR="00381CA1" w:rsidRDefault="00381CA1">
      <w:pPr>
        <w:pStyle w:val="TDC1"/>
        <w:rPr>
          <w:rFonts w:eastAsiaTheme="minorEastAsia" w:cstheme="minorBidi"/>
          <w:noProof/>
          <w:kern w:val="2"/>
          <w14:ligatures w14:val="standardContextual"/>
        </w:rPr>
      </w:pPr>
      <w:hyperlink w:anchor="_Toc238816320" w:history="1">
        <w:r w:rsidRPr="00852744">
          <w:rPr>
            <w:rStyle w:val="Hipervnculo"/>
            <w:noProof/>
          </w:rPr>
          <w:t>Figura 13. Diagrama de puntos (dotplot) del análisis de enriquecimiento funcional de GO para los genes consenso sobreexpresados.</w:t>
        </w:r>
        <w:r>
          <w:rPr>
            <w:noProof/>
            <w:webHidden/>
          </w:rPr>
          <w:tab/>
        </w:r>
        <w:r>
          <w:rPr>
            <w:noProof/>
            <w:webHidden/>
          </w:rPr>
          <w:fldChar w:fldCharType="begin"/>
        </w:r>
        <w:r>
          <w:rPr>
            <w:noProof/>
            <w:webHidden/>
          </w:rPr>
          <w:instrText xml:space="preserve"> PAGEREF _Toc238816320 \h </w:instrText>
        </w:r>
        <w:r>
          <w:rPr>
            <w:noProof/>
            <w:webHidden/>
          </w:rPr>
        </w:r>
        <w:r>
          <w:rPr>
            <w:noProof/>
            <w:webHidden/>
          </w:rPr>
          <w:fldChar w:fldCharType="separate"/>
        </w:r>
        <w:r>
          <w:rPr>
            <w:noProof/>
            <w:webHidden/>
          </w:rPr>
          <w:t>57</w:t>
        </w:r>
        <w:r>
          <w:rPr>
            <w:noProof/>
            <w:webHidden/>
          </w:rPr>
          <w:fldChar w:fldCharType="end"/>
        </w:r>
      </w:hyperlink>
    </w:p>
    <w:p w14:paraId="375FC9EC" w14:textId="663D9EB3" w:rsidR="00381CA1" w:rsidRDefault="00381CA1">
      <w:pPr>
        <w:pStyle w:val="TDC1"/>
        <w:rPr>
          <w:rFonts w:eastAsiaTheme="minorEastAsia" w:cstheme="minorBidi"/>
          <w:noProof/>
          <w:kern w:val="2"/>
          <w14:ligatures w14:val="standardContextual"/>
        </w:rPr>
      </w:pPr>
      <w:hyperlink w:anchor="_Toc238816321" w:history="1">
        <w:r w:rsidRPr="00852744">
          <w:rPr>
            <w:rStyle w:val="Hipervnculo"/>
            <w:noProof/>
          </w:rPr>
          <w:t>Figura 14. Diagrama de puntos (dotplot) del análisis de enriquecimiento funcional de KEGG para los genes consenso sobreexpresados.</w:t>
        </w:r>
        <w:r>
          <w:rPr>
            <w:noProof/>
            <w:webHidden/>
          </w:rPr>
          <w:tab/>
        </w:r>
        <w:r>
          <w:rPr>
            <w:noProof/>
            <w:webHidden/>
          </w:rPr>
          <w:fldChar w:fldCharType="begin"/>
        </w:r>
        <w:r>
          <w:rPr>
            <w:noProof/>
            <w:webHidden/>
          </w:rPr>
          <w:instrText xml:space="preserve"> PAGEREF _Toc238816321 \h </w:instrText>
        </w:r>
        <w:r>
          <w:rPr>
            <w:noProof/>
            <w:webHidden/>
          </w:rPr>
        </w:r>
        <w:r>
          <w:rPr>
            <w:noProof/>
            <w:webHidden/>
          </w:rPr>
          <w:fldChar w:fldCharType="separate"/>
        </w:r>
        <w:r>
          <w:rPr>
            <w:noProof/>
            <w:webHidden/>
          </w:rPr>
          <w:t>58</w:t>
        </w:r>
        <w:r>
          <w:rPr>
            <w:noProof/>
            <w:webHidden/>
          </w:rPr>
          <w:fldChar w:fldCharType="end"/>
        </w:r>
      </w:hyperlink>
    </w:p>
    <w:p w14:paraId="70D22DBC" w14:textId="05B01796" w:rsidR="00381CA1" w:rsidRDefault="00381CA1">
      <w:pPr>
        <w:pStyle w:val="TDC1"/>
        <w:rPr>
          <w:rFonts w:eastAsiaTheme="minorEastAsia" w:cstheme="minorBidi"/>
          <w:noProof/>
          <w:kern w:val="2"/>
          <w14:ligatures w14:val="standardContextual"/>
        </w:rPr>
      </w:pPr>
      <w:hyperlink w:anchor="_Toc238816322" w:history="1">
        <w:r w:rsidRPr="00852744">
          <w:rPr>
            <w:rStyle w:val="Hipervnculo"/>
            <w:noProof/>
          </w:rPr>
          <w:t>Figura 15. Gráfico de red gen-concepto (cnetplot) del análisis de enriquecimiento funcional de GO para los genes consenso sobreexpresados.</w:t>
        </w:r>
        <w:r>
          <w:rPr>
            <w:noProof/>
            <w:webHidden/>
          </w:rPr>
          <w:tab/>
        </w:r>
        <w:r>
          <w:rPr>
            <w:noProof/>
            <w:webHidden/>
          </w:rPr>
          <w:fldChar w:fldCharType="begin"/>
        </w:r>
        <w:r>
          <w:rPr>
            <w:noProof/>
            <w:webHidden/>
          </w:rPr>
          <w:instrText xml:space="preserve"> PAGEREF _Toc238816322 \h </w:instrText>
        </w:r>
        <w:r>
          <w:rPr>
            <w:noProof/>
            <w:webHidden/>
          </w:rPr>
        </w:r>
        <w:r>
          <w:rPr>
            <w:noProof/>
            <w:webHidden/>
          </w:rPr>
          <w:fldChar w:fldCharType="separate"/>
        </w:r>
        <w:r>
          <w:rPr>
            <w:noProof/>
            <w:webHidden/>
          </w:rPr>
          <w:t>58</w:t>
        </w:r>
        <w:r>
          <w:rPr>
            <w:noProof/>
            <w:webHidden/>
          </w:rPr>
          <w:fldChar w:fldCharType="end"/>
        </w:r>
      </w:hyperlink>
    </w:p>
    <w:p w14:paraId="4A317EAE" w14:textId="51C1B9CF" w:rsidR="00381CA1" w:rsidRDefault="00381CA1">
      <w:pPr>
        <w:pStyle w:val="TDC1"/>
        <w:rPr>
          <w:rFonts w:eastAsiaTheme="minorEastAsia" w:cstheme="minorBidi"/>
          <w:noProof/>
          <w:kern w:val="2"/>
          <w14:ligatures w14:val="standardContextual"/>
        </w:rPr>
      </w:pPr>
      <w:hyperlink w:anchor="_Toc238816323" w:history="1">
        <w:r w:rsidRPr="00852744">
          <w:rPr>
            <w:rStyle w:val="Hipervnculo"/>
            <w:noProof/>
          </w:rPr>
          <w:t>Figura 16. Diagrama de puntos (dotplot) del análisis de enriquecimiento funcional de GO para los genes consenso subexpresados.</w:t>
        </w:r>
        <w:r>
          <w:rPr>
            <w:noProof/>
            <w:webHidden/>
          </w:rPr>
          <w:tab/>
        </w:r>
        <w:r>
          <w:rPr>
            <w:noProof/>
            <w:webHidden/>
          </w:rPr>
          <w:fldChar w:fldCharType="begin"/>
        </w:r>
        <w:r>
          <w:rPr>
            <w:noProof/>
            <w:webHidden/>
          </w:rPr>
          <w:instrText xml:space="preserve"> PAGEREF _Toc238816323 \h </w:instrText>
        </w:r>
        <w:r>
          <w:rPr>
            <w:noProof/>
            <w:webHidden/>
          </w:rPr>
        </w:r>
        <w:r>
          <w:rPr>
            <w:noProof/>
            <w:webHidden/>
          </w:rPr>
          <w:fldChar w:fldCharType="separate"/>
        </w:r>
        <w:r>
          <w:rPr>
            <w:noProof/>
            <w:webHidden/>
          </w:rPr>
          <w:t>61</w:t>
        </w:r>
        <w:r>
          <w:rPr>
            <w:noProof/>
            <w:webHidden/>
          </w:rPr>
          <w:fldChar w:fldCharType="end"/>
        </w:r>
      </w:hyperlink>
    </w:p>
    <w:p w14:paraId="67D5BCF0" w14:textId="3926C80F" w:rsidR="00381CA1" w:rsidRDefault="00381CA1">
      <w:pPr>
        <w:pStyle w:val="TDC1"/>
        <w:rPr>
          <w:rFonts w:eastAsiaTheme="minorEastAsia" w:cstheme="minorBidi"/>
          <w:noProof/>
          <w:kern w:val="2"/>
          <w14:ligatures w14:val="standardContextual"/>
        </w:rPr>
      </w:pPr>
      <w:hyperlink w:anchor="_Toc238816324" w:history="1">
        <w:r w:rsidRPr="00852744">
          <w:rPr>
            <w:rStyle w:val="Hipervnculo"/>
            <w:noProof/>
          </w:rPr>
          <w:t>Figura 17. Diagrama de puntos (dotplot) del análisis de enriquecimiento funcional de KEGG para los genes consenso subexpresados.</w:t>
        </w:r>
        <w:r>
          <w:rPr>
            <w:noProof/>
            <w:webHidden/>
          </w:rPr>
          <w:tab/>
        </w:r>
        <w:r>
          <w:rPr>
            <w:noProof/>
            <w:webHidden/>
          </w:rPr>
          <w:fldChar w:fldCharType="begin"/>
        </w:r>
        <w:r>
          <w:rPr>
            <w:noProof/>
            <w:webHidden/>
          </w:rPr>
          <w:instrText xml:space="preserve"> PAGEREF _Toc238816324 \h </w:instrText>
        </w:r>
        <w:r>
          <w:rPr>
            <w:noProof/>
            <w:webHidden/>
          </w:rPr>
        </w:r>
        <w:r>
          <w:rPr>
            <w:noProof/>
            <w:webHidden/>
          </w:rPr>
          <w:fldChar w:fldCharType="separate"/>
        </w:r>
        <w:r>
          <w:rPr>
            <w:noProof/>
            <w:webHidden/>
          </w:rPr>
          <w:t>62</w:t>
        </w:r>
        <w:r>
          <w:rPr>
            <w:noProof/>
            <w:webHidden/>
          </w:rPr>
          <w:fldChar w:fldCharType="end"/>
        </w:r>
      </w:hyperlink>
    </w:p>
    <w:p w14:paraId="0DBE3A54" w14:textId="63E40264" w:rsidR="00381CA1" w:rsidRDefault="00381CA1">
      <w:pPr>
        <w:pStyle w:val="TDC1"/>
        <w:rPr>
          <w:rFonts w:eastAsiaTheme="minorEastAsia" w:cstheme="minorBidi"/>
          <w:noProof/>
          <w:kern w:val="2"/>
          <w14:ligatures w14:val="standardContextual"/>
        </w:rPr>
      </w:pPr>
      <w:hyperlink w:anchor="_Toc238816325" w:history="1">
        <w:r w:rsidRPr="00852744">
          <w:rPr>
            <w:rStyle w:val="Hipervnculo"/>
            <w:noProof/>
          </w:rPr>
          <w:t>Figura 18. Gráfico de red gen-concepto (cnetplot) del análisis de enriquecimiento funcional de KEGG para los genes consenso subexpresados.</w:t>
        </w:r>
        <w:r>
          <w:rPr>
            <w:noProof/>
            <w:webHidden/>
          </w:rPr>
          <w:tab/>
        </w:r>
        <w:r>
          <w:rPr>
            <w:noProof/>
            <w:webHidden/>
          </w:rPr>
          <w:fldChar w:fldCharType="begin"/>
        </w:r>
        <w:r>
          <w:rPr>
            <w:noProof/>
            <w:webHidden/>
          </w:rPr>
          <w:instrText xml:space="preserve"> PAGEREF _Toc238816325 \h </w:instrText>
        </w:r>
        <w:r>
          <w:rPr>
            <w:noProof/>
            <w:webHidden/>
          </w:rPr>
        </w:r>
        <w:r>
          <w:rPr>
            <w:noProof/>
            <w:webHidden/>
          </w:rPr>
          <w:fldChar w:fldCharType="separate"/>
        </w:r>
        <w:r>
          <w:rPr>
            <w:noProof/>
            <w:webHidden/>
          </w:rPr>
          <w:t>62</w:t>
        </w:r>
        <w:r>
          <w:rPr>
            <w:noProof/>
            <w:webHidden/>
          </w:rPr>
          <w:fldChar w:fldCharType="end"/>
        </w:r>
      </w:hyperlink>
    </w:p>
    <w:p w14:paraId="55D054A6" w14:textId="5CDFF4D4" w:rsidR="00381CA1" w:rsidRDefault="00381CA1">
      <w:pPr>
        <w:pStyle w:val="TDC1"/>
        <w:rPr>
          <w:rFonts w:eastAsiaTheme="minorEastAsia" w:cstheme="minorBidi"/>
          <w:noProof/>
          <w:kern w:val="2"/>
          <w14:ligatures w14:val="standardContextual"/>
        </w:rPr>
      </w:pPr>
      <w:hyperlink w:anchor="_Toc238816326" w:history="1">
        <w:r w:rsidRPr="00852744">
          <w:rPr>
            <w:rStyle w:val="Hipervnculo"/>
            <w:noProof/>
          </w:rPr>
          <w:t>Figura A1. Diagrama de Venn de los genes significativamente sobreexpresados (UP) en las seis cohortes del estudio.</w:t>
        </w:r>
        <w:r>
          <w:rPr>
            <w:noProof/>
            <w:webHidden/>
          </w:rPr>
          <w:tab/>
        </w:r>
        <w:r>
          <w:rPr>
            <w:noProof/>
            <w:webHidden/>
          </w:rPr>
          <w:fldChar w:fldCharType="begin"/>
        </w:r>
        <w:r>
          <w:rPr>
            <w:noProof/>
            <w:webHidden/>
          </w:rPr>
          <w:instrText xml:space="preserve"> PAGEREF _Toc238816326 \h </w:instrText>
        </w:r>
        <w:r>
          <w:rPr>
            <w:noProof/>
            <w:webHidden/>
          </w:rPr>
        </w:r>
        <w:r>
          <w:rPr>
            <w:noProof/>
            <w:webHidden/>
          </w:rPr>
          <w:fldChar w:fldCharType="separate"/>
        </w:r>
        <w:r>
          <w:rPr>
            <w:noProof/>
            <w:webHidden/>
          </w:rPr>
          <w:t>86</w:t>
        </w:r>
        <w:r>
          <w:rPr>
            <w:noProof/>
            <w:webHidden/>
          </w:rPr>
          <w:fldChar w:fldCharType="end"/>
        </w:r>
      </w:hyperlink>
    </w:p>
    <w:p w14:paraId="344C3D9F" w14:textId="6969F660" w:rsidR="00381CA1" w:rsidRDefault="00381CA1">
      <w:pPr>
        <w:pStyle w:val="TDC1"/>
        <w:rPr>
          <w:rFonts w:eastAsiaTheme="minorEastAsia" w:cstheme="minorBidi"/>
          <w:noProof/>
          <w:kern w:val="2"/>
          <w14:ligatures w14:val="standardContextual"/>
        </w:rPr>
      </w:pPr>
      <w:hyperlink w:anchor="_Toc238816327" w:history="1">
        <w:r w:rsidRPr="00852744">
          <w:rPr>
            <w:rStyle w:val="Hipervnculo"/>
            <w:noProof/>
          </w:rPr>
          <w:t>Figura A2. Diagrama de Venn de los genes significativamente subexpresados (DOWN) en las seis cohortes del estudio.</w:t>
        </w:r>
        <w:r>
          <w:rPr>
            <w:noProof/>
            <w:webHidden/>
          </w:rPr>
          <w:tab/>
        </w:r>
        <w:r>
          <w:rPr>
            <w:noProof/>
            <w:webHidden/>
          </w:rPr>
          <w:fldChar w:fldCharType="begin"/>
        </w:r>
        <w:r>
          <w:rPr>
            <w:noProof/>
            <w:webHidden/>
          </w:rPr>
          <w:instrText xml:space="preserve"> PAGEREF _Toc238816327 \h </w:instrText>
        </w:r>
        <w:r>
          <w:rPr>
            <w:noProof/>
            <w:webHidden/>
          </w:rPr>
        </w:r>
        <w:r>
          <w:rPr>
            <w:noProof/>
            <w:webHidden/>
          </w:rPr>
          <w:fldChar w:fldCharType="separate"/>
        </w:r>
        <w:r>
          <w:rPr>
            <w:noProof/>
            <w:webHidden/>
          </w:rPr>
          <w:t>87</w:t>
        </w:r>
        <w:r>
          <w:rPr>
            <w:noProof/>
            <w:webHidden/>
          </w:rPr>
          <w:fldChar w:fldCharType="end"/>
        </w:r>
      </w:hyperlink>
    </w:p>
    <w:p w14:paraId="6BE4C404" w14:textId="09773CA1" w:rsidR="00381CA1" w:rsidRDefault="00381CA1">
      <w:pPr>
        <w:pStyle w:val="TDC1"/>
        <w:rPr>
          <w:rFonts w:eastAsiaTheme="minorEastAsia" w:cstheme="minorBidi"/>
          <w:noProof/>
          <w:kern w:val="2"/>
          <w14:ligatures w14:val="standardContextual"/>
        </w:rPr>
      </w:pPr>
      <w:hyperlink w:anchor="_Toc238816328" w:history="1">
        <w:r w:rsidRPr="00852744">
          <w:rPr>
            <w:rStyle w:val="Hipervnculo"/>
            <w:noProof/>
          </w:rPr>
          <w:t>Figura B1. Mapa de enriquecimiento (emapplot) de los términos de Ontología Génica (GO) significativamente enriquecidos en el conjunto de genes consenso sobreexpresados.</w:t>
        </w:r>
        <w:r>
          <w:rPr>
            <w:noProof/>
            <w:webHidden/>
          </w:rPr>
          <w:tab/>
        </w:r>
        <w:r>
          <w:rPr>
            <w:noProof/>
            <w:webHidden/>
          </w:rPr>
          <w:fldChar w:fldCharType="begin"/>
        </w:r>
        <w:r>
          <w:rPr>
            <w:noProof/>
            <w:webHidden/>
          </w:rPr>
          <w:instrText xml:space="preserve"> PAGEREF _Toc238816328 \h </w:instrText>
        </w:r>
        <w:r>
          <w:rPr>
            <w:noProof/>
            <w:webHidden/>
          </w:rPr>
        </w:r>
        <w:r>
          <w:rPr>
            <w:noProof/>
            <w:webHidden/>
          </w:rPr>
          <w:fldChar w:fldCharType="separate"/>
        </w:r>
        <w:r>
          <w:rPr>
            <w:noProof/>
            <w:webHidden/>
          </w:rPr>
          <w:t>88</w:t>
        </w:r>
        <w:r>
          <w:rPr>
            <w:noProof/>
            <w:webHidden/>
          </w:rPr>
          <w:fldChar w:fldCharType="end"/>
        </w:r>
      </w:hyperlink>
    </w:p>
    <w:p w14:paraId="4240C3B1" w14:textId="277887CB" w:rsidR="00381CA1" w:rsidRDefault="00381CA1">
      <w:pPr>
        <w:pStyle w:val="TDC1"/>
        <w:rPr>
          <w:rFonts w:eastAsiaTheme="minorEastAsia" w:cstheme="minorBidi"/>
          <w:noProof/>
          <w:kern w:val="2"/>
          <w14:ligatures w14:val="standardContextual"/>
        </w:rPr>
      </w:pPr>
      <w:hyperlink w:anchor="_Toc238816329" w:history="1">
        <w:r w:rsidRPr="00852744">
          <w:rPr>
            <w:rStyle w:val="Hipervnculo"/>
            <w:noProof/>
          </w:rPr>
          <w:t>Figura B2. Gráfico de red gen-concepto (cnetplot) de las rutas de la base de datos KEGG para los genes consenso sobreexpresados.</w:t>
        </w:r>
        <w:r>
          <w:rPr>
            <w:noProof/>
            <w:webHidden/>
          </w:rPr>
          <w:tab/>
        </w:r>
        <w:r>
          <w:rPr>
            <w:noProof/>
            <w:webHidden/>
          </w:rPr>
          <w:fldChar w:fldCharType="begin"/>
        </w:r>
        <w:r>
          <w:rPr>
            <w:noProof/>
            <w:webHidden/>
          </w:rPr>
          <w:instrText xml:space="preserve"> PAGEREF _Toc238816329 \h </w:instrText>
        </w:r>
        <w:r>
          <w:rPr>
            <w:noProof/>
            <w:webHidden/>
          </w:rPr>
        </w:r>
        <w:r>
          <w:rPr>
            <w:noProof/>
            <w:webHidden/>
          </w:rPr>
          <w:fldChar w:fldCharType="separate"/>
        </w:r>
        <w:r>
          <w:rPr>
            <w:noProof/>
            <w:webHidden/>
          </w:rPr>
          <w:t>89</w:t>
        </w:r>
        <w:r>
          <w:rPr>
            <w:noProof/>
            <w:webHidden/>
          </w:rPr>
          <w:fldChar w:fldCharType="end"/>
        </w:r>
      </w:hyperlink>
    </w:p>
    <w:p w14:paraId="49A0290E" w14:textId="17160B4C" w:rsidR="00381CA1" w:rsidRDefault="00381CA1">
      <w:pPr>
        <w:pStyle w:val="TDC1"/>
        <w:rPr>
          <w:rFonts w:eastAsiaTheme="minorEastAsia" w:cstheme="minorBidi"/>
          <w:noProof/>
          <w:kern w:val="2"/>
          <w14:ligatures w14:val="standardContextual"/>
        </w:rPr>
      </w:pPr>
      <w:hyperlink w:anchor="_Toc238816330" w:history="1">
        <w:r w:rsidRPr="00852744">
          <w:rPr>
            <w:rStyle w:val="Hipervnculo"/>
            <w:noProof/>
          </w:rPr>
          <w:t>Figura B3. Mapa de enriquecimiento (emapplot) de los términos de Ontología Génica (GO) significativamente enriquecidos en el conjunto de genes consenso subexpresados.</w:t>
        </w:r>
        <w:r>
          <w:rPr>
            <w:noProof/>
            <w:webHidden/>
          </w:rPr>
          <w:tab/>
        </w:r>
        <w:r>
          <w:rPr>
            <w:noProof/>
            <w:webHidden/>
          </w:rPr>
          <w:fldChar w:fldCharType="begin"/>
        </w:r>
        <w:r>
          <w:rPr>
            <w:noProof/>
            <w:webHidden/>
          </w:rPr>
          <w:instrText xml:space="preserve"> PAGEREF _Toc238816330 \h </w:instrText>
        </w:r>
        <w:r>
          <w:rPr>
            <w:noProof/>
            <w:webHidden/>
          </w:rPr>
        </w:r>
        <w:r>
          <w:rPr>
            <w:noProof/>
            <w:webHidden/>
          </w:rPr>
          <w:fldChar w:fldCharType="separate"/>
        </w:r>
        <w:r>
          <w:rPr>
            <w:noProof/>
            <w:webHidden/>
          </w:rPr>
          <w:t>90</w:t>
        </w:r>
        <w:r>
          <w:rPr>
            <w:noProof/>
            <w:webHidden/>
          </w:rPr>
          <w:fldChar w:fldCharType="end"/>
        </w:r>
      </w:hyperlink>
    </w:p>
    <w:p w14:paraId="2053CA11" w14:textId="24DB56CF" w:rsidR="00381CA1" w:rsidRDefault="00381CA1">
      <w:pPr>
        <w:pStyle w:val="TDC1"/>
        <w:rPr>
          <w:rFonts w:eastAsiaTheme="minorEastAsia" w:cstheme="minorBidi"/>
          <w:noProof/>
          <w:kern w:val="2"/>
          <w14:ligatures w14:val="standardContextual"/>
        </w:rPr>
      </w:pPr>
      <w:hyperlink w:anchor="_Toc238816331" w:history="1">
        <w:r w:rsidRPr="00852744">
          <w:rPr>
            <w:rStyle w:val="Hipervnculo"/>
            <w:noProof/>
          </w:rPr>
          <w:t>Figura B4. Gráfico de red gen-concepto (cnetplot) de los términos de Ontología Génica (GO) para los genes consenso subexpresados.</w:t>
        </w:r>
        <w:r>
          <w:rPr>
            <w:noProof/>
            <w:webHidden/>
          </w:rPr>
          <w:tab/>
        </w:r>
        <w:r>
          <w:rPr>
            <w:noProof/>
            <w:webHidden/>
          </w:rPr>
          <w:fldChar w:fldCharType="begin"/>
        </w:r>
        <w:r>
          <w:rPr>
            <w:noProof/>
            <w:webHidden/>
          </w:rPr>
          <w:instrText xml:space="preserve"> PAGEREF _Toc238816331 \h </w:instrText>
        </w:r>
        <w:r>
          <w:rPr>
            <w:noProof/>
            <w:webHidden/>
          </w:rPr>
        </w:r>
        <w:r>
          <w:rPr>
            <w:noProof/>
            <w:webHidden/>
          </w:rPr>
          <w:fldChar w:fldCharType="separate"/>
        </w:r>
        <w:r>
          <w:rPr>
            <w:noProof/>
            <w:webHidden/>
          </w:rPr>
          <w:t>91</w:t>
        </w:r>
        <w:r>
          <w:rPr>
            <w:noProof/>
            <w:webHidden/>
          </w:rPr>
          <w:fldChar w:fldCharType="end"/>
        </w:r>
      </w:hyperlink>
    </w:p>
    <w:p w14:paraId="0BBA519A" w14:textId="497BA8B2" w:rsidR="005D549B" w:rsidRDefault="00C10A65" w:rsidP="006403BD">
      <w:r w:rsidRPr="00B34BF5">
        <w:rPr>
          <w:highlight w:val="yellow"/>
        </w:rPr>
        <w:fldChar w:fldCharType="end"/>
      </w:r>
    </w:p>
    <w:p w14:paraId="631D232A" w14:textId="77777777" w:rsidR="00001BAB" w:rsidRPr="00727AE8" w:rsidRDefault="00001BAB" w:rsidP="006403BD"/>
    <w:p w14:paraId="05D926A3" w14:textId="77777777" w:rsidR="005D549B" w:rsidRPr="00727AE8" w:rsidRDefault="005D549B" w:rsidP="006403BD"/>
    <w:p w14:paraId="76ABFCB3" w14:textId="77777777" w:rsidR="005D549B" w:rsidRPr="00727AE8" w:rsidRDefault="005D549B" w:rsidP="006403BD"/>
    <w:p w14:paraId="3F0A55CA" w14:textId="77777777" w:rsidR="005D549B" w:rsidRPr="00727AE8" w:rsidRDefault="005D549B" w:rsidP="006403BD"/>
    <w:p w14:paraId="6AA7A2D8" w14:textId="6CC4C9F0" w:rsidR="00A976F0" w:rsidRPr="003F24BC" w:rsidRDefault="005D549B" w:rsidP="006403BD">
      <w:pPr>
        <w:pStyle w:val="Ttulondices"/>
      </w:pPr>
      <w:r w:rsidRPr="00727AE8">
        <w:br w:type="page"/>
      </w:r>
      <w:r w:rsidR="003F24BC">
        <w:lastRenderedPageBreak/>
        <w:t>Í</w:t>
      </w:r>
      <w:r w:rsidR="00194057" w:rsidRPr="003F24BC">
        <w:t>ndice de tablas</w:t>
      </w:r>
    </w:p>
    <w:p w14:paraId="0665537D" w14:textId="5BA49656" w:rsidR="00381CA1" w:rsidRDefault="00C10A65">
      <w:pPr>
        <w:pStyle w:val="Tabladeilustraciones"/>
        <w:tabs>
          <w:tab w:val="right" w:leader="dot" w:pos="9061"/>
        </w:tabs>
        <w:rPr>
          <w:rFonts w:eastAsiaTheme="minorEastAsia" w:cstheme="minorBidi"/>
          <w:noProof/>
          <w:kern w:val="2"/>
          <w14:ligatures w14:val="standardContextual"/>
        </w:rPr>
      </w:pPr>
      <w:r w:rsidRPr="00B56FB6">
        <w:fldChar w:fldCharType="begin"/>
      </w:r>
      <w:r w:rsidRPr="00B56FB6">
        <w:instrText xml:space="preserve"> TOC \h \z \t "Título de TDC;Tablas" \c </w:instrText>
      </w:r>
      <w:r w:rsidRPr="00B56FB6">
        <w:fldChar w:fldCharType="separate"/>
      </w:r>
      <w:hyperlink w:anchor="_Toc238816332" w:history="1">
        <w:r w:rsidR="00381CA1" w:rsidRPr="00D51CDF">
          <w:rPr>
            <w:rStyle w:val="Hipervnculo"/>
            <w:noProof/>
          </w:rPr>
          <w:t>Tabla 1. Resumen de los datasets de RNA-seq integrados y características del diseño experimental.</w:t>
        </w:r>
        <w:r w:rsidR="00381CA1">
          <w:rPr>
            <w:noProof/>
            <w:webHidden/>
          </w:rPr>
          <w:tab/>
        </w:r>
        <w:r w:rsidR="00381CA1">
          <w:rPr>
            <w:noProof/>
            <w:webHidden/>
          </w:rPr>
          <w:fldChar w:fldCharType="begin"/>
        </w:r>
        <w:r w:rsidR="00381CA1">
          <w:rPr>
            <w:noProof/>
            <w:webHidden/>
          </w:rPr>
          <w:instrText xml:space="preserve"> PAGEREF _Toc238816332 \h </w:instrText>
        </w:r>
        <w:r w:rsidR="00381CA1">
          <w:rPr>
            <w:noProof/>
            <w:webHidden/>
          </w:rPr>
        </w:r>
        <w:r w:rsidR="00381CA1">
          <w:rPr>
            <w:noProof/>
            <w:webHidden/>
          </w:rPr>
          <w:fldChar w:fldCharType="separate"/>
        </w:r>
        <w:r w:rsidR="00381CA1">
          <w:rPr>
            <w:noProof/>
            <w:webHidden/>
          </w:rPr>
          <w:t>29</w:t>
        </w:r>
        <w:r w:rsidR="00381CA1">
          <w:rPr>
            <w:noProof/>
            <w:webHidden/>
          </w:rPr>
          <w:fldChar w:fldCharType="end"/>
        </w:r>
      </w:hyperlink>
    </w:p>
    <w:p w14:paraId="78408E17" w14:textId="2A017D2D" w:rsidR="00381CA1" w:rsidRDefault="00381CA1">
      <w:pPr>
        <w:pStyle w:val="Tabladeilustraciones"/>
        <w:tabs>
          <w:tab w:val="right" w:leader="dot" w:pos="9061"/>
        </w:tabs>
        <w:rPr>
          <w:rFonts w:eastAsiaTheme="minorEastAsia" w:cstheme="minorBidi"/>
          <w:noProof/>
          <w:kern w:val="2"/>
          <w14:ligatures w14:val="standardContextual"/>
        </w:rPr>
      </w:pPr>
      <w:hyperlink w:anchor="_Toc238816333" w:history="1">
        <w:r w:rsidRPr="00D51CDF">
          <w:rPr>
            <w:rStyle w:val="Hipervnculo"/>
            <w:noProof/>
          </w:rPr>
          <w:t>Tabla 2. Dimensiones estructurales de las cohortes de estudio y rendimiento del filtrado dinámico de baja expresión génica previo al modelado estadístico.</w:t>
        </w:r>
        <w:r>
          <w:rPr>
            <w:noProof/>
            <w:webHidden/>
          </w:rPr>
          <w:tab/>
        </w:r>
        <w:r>
          <w:rPr>
            <w:noProof/>
            <w:webHidden/>
          </w:rPr>
          <w:fldChar w:fldCharType="begin"/>
        </w:r>
        <w:r>
          <w:rPr>
            <w:noProof/>
            <w:webHidden/>
          </w:rPr>
          <w:instrText xml:space="preserve"> PAGEREF _Toc238816333 \h </w:instrText>
        </w:r>
        <w:r>
          <w:rPr>
            <w:noProof/>
            <w:webHidden/>
          </w:rPr>
        </w:r>
        <w:r>
          <w:rPr>
            <w:noProof/>
            <w:webHidden/>
          </w:rPr>
          <w:fldChar w:fldCharType="separate"/>
        </w:r>
        <w:r>
          <w:rPr>
            <w:noProof/>
            <w:webHidden/>
          </w:rPr>
          <w:t>42</w:t>
        </w:r>
        <w:r>
          <w:rPr>
            <w:noProof/>
            <w:webHidden/>
          </w:rPr>
          <w:fldChar w:fldCharType="end"/>
        </w:r>
      </w:hyperlink>
    </w:p>
    <w:p w14:paraId="5F980496" w14:textId="30396B7E" w:rsidR="00381CA1" w:rsidRDefault="00381CA1">
      <w:pPr>
        <w:pStyle w:val="Tabladeilustraciones"/>
        <w:tabs>
          <w:tab w:val="right" w:leader="dot" w:pos="9061"/>
        </w:tabs>
        <w:rPr>
          <w:rFonts w:eastAsiaTheme="minorEastAsia" w:cstheme="minorBidi"/>
          <w:noProof/>
          <w:kern w:val="2"/>
          <w14:ligatures w14:val="standardContextual"/>
        </w:rPr>
      </w:pPr>
      <w:hyperlink w:anchor="_Toc238816334" w:history="1">
        <w:r w:rsidRPr="00D51CDF">
          <w:rPr>
            <w:rStyle w:val="Hipervnculo"/>
            <w:noProof/>
          </w:rPr>
          <w:t>Tabla 3. Recuento de genes diferencialmente expresados (DEGs) sobreexpresados (UP) y subexpresados (DOWN) identificados por cohorte bajo los criterios de significación establecidos (</w:t>
        </w:r>
        <m:oMath>
          <m:r>
            <m:rPr>
              <m:sty m:val="bi"/>
            </m:rPr>
            <w:rPr>
              <w:rStyle w:val="Hipervnculo"/>
              <w:rFonts w:ascii="Cambria Math" w:hAnsi="Cambria Math"/>
              <w:noProof/>
            </w:rPr>
            <m:t>padj</m:t>
          </m:r>
          <m:r>
            <m:rPr>
              <m:sty m:val="p"/>
            </m:rPr>
            <w:rPr>
              <w:rStyle w:val="Hipervnculo"/>
              <w:rFonts w:ascii="Cambria Math" w:hAnsi="Cambria Math"/>
              <w:noProof/>
            </w:rPr>
            <m:t>&lt;</m:t>
          </m:r>
          <m:r>
            <m:rPr>
              <m:sty m:val="b"/>
            </m:rPr>
            <w:rPr>
              <w:rStyle w:val="Hipervnculo"/>
              <w:rFonts w:ascii="Cambria Math" w:hAnsi="Cambria Math"/>
              <w:noProof/>
            </w:rPr>
            <m:t>0</m:t>
          </m:r>
          <m:r>
            <m:rPr>
              <m:sty m:val="p"/>
            </m:rPr>
            <w:rPr>
              <w:rStyle w:val="Hipervnculo"/>
              <w:rFonts w:ascii="Cambria Math" w:hAnsi="Cambria Math"/>
              <w:noProof/>
            </w:rPr>
            <m:t>.</m:t>
          </m:r>
          <m:r>
            <m:rPr>
              <m:sty m:val="b"/>
            </m:rPr>
            <w:rPr>
              <w:rStyle w:val="Hipervnculo"/>
              <w:rFonts w:ascii="Cambria Math" w:hAnsi="Cambria Math"/>
              <w:noProof/>
            </w:rPr>
            <m:t>05</m:t>
          </m:r>
        </m:oMath>
        <w:r w:rsidRPr="00D51CDF">
          <w:rPr>
            <w:rStyle w:val="Hipervnculo"/>
            <w:noProof/>
          </w:rPr>
          <w:t xml:space="preserve"> y </w:t>
        </w:r>
        <m:oMath>
          <m:r>
            <w:rPr>
              <w:rStyle w:val="Hipervnculo"/>
              <w:rFonts w:ascii="Cambria Math" w:hAnsi="Cambria Math"/>
              <w:noProof/>
            </w:rPr>
            <m:t>|</m:t>
          </m:r>
          <m:r>
            <m:rPr>
              <m:sty m:val="bi"/>
            </m:rPr>
            <w:rPr>
              <w:rStyle w:val="Hipervnculo"/>
              <w:rFonts w:ascii="Cambria Math" w:hAnsi="Cambria Math"/>
              <w:noProof/>
            </w:rPr>
            <m:t>log</m:t>
          </m:r>
          <m:r>
            <m:rPr>
              <m:sty m:val="b"/>
            </m:rPr>
            <w:rPr>
              <w:rStyle w:val="Hipervnculo"/>
              <w:rFonts w:ascii="Cambria Math" w:hAnsi="Cambria Math"/>
              <w:noProof/>
            </w:rPr>
            <m:t>2</m:t>
          </m:r>
          <m:r>
            <m:rPr>
              <m:sty m:val="bi"/>
            </m:rPr>
            <w:rPr>
              <w:rStyle w:val="Hipervnculo"/>
              <w:rFonts w:ascii="Cambria Math" w:hAnsi="Cambria Math"/>
              <w:noProof/>
            </w:rPr>
            <m:t>FC</m:t>
          </m:r>
          <m:r>
            <w:rPr>
              <w:rStyle w:val="Hipervnculo"/>
              <w:rFonts w:ascii="Cambria Math" w:hAnsi="Cambria Math"/>
              <w:noProof/>
            </w:rPr>
            <m:t>|</m:t>
          </m:r>
          <m:r>
            <m:rPr>
              <m:sty m:val="p"/>
            </m:rPr>
            <w:rPr>
              <w:rStyle w:val="Hipervnculo"/>
              <w:rFonts w:ascii="Cambria Math" w:hAnsi="Cambria Math"/>
              <w:noProof/>
            </w:rPr>
            <m:t>&gt;</m:t>
          </m:r>
          <m:r>
            <m:rPr>
              <m:sty m:val="b"/>
            </m:rPr>
            <w:rPr>
              <w:rStyle w:val="Hipervnculo"/>
              <w:rFonts w:ascii="Cambria Math" w:hAnsi="Cambria Math"/>
              <w:noProof/>
            </w:rPr>
            <m:t>0</m:t>
          </m:r>
          <m:r>
            <m:rPr>
              <m:sty m:val="p"/>
            </m:rPr>
            <w:rPr>
              <w:rStyle w:val="Hipervnculo"/>
              <w:rFonts w:ascii="Cambria Math" w:hAnsi="Cambria Math"/>
              <w:noProof/>
            </w:rPr>
            <m:t>.</m:t>
          </m:r>
          <m:r>
            <m:rPr>
              <m:sty m:val="b"/>
            </m:rPr>
            <w:rPr>
              <w:rStyle w:val="Hipervnculo"/>
              <w:rFonts w:ascii="Cambria Math" w:hAnsi="Cambria Math"/>
              <w:noProof/>
            </w:rPr>
            <m:t>585</m:t>
          </m:r>
        </m:oMath>
        <w:r w:rsidRPr="00D51CDF">
          <w:rPr>
            <w:rStyle w:val="Hipervnculo"/>
            <w:noProof/>
          </w:rPr>
          <w:t>).</w:t>
        </w:r>
        <w:r>
          <w:rPr>
            <w:noProof/>
            <w:webHidden/>
          </w:rPr>
          <w:tab/>
        </w:r>
        <w:r>
          <w:rPr>
            <w:noProof/>
            <w:webHidden/>
          </w:rPr>
          <w:fldChar w:fldCharType="begin"/>
        </w:r>
        <w:r>
          <w:rPr>
            <w:noProof/>
            <w:webHidden/>
          </w:rPr>
          <w:instrText xml:space="preserve"> PAGEREF _Toc238816334 \h </w:instrText>
        </w:r>
        <w:r>
          <w:rPr>
            <w:noProof/>
            <w:webHidden/>
          </w:rPr>
        </w:r>
        <w:r>
          <w:rPr>
            <w:noProof/>
            <w:webHidden/>
          </w:rPr>
          <w:fldChar w:fldCharType="separate"/>
        </w:r>
        <w:r>
          <w:rPr>
            <w:noProof/>
            <w:webHidden/>
          </w:rPr>
          <w:t>46</w:t>
        </w:r>
        <w:r>
          <w:rPr>
            <w:noProof/>
            <w:webHidden/>
          </w:rPr>
          <w:fldChar w:fldCharType="end"/>
        </w:r>
      </w:hyperlink>
    </w:p>
    <w:p w14:paraId="65F4CEA0" w14:textId="3E4B2FB2" w:rsidR="00381CA1" w:rsidRDefault="00381CA1">
      <w:pPr>
        <w:pStyle w:val="Tabladeilustraciones"/>
        <w:tabs>
          <w:tab w:val="right" w:leader="dot" w:pos="9061"/>
        </w:tabs>
        <w:rPr>
          <w:rFonts w:eastAsiaTheme="minorEastAsia" w:cstheme="minorBidi"/>
          <w:noProof/>
          <w:kern w:val="2"/>
          <w14:ligatures w14:val="standardContextual"/>
        </w:rPr>
      </w:pPr>
      <w:hyperlink w:anchor="_Toc238816335" w:history="1">
        <w:r w:rsidRPr="00D51CDF">
          <w:rPr>
            <w:rStyle w:val="Hipervnculo"/>
            <w:noProof/>
          </w:rPr>
          <w:t xml:space="preserve">Tabla A1. Identificadores ENTREZ y símbolos oficiales (SYMBOL) del conjunto de genes del consenso </w:t>
        </w:r>
        <w:r w:rsidRPr="00D51CDF">
          <w:rPr>
            <w:rStyle w:val="Hipervnculo"/>
            <w:i/>
            <w:iCs/>
            <w:noProof/>
          </w:rPr>
          <w:t>UP</w:t>
        </w:r>
        <w:r w:rsidRPr="00D51CDF">
          <w:rPr>
            <w:rStyle w:val="Hipervnculo"/>
            <w:noProof/>
          </w:rPr>
          <w:t>.</w:t>
        </w:r>
        <w:r>
          <w:rPr>
            <w:noProof/>
            <w:webHidden/>
          </w:rPr>
          <w:tab/>
        </w:r>
        <w:r>
          <w:rPr>
            <w:noProof/>
            <w:webHidden/>
          </w:rPr>
          <w:fldChar w:fldCharType="begin"/>
        </w:r>
        <w:r>
          <w:rPr>
            <w:noProof/>
            <w:webHidden/>
          </w:rPr>
          <w:instrText xml:space="preserve"> PAGEREF _Toc238816335 \h </w:instrText>
        </w:r>
        <w:r>
          <w:rPr>
            <w:noProof/>
            <w:webHidden/>
          </w:rPr>
        </w:r>
        <w:r>
          <w:rPr>
            <w:noProof/>
            <w:webHidden/>
          </w:rPr>
          <w:fldChar w:fldCharType="separate"/>
        </w:r>
        <w:r>
          <w:rPr>
            <w:noProof/>
            <w:webHidden/>
          </w:rPr>
          <w:t>79</w:t>
        </w:r>
        <w:r>
          <w:rPr>
            <w:noProof/>
            <w:webHidden/>
          </w:rPr>
          <w:fldChar w:fldCharType="end"/>
        </w:r>
      </w:hyperlink>
    </w:p>
    <w:p w14:paraId="7BA7ABAF" w14:textId="50714EAD" w:rsidR="00381CA1" w:rsidRDefault="00381CA1">
      <w:pPr>
        <w:pStyle w:val="Tabladeilustraciones"/>
        <w:tabs>
          <w:tab w:val="right" w:leader="dot" w:pos="9061"/>
        </w:tabs>
        <w:rPr>
          <w:rFonts w:eastAsiaTheme="minorEastAsia" w:cstheme="minorBidi"/>
          <w:noProof/>
          <w:kern w:val="2"/>
          <w14:ligatures w14:val="standardContextual"/>
        </w:rPr>
      </w:pPr>
      <w:hyperlink w:anchor="_Toc238816336" w:history="1">
        <w:r w:rsidRPr="00D51CDF">
          <w:rPr>
            <w:rStyle w:val="Hipervnculo"/>
            <w:noProof/>
          </w:rPr>
          <w:t xml:space="preserve">Tabla A2. Identificadores ENTREZ y símbolos oficiales (SYMBOL) del conjunto de genes del consenso </w:t>
        </w:r>
        <w:r w:rsidRPr="00D51CDF">
          <w:rPr>
            <w:rStyle w:val="Hipervnculo"/>
            <w:i/>
            <w:iCs/>
            <w:noProof/>
          </w:rPr>
          <w:t>DOWN</w:t>
        </w:r>
        <w:r w:rsidRPr="00D51CDF">
          <w:rPr>
            <w:rStyle w:val="Hipervnculo"/>
            <w:noProof/>
          </w:rPr>
          <w:t>.</w:t>
        </w:r>
        <w:r>
          <w:rPr>
            <w:noProof/>
            <w:webHidden/>
          </w:rPr>
          <w:tab/>
        </w:r>
        <w:r>
          <w:rPr>
            <w:noProof/>
            <w:webHidden/>
          </w:rPr>
          <w:fldChar w:fldCharType="begin"/>
        </w:r>
        <w:r>
          <w:rPr>
            <w:noProof/>
            <w:webHidden/>
          </w:rPr>
          <w:instrText xml:space="preserve"> PAGEREF _Toc238816336 \h </w:instrText>
        </w:r>
        <w:r>
          <w:rPr>
            <w:noProof/>
            <w:webHidden/>
          </w:rPr>
        </w:r>
        <w:r>
          <w:rPr>
            <w:noProof/>
            <w:webHidden/>
          </w:rPr>
          <w:fldChar w:fldCharType="separate"/>
        </w:r>
        <w:r>
          <w:rPr>
            <w:noProof/>
            <w:webHidden/>
          </w:rPr>
          <w:t>82</w:t>
        </w:r>
        <w:r>
          <w:rPr>
            <w:noProof/>
            <w:webHidden/>
          </w:rPr>
          <w:fldChar w:fldCharType="end"/>
        </w:r>
      </w:hyperlink>
    </w:p>
    <w:p w14:paraId="6A72576D" w14:textId="3A86A51C" w:rsidR="00381CA1" w:rsidRDefault="00381CA1">
      <w:pPr>
        <w:pStyle w:val="Tabladeilustraciones"/>
        <w:tabs>
          <w:tab w:val="right" w:leader="dot" w:pos="9061"/>
        </w:tabs>
        <w:rPr>
          <w:rFonts w:eastAsiaTheme="minorEastAsia" w:cstheme="minorBidi"/>
          <w:noProof/>
          <w:kern w:val="2"/>
          <w14:ligatures w14:val="standardContextual"/>
        </w:rPr>
      </w:pPr>
      <w:hyperlink w:anchor="_Toc238816337" w:history="1">
        <w:r w:rsidRPr="00D51CDF">
          <w:rPr>
            <w:rStyle w:val="Hipervnculo"/>
            <w:noProof/>
          </w:rPr>
          <w:t>Tabla C1. Procesos biológicos clave y biomarcadores representativos de la firma consenso en adenocarcinoma de colon.</w:t>
        </w:r>
        <w:r>
          <w:rPr>
            <w:noProof/>
            <w:webHidden/>
          </w:rPr>
          <w:tab/>
        </w:r>
        <w:r>
          <w:rPr>
            <w:noProof/>
            <w:webHidden/>
          </w:rPr>
          <w:fldChar w:fldCharType="begin"/>
        </w:r>
        <w:r>
          <w:rPr>
            <w:noProof/>
            <w:webHidden/>
          </w:rPr>
          <w:instrText xml:space="preserve"> PAGEREF _Toc238816337 \h </w:instrText>
        </w:r>
        <w:r>
          <w:rPr>
            <w:noProof/>
            <w:webHidden/>
          </w:rPr>
        </w:r>
        <w:r>
          <w:rPr>
            <w:noProof/>
            <w:webHidden/>
          </w:rPr>
          <w:fldChar w:fldCharType="separate"/>
        </w:r>
        <w:r>
          <w:rPr>
            <w:noProof/>
            <w:webHidden/>
          </w:rPr>
          <w:t>92</w:t>
        </w:r>
        <w:r>
          <w:rPr>
            <w:noProof/>
            <w:webHidden/>
          </w:rPr>
          <w:fldChar w:fldCharType="end"/>
        </w:r>
      </w:hyperlink>
    </w:p>
    <w:p w14:paraId="111F1A94" w14:textId="3F90DE5E" w:rsidR="00835045" w:rsidRDefault="00C10A65" w:rsidP="006403BD">
      <w:pPr>
        <w:pStyle w:val="TtuloTDC"/>
      </w:pPr>
      <w:r w:rsidRPr="00B56FB6">
        <w:fldChar w:fldCharType="end"/>
      </w:r>
    </w:p>
    <w:p w14:paraId="3CE0FEBF" w14:textId="77777777" w:rsidR="00835045" w:rsidRDefault="00835045">
      <w:pPr>
        <w:spacing w:before="0" w:after="0" w:line="240" w:lineRule="auto"/>
        <w:jc w:val="left"/>
        <w:rPr>
          <w:rFonts w:cs="Arial"/>
          <w:b/>
          <w:noProof/>
        </w:rPr>
      </w:pPr>
      <w:r>
        <w:br w:type="page"/>
      </w:r>
    </w:p>
    <w:p w14:paraId="1F69E54D" w14:textId="77777777" w:rsidR="006A2DBE" w:rsidRDefault="00835045" w:rsidP="006A2DBE">
      <w:pPr>
        <w:pStyle w:val="Ttulondices"/>
      </w:pPr>
      <w:r>
        <w:lastRenderedPageBreak/>
        <w:t>Índice de Acrónimos</w:t>
      </w:r>
    </w:p>
    <w:tbl>
      <w:tblPr>
        <w:tblStyle w:val="Tablanormal5"/>
        <w:tblW w:w="0" w:type="auto"/>
        <w:tblLook w:val="04A0" w:firstRow="1" w:lastRow="0" w:firstColumn="1" w:lastColumn="0" w:noHBand="0" w:noVBand="1"/>
      </w:tblPr>
      <w:tblGrid>
        <w:gridCol w:w="1611"/>
        <w:gridCol w:w="7460"/>
      </w:tblGrid>
      <w:tr w:rsidR="006A2DBE" w:rsidRPr="006A2DBE" w14:paraId="5E19D50F" w14:textId="77777777" w:rsidTr="00C94F6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6981B380" w14:textId="77777777" w:rsidR="006A2DBE" w:rsidRPr="006A2DBE" w:rsidRDefault="006A2DBE" w:rsidP="00C94F6C">
            <w:pPr>
              <w:spacing w:line="276" w:lineRule="auto"/>
              <w:jc w:val="left"/>
            </w:pPr>
            <w:r w:rsidRPr="006A2DBE">
              <w:rPr>
                <w:b/>
                <w:bCs/>
              </w:rPr>
              <w:t>Acrónimo</w:t>
            </w:r>
          </w:p>
        </w:tc>
        <w:tc>
          <w:tcPr>
            <w:tcW w:w="0" w:type="auto"/>
            <w:hideMark/>
          </w:tcPr>
          <w:p w14:paraId="2FD01DF4" w14:textId="67E5505F" w:rsidR="006A2DBE" w:rsidRPr="006A2DBE" w:rsidRDefault="00C94F6C" w:rsidP="00C94F6C">
            <w:pPr>
              <w:spacing w:line="276" w:lineRule="auto"/>
              <w:jc w:val="left"/>
              <w:cnfStyle w:val="100000000000" w:firstRow="1" w:lastRow="0" w:firstColumn="0" w:lastColumn="0" w:oddVBand="0" w:evenVBand="0" w:oddHBand="0" w:evenHBand="0" w:firstRowFirstColumn="0" w:firstRowLastColumn="0" w:lastRowFirstColumn="0" w:lastRowLastColumn="0"/>
            </w:pPr>
            <w:r w:rsidRPr="00C94F6C">
              <w:rPr>
                <w:b/>
                <w:bCs/>
              </w:rPr>
              <w:t>Significado (</w:t>
            </w:r>
            <w:proofErr w:type="gramStart"/>
            <w:r w:rsidRPr="00C94F6C">
              <w:rPr>
                <w:b/>
                <w:bCs/>
              </w:rPr>
              <w:t>Español</w:t>
            </w:r>
            <w:proofErr w:type="gramEnd"/>
            <w:r w:rsidRPr="00C94F6C">
              <w:rPr>
                <w:b/>
                <w:bCs/>
              </w:rPr>
              <w:t xml:space="preserve"> / </w:t>
            </w:r>
            <w:proofErr w:type="gramStart"/>
            <w:r w:rsidRPr="00C94F6C">
              <w:rPr>
                <w:b/>
                <w:bCs/>
              </w:rPr>
              <w:t>Inglés</w:t>
            </w:r>
            <w:proofErr w:type="gramEnd"/>
            <w:r w:rsidRPr="00C94F6C">
              <w:rPr>
                <w:b/>
                <w:bCs/>
              </w:rPr>
              <w:t>)</w:t>
            </w:r>
          </w:p>
        </w:tc>
      </w:tr>
      <w:tr w:rsidR="006A2DBE" w:rsidRPr="006A2DBE" w14:paraId="2A40E2AE" w14:textId="77777777" w:rsidTr="00C94F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0F7BDD" w14:textId="77777777" w:rsidR="006A2DBE" w:rsidRPr="006A2DBE" w:rsidRDefault="006A2DBE" w:rsidP="00C94F6C">
            <w:pPr>
              <w:spacing w:line="276" w:lineRule="auto"/>
              <w:jc w:val="left"/>
            </w:pPr>
            <w:r w:rsidRPr="006A2DBE">
              <w:rPr>
                <w:b/>
                <w:bCs/>
              </w:rPr>
              <w:t>ADN</w:t>
            </w:r>
          </w:p>
        </w:tc>
        <w:tc>
          <w:tcPr>
            <w:tcW w:w="0" w:type="auto"/>
            <w:hideMark/>
          </w:tcPr>
          <w:p w14:paraId="0D0F97D8" w14:textId="2751CE72" w:rsidR="006A2DBE" w:rsidRPr="006A2DBE" w:rsidRDefault="00C94F6C" w:rsidP="00C94F6C">
            <w:pPr>
              <w:spacing w:line="276" w:lineRule="auto"/>
              <w:jc w:val="left"/>
              <w:cnfStyle w:val="000000100000" w:firstRow="0" w:lastRow="0" w:firstColumn="0" w:lastColumn="0" w:oddVBand="0" w:evenVBand="0" w:oddHBand="1" w:evenHBand="0" w:firstRowFirstColumn="0" w:firstRowLastColumn="0" w:lastRowFirstColumn="0" w:lastRowLastColumn="0"/>
            </w:pPr>
            <w:r w:rsidRPr="00C94F6C">
              <w:t xml:space="preserve">Ácido Desoxirribonucleico / </w:t>
            </w:r>
            <w:proofErr w:type="spellStart"/>
            <w:r w:rsidRPr="00C94F6C">
              <w:rPr>
                <w:i/>
                <w:iCs/>
              </w:rPr>
              <w:t>Deoxyribonucleic</w:t>
            </w:r>
            <w:proofErr w:type="spellEnd"/>
            <w:r w:rsidRPr="00C94F6C">
              <w:rPr>
                <w:i/>
                <w:iCs/>
              </w:rPr>
              <w:t xml:space="preserve"> Acid</w:t>
            </w:r>
          </w:p>
        </w:tc>
      </w:tr>
      <w:tr w:rsidR="006A2DBE" w:rsidRPr="006A2DBE" w14:paraId="422E008C" w14:textId="77777777" w:rsidTr="00C94F6C">
        <w:tc>
          <w:tcPr>
            <w:cnfStyle w:val="001000000000" w:firstRow="0" w:lastRow="0" w:firstColumn="1" w:lastColumn="0" w:oddVBand="0" w:evenVBand="0" w:oddHBand="0" w:evenHBand="0" w:firstRowFirstColumn="0" w:firstRowLastColumn="0" w:lastRowFirstColumn="0" w:lastRowLastColumn="0"/>
            <w:tcW w:w="0" w:type="auto"/>
            <w:hideMark/>
          </w:tcPr>
          <w:p w14:paraId="1645034E" w14:textId="77777777" w:rsidR="006A2DBE" w:rsidRPr="006A2DBE" w:rsidRDefault="006A2DBE" w:rsidP="00C94F6C">
            <w:pPr>
              <w:spacing w:line="276" w:lineRule="auto"/>
              <w:jc w:val="left"/>
            </w:pPr>
            <w:r w:rsidRPr="006A2DBE">
              <w:rPr>
                <w:b/>
                <w:bCs/>
              </w:rPr>
              <w:t>ANOVA</w:t>
            </w:r>
          </w:p>
        </w:tc>
        <w:tc>
          <w:tcPr>
            <w:tcW w:w="0" w:type="auto"/>
            <w:hideMark/>
          </w:tcPr>
          <w:p w14:paraId="709C95DC" w14:textId="75761366" w:rsidR="006A2DBE" w:rsidRPr="006A2DBE" w:rsidRDefault="00C94F6C" w:rsidP="00C94F6C">
            <w:pPr>
              <w:spacing w:line="276" w:lineRule="auto"/>
              <w:jc w:val="left"/>
              <w:cnfStyle w:val="000000000000" w:firstRow="0" w:lastRow="0" w:firstColumn="0" w:lastColumn="0" w:oddVBand="0" w:evenVBand="0" w:oddHBand="0" w:evenHBand="0" w:firstRowFirstColumn="0" w:firstRowLastColumn="0" w:lastRowFirstColumn="0" w:lastRowLastColumn="0"/>
            </w:pPr>
            <w:r w:rsidRPr="00C94F6C">
              <w:t xml:space="preserve">Análisis de Varianza / </w:t>
            </w:r>
            <w:proofErr w:type="spellStart"/>
            <w:r w:rsidRPr="00C94F6C">
              <w:rPr>
                <w:i/>
                <w:iCs/>
              </w:rPr>
              <w:t>Analysis</w:t>
            </w:r>
            <w:proofErr w:type="spellEnd"/>
            <w:r w:rsidRPr="00C94F6C">
              <w:rPr>
                <w:i/>
                <w:iCs/>
              </w:rPr>
              <w:t xml:space="preserve"> </w:t>
            </w:r>
            <w:proofErr w:type="spellStart"/>
            <w:r w:rsidRPr="00C94F6C">
              <w:rPr>
                <w:i/>
                <w:iCs/>
              </w:rPr>
              <w:t>of</w:t>
            </w:r>
            <w:proofErr w:type="spellEnd"/>
            <w:r w:rsidRPr="00C94F6C">
              <w:rPr>
                <w:i/>
                <w:iCs/>
              </w:rPr>
              <w:t xml:space="preserve"> </w:t>
            </w:r>
            <w:proofErr w:type="spellStart"/>
            <w:r w:rsidRPr="00C94F6C">
              <w:rPr>
                <w:i/>
                <w:iCs/>
              </w:rPr>
              <w:t>Variance</w:t>
            </w:r>
            <w:proofErr w:type="spellEnd"/>
          </w:p>
        </w:tc>
      </w:tr>
      <w:tr w:rsidR="006A2DBE" w:rsidRPr="006A2DBE" w14:paraId="0E9460C3" w14:textId="77777777" w:rsidTr="00C94F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D7DCCA" w14:textId="77777777" w:rsidR="006A2DBE" w:rsidRPr="006A2DBE" w:rsidRDefault="006A2DBE" w:rsidP="00C94F6C">
            <w:pPr>
              <w:spacing w:line="276" w:lineRule="auto"/>
              <w:jc w:val="left"/>
            </w:pPr>
            <w:proofErr w:type="spellStart"/>
            <w:r w:rsidRPr="006A2DBE">
              <w:rPr>
                <w:b/>
                <w:bCs/>
              </w:rPr>
              <w:t>apeglm</w:t>
            </w:r>
            <w:proofErr w:type="spellEnd"/>
          </w:p>
        </w:tc>
        <w:tc>
          <w:tcPr>
            <w:tcW w:w="0" w:type="auto"/>
            <w:hideMark/>
          </w:tcPr>
          <w:p w14:paraId="693E1ABB" w14:textId="77777777" w:rsidR="006A2DBE" w:rsidRPr="006A2DBE" w:rsidRDefault="006A2DBE" w:rsidP="00C94F6C">
            <w:pPr>
              <w:spacing w:line="276" w:lineRule="auto"/>
              <w:jc w:val="left"/>
              <w:cnfStyle w:val="000000100000" w:firstRow="0" w:lastRow="0" w:firstColumn="0" w:lastColumn="0" w:oddVBand="0" w:evenVBand="0" w:oddHBand="1" w:evenHBand="0" w:firstRowFirstColumn="0" w:firstRowLastColumn="0" w:lastRowFirstColumn="0" w:lastRowLastColumn="0"/>
            </w:pPr>
            <w:r w:rsidRPr="006A2DBE">
              <w:t>Estimación Posterior Aproximada para Modelos Lineales Generalizados (</w:t>
            </w:r>
            <w:proofErr w:type="spellStart"/>
            <w:r w:rsidRPr="006A2DBE">
              <w:rPr>
                <w:i/>
                <w:iCs/>
              </w:rPr>
              <w:t>Approximate</w:t>
            </w:r>
            <w:proofErr w:type="spellEnd"/>
            <w:r w:rsidRPr="006A2DBE">
              <w:rPr>
                <w:i/>
                <w:iCs/>
              </w:rPr>
              <w:t xml:space="preserve"> Posterior </w:t>
            </w:r>
            <w:proofErr w:type="spellStart"/>
            <w:r w:rsidRPr="006A2DBE">
              <w:rPr>
                <w:i/>
                <w:iCs/>
              </w:rPr>
              <w:t>Estimation</w:t>
            </w:r>
            <w:proofErr w:type="spellEnd"/>
            <w:r w:rsidRPr="006A2DBE">
              <w:rPr>
                <w:i/>
                <w:iCs/>
              </w:rPr>
              <w:t xml:space="preserve"> </w:t>
            </w:r>
            <w:proofErr w:type="spellStart"/>
            <w:r w:rsidRPr="006A2DBE">
              <w:rPr>
                <w:i/>
                <w:iCs/>
              </w:rPr>
              <w:t>for</w:t>
            </w:r>
            <w:proofErr w:type="spellEnd"/>
            <w:r w:rsidRPr="006A2DBE">
              <w:rPr>
                <w:i/>
                <w:iCs/>
              </w:rPr>
              <w:t xml:space="preserve"> </w:t>
            </w:r>
            <w:proofErr w:type="spellStart"/>
            <w:r w:rsidRPr="006A2DBE">
              <w:rPr>
                <w:i/>
                <w:iCs/>
              </w:rPr>
              <w:t>Generalized</w:t>
            </w:r>
            <w:proofErr w:type="spellEnd"/>
            <w:r w:rsidRPr="006A2DBE">
              <w:rPr>
                <w:i/>
                <w:iCs/>
              </w:rPr>
              <w:t xml:space="preserve"> Linear </w:t>
            </w:r>
            <w:proofErr w:type="spellStart"/>
            <w:r w:rsidRPr="006A2DBE">
              <w:rPr>
                <w:i/>
                <w:iCs/>
              </w:rPr>
              <w:t>Models</w:t>
            </w:r>
            <w:proofErr w:type="spellEnd"/>
            <w:r w:rsidRPr="006A2DBE">
              <w:t>)</w:t>
            </w:r>
          </w:p>
        </w:tc>
      </w:tr>
      <w:tr w:rsidR="006A2DBE" w:rsidRPr="006A2DBE" w14:paraId="40C62D19" w14:textId="77777777" w:rsidTr="00C94F6C">
        <w:tc>
          <w:tcPr>
            <w:cnfStyle w:val="001000000000" w:firstRow="0" w:lastRow="0" w:firstColumn="1" w:lastColumn="0" w:oddVBand="0" w:evenVBand="0" w:oddHBand="0" w:evenHBand="0" w:firstRowFirstColumn="0" w:firstRowLastColumn="0" w:lastRowFirstColumn="0" w:lastRowLastColumn="0"/>
            <w:tcW w:w="0" w:type="auto"/>
            <w:hideMark/>
          </w:tcPr>
          <w:p w14:paraId="6D50D0BC" w14:textId="77777777" w:rsidR="006A2DBE" w:rsidRPr="006A2DBE" w:rsidRDefault="006A2DBE" w:rsidP="00C94F6C">
            <w:pPr>
              <w:spacing w:line="276" w:lineRule="auto"/>
              <w:jc w:val="left"/>
            </w:pPr>
            <w:r w:rsidRPr="006A2DBE">
              <w:rPr>
                <w:b/>
                <w:bCs/>
              </w:rPr>
              <w:t>ARN / RNA</w:t>
            </w:r>
          </w:p>
        </w:tc>
        <w:tc>
          <w:tcPr>
            <w:tcW w:w="0" w:type="auto"/>
            <w:hideMark/>
          </w:tcPr>
          <w:p w14:paraId="5064A977" w14:textId="2F8B8E6C" w:rsidR="006A2DBE" w:rsidRPr="006A2DBE" w:rsidRDefault="00C94F6C" w:rsidP="00C94F6C">
            <w:pPr>
              <w:spacing w:line="276" w:lineRule="auto"/>
              <w:jc w:val="left"/>
              <w:cnfStyle w:val="000000000000" w:firstRow="0" w:lastRow="0" w:firstColumn="0" w:lastColumn="0" w:oddVBand="0" w:evenVBand="0" w:oddHBand="0" w:evenHBand="0" w:firstRowFirstColumn="0" w:firstRowLastColumn="0" w:lastRowFirstColumn="0" w:lastRowLastColumn="0"/>
            </w:pPr>
            <w:r w:rsidRPr="00C94F6C">
              <w:t xml:space="preserve">Ácido Ribonucleico / </w:t>
            </w:r>
            <w:proofErr w:type="spellStart"/>
            <w:r w:rsidRPr="00C94F6C">
              <w:rPr>
                <w:i/>
                <w:iCs/>
              </w:rPr>
              <w:t>Ribonucleic</w:t>
            </w:r>
            <w:proofErr w:type="spellEnd"/>
            <w:r w:rsidRPr="00C94F6C">
              <w:rPr>
                <w:i/>
                <w:iCs/>
              </w:rPr>
              <w:t xml:space="preserve"> Acid</w:t>
            </w:r>
          </w:p>
        </w:tc>
      </w:tr>
      <w:tr w:rsidR="006A2DBE" w:rsidRPr="006A2DBE" w14:paraId="0A2053AE" w14:textId="77777777" w:rsidTr="00C94F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BCDD05" w14:textId="77777777" w:rsidR="006A2DBE" w:rsidRPr="006A2DBE" w:rsidRDefault="006A2DBE" w:rsidP="00C94F6C">
            <w:pPr>
              <w:spacing w:line="276" w:lineRule="auto"/>
              <w:jc w:val="left"/>
            </w:pPr>
            <w:r w:rsidRPr="006A2DBE">
              <w:rPr>
                <w:b/>
                <w:bCs/>
              </w:rPr>
              <w:t>ARNm / mRNA</w:t>
            </w:r>
          </w:p>
        </w:tc>
        <w:tc>
          <w:tcPr>
            <w:tcW w:w="0" w:type="auto"/>
            <w:hideMark/>
          </w:tcPr>
          <w:p w14:paraId="2177C07E" w14:textId="17D2B3C6" w:rsidR="006A2DBE" w:rsidRPr="006A2DBE" w:rsidRDefault="006A2DBE" w:rsidP="00C94F6C">
            <w:pPr>
              <w:spacing w:line="276" w:lineRule="auto"/>
              <w:jc w:val="left"/>
              <w:cnfStyle w:val="000000100000" w:firstRow="0" w:lastRow="0" w:firstColumn="0" w:lastColumn="0" w:oddVBand="0" w:evenVBand="0" w:oddHBand="1" w:evenHBand="0" w:firstRowFirstColumn="0" w:firstRowLastColumn="0" w:lastRowFirstColumn="0" w:lastRowLastColumn="0"/>
            </w:pPr>
            <w:r w:rsidRPr="006A2DBE">
              <w:t xml:space="preserve">ARN mensajero </w:t>
            </w:r>
            <w:r w:rsidR="00C94F6C">
              <w:t xml:space="preserve">/ </w:t>
            </w:r>
            <w:r w:rsidRPr="006A2DBE">
              <w:rPr>
                <w:i/>
                <w:iCs/>
              </w:rPr>
              <w:t>Messenger RNA</w:t>
            </w:r>
          </w:p>
        </w:tc>
      </w:tr>
      <w:tr w:rsidR="006A2DBE" w:rsidRPr="006A2DBE" w14:paraId="49E65197" w14:textId="77777777" w:rsidTr="00C94F6C">
        <w:tc>
          <w:tcPr>
            <w:cnfStyle w:val="001000000000" w:firstRow="0" w:lastRow="0" w:firstColumn="1" w:lastColumn="0" w:oddVBand="0" w:evenVBand="0" w:oddHBand="0" w:evenHBand="0" w:firstRowFirstColumn="0" w:firstRowLastColumn="0" w:lastRowFirstColumn="0" w:lastRowLastColumn="0"/>
            <w:tcW w:w="0" w:type="auto"/>
            <w:hideMark/>
          </w:tcPr>
          <w:p w14:paraId="1536ECA4" w14:textId="77777777" w:rsidR="006A2DBE" w:rsidRPr="006A2DBE" w:rsidRDefault="006A2DBE" w:rsidP="00C94F6C">
            <w:pPr>
              <w:spacing w:line="276" w:lineRule="auto"/>
              <w:jc w:val="left"/>
            </w:pPr>
            <w:r w:rsidRPr="006A2DBE">
              <w:rPr>
                <w:b/>
                <w:bCs/>
              </w:rPr>
              <w:t>BP</w:t>
            </w:r>
          </w:p>
        </w:tc>
        <w:tc>
          <w:tcPr>
            <w:tcW w:w="0" w:type="auto"/>
            <w:hideMark/>
          </w:tcPr>
          <w:p w14:paraId="77210C6B" w14:textId="2ACB30A0" w:rsidR="006A2DBE" w:rsidRPr="006A2DBE" w:rsidRDefault="00C94F6C" w:rsidP="00C94F6C">
            <w:pPr>
              <w:spacing w:line="276" w:lineRule="auto"/>
              <w:jc w:val="left"/>
              <w:cnfStyle w:val="000000000000" w:firstRow="0" w:lastRow="0" w:firstColumn="0" w:lastColumn="0" w:oddVBand="0" w:evenVBand="0" w:oddHBand="0" w:evenHBand="0" w:firstRowFirstColumn="0" w:firstRowLastColumn="0" w:lastRowFirstColumn="0" w:lastRowLastColumn="0"/>
            </w:pPr>
            <w:r w:rsidRPr="00C94F6C">
              <w:t xml:space="preserve">Proceso Biológico / </w:t>
            </w:r>
            <w:proofErr w:type="spellStart"/>
            <w:r w:rsidRPr="00C94F6C">
              <w:rPr>
                <w:i/>
                <w:iCs/>
              </w:rPr>
              <w:t>Biological</w:t>
            </w:r>
            <w:proofErr w:type="spellEnd"/>
            <w:r w:rsidRPr="00C94F6C">
              <w:rPr>
                <w:i/>
                <w:iCs/>
              </w:rPr>
              <w:t xml:space="preserve"> Process</w:t>
            </w:r>
          </w:p>
        </w:tc>
      </w:tr>
      <w:tr w:rsidR="006A2DBE" w:rsidRPr="006A2DBE" w14:paraId="0E120225" w14:textId="77777777" w:rsidTr="00C94F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D4FD47" w14:textId="4F16FFC7" w:rsidR="006A2DBE" w:rsidRPr="006A2DBE" w:rsidRDefault="006A2DBE" w:rsidP="00C94F6C">
            <w:pPr>
              <w:spacing w:line="276" w:lineRule="auto"/>
              <w:jc w:val="left"/>
            </w:pPr>
            <w:proofErr w:type="spellStart"/>
            <w:r w:rsidRPr="006A2DBE">
              <w:rPr>
                <w:b/>
                <w:bCs/>
              </w:rPr>
              <w:t>CAF</w:t>
            </w:r>
            <w:r w:rsidR="00C94F6C">
              <w:rPr>
                <w:b/>
                <w:bCs/>
              </w:rPr>
              <w:t>s</w:t>
            </w:r>
            <w:proofErr w:type="spellEnd"/>
          </w:p>
        </w:tc>
        <w:tc>
          <w:tcPr>
            <w:tcW w:w="0" w:type="auto"/>
            <w:hideMark/>
          </w:tcPr>
          <w:p w14:paraId="3D054417" w14:textId="0DD26685" w:rsidR="006A2DBE" w:rsidRPr="006A2DBE" w:rsidRDefault="00C94F6C" w:rsidP="00C94F6C">
            <w:pPr>
              <w:spacing w:line="276" w:lineRule="auto"/>
              <w:jc w:val="left"/>
              <w:cnfStyle w:val="000000100000" w:firstRow="0" w:lastRow="0" w:firstColumn="0" w:lastColumn="0" w:oddVBand="0" w:evenVBand="0" w:oddHBand="1" w:evenHBand="0" w:firstRowFirstColumn="0" w:firstRowLastColumn="0" w:lastRowFirstColumn="0" w:lastRowLastColumn="0"/>
            </w:pPr>
            <w:r w:rsidRPr="00C94F6C">
              <w:t xml:space="preserve">Fibroblastos Asociados al Cáncer / </w:t>
            </w:r>
            <w:proofErr w:type="spellStart"/>
            <w:r w:rsidRPr="00C94F6C">
              <w:rPr>
                <w:i/>
                <w:iCs/>
              </w:rPr>
              <w:t>Cancer-Associated</w:t>
            </w:r>
            <w:proofErr w:type="spellEnd"/>
            <w:r w:rsidRPr="00C94F6C">
              <w:rPr>
                <w:i/>
                <w:iCs/>
              </w:rPr>
              <w:t xml:space="preserve"> </w:t>
            </w:r>
            <w:proofErr w:type="spellStart"/>
            <w:r w:rsidRPr="00C94F6C">
              <w:rPr>
                <w:i/>
                <w:iCs/>
              </w:rPr>
              <w:t>Fibroblasts</w:t>
            </w:r>
            <w:proofErr w:type="spellEnd"/>
          </w:p>
        </w:tc>
      </w:tr>
      <w:tr w:rsidR="006A2DBE" w:rsidRPr="006A2DBE" w14:paraId="03A471DA" w14:textId="77777777" w:rsidTr="00C94F6C">
        <w:tc>
          <w:tcPr>
            <w:cnfStyle w:val="001000000000" w:firstRow="0" w:lastRow="0" w:firstColumn="1" w:lastColumn="0" w:oddVBand="0" w:evenVBand="0" w:oddHBand="0" w:evenHBand="0" w:firstRowFirstColumn="0" w:firstRowLastColumn="0" w:lastRowFirstColumn="0" w:lastRowLastColumn="0"/>
            <w:tcW w:w="0" w:type="auto"/>
            <w:hideMark/>
          </w:tcPr>
          <w:p w14:paraId="63E90C79" w14:textId="77777777" w:rsidR="006A2DBE" w:rsidRPr="006A2DBE" w:rsidRDefault="006A2DBE" w:rsidP="00C94F6C">
            <w:pPr>
              <w:spacing w:line="276" w:lineRule="auto"/>
              <w:jc w:val="left"/>
            </w:pPr>
            <w:r w:rsidRPr="006A2DBE">
              <w:rPr>
                <w:b/>
                <w:bCs/>
              </w:rPr>
              <w:t>CC</w:t>
            </w:r>
          </w:p>
        </w:tc>
        <w:tc>
          <w:tcPr>
            <w:tcW w:w="0" w:type="auto"/>
            <w:hideMark/>
          </w:tcPr>
          <w:p w14:paraId="7E905F49" w14:textId="3DEBA980" w:rsidR="006A2DBE" w:rsidRPr="006A2DBE" w:rsidRDefault="00C94F6C" w:rsidP="00C94F6C">
            <w:pPr>
              <w:spacing w:line="276" w:lineRule="auto"/>
              <w:jc w:val="left"/>
              <w:cnfStyle w:val="000000000000" w:firstRow="0" w:lastRow="0" w:firstColumn="0" w:lastColumn="0" w:oddVBand="0" w:evenVBand="0" w:oddHBand="0" w:evenHBand="0" w:firstRowFirstColumn="0" w:firstRowLastColumn="0" w:lastRowFirstColumn="0" w:lastRowLastColumn="0"/>
            </w:pPr>
            <w:r w:rsidRPr="00C94F6C">
              <w:t xml:space="preserve">Componente Celular / </w:t>
            </w:r>
            <w:proofErr w:type="spellStart"/>
            <w:r w:rsidRPr="00C94F6C">
              <w:rPr>
                <w:i/>
                <w:iCs/>
              </w:rPr>
              <w:t>Cellular</w:t>
            </w:r>
            <w:proofErr w:type="spellEnd"/>
            <w:r w:rsidRPr="00C94F6C">
              <w:rPr>
                <w:i/>
                <w:iCs/>
              </w:rPr>
              <w:t xml:space="preserve"> </w:t>
            </w:r>
            <w:proofErr w:type="spellStart"/>
            <w:r w:rsidRPr="00C94F6C">
              <w:rPr>
                <w:i/>
                <w:iCs/>
              </w:rPr>
              <w:t>Component</w:t>
            </w:r>
            <w:proofErr w:type="spellEnd"/>
          </w:p>
        </w:tc>
      </w:tr>
      <w:tr w:rsidR="006A2DBE" w:rsidRPr="006A2DBE" w14:paraId="7A6004EC" w14:textId="77777777" w:rsidTr="00C94F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B07543" w14:textId="77777777" w:rsidR="006A2DBE" w:rsidRPr="006A2DBE" w:rsidRDefault="006A2DBE" w:rsidP="00C94F6C">
            <w:pPr>
              <w:spacing w:line="276" w:lineRule="auto"/>
              <w:jc w:val="left"/>
            </w:pPr>
            <w:r w:rsidRPr="006A2DBE">
              <w:rPr>
                <w:b/>
                <w:bCs/>
              </w:rPr>
              <w:t>CMS</w:t>
            </w:r>
          </w:p>
        </w:tc>
        <w:tc>
          <w:tcPr>
            <w:tcW w:w="0" w:type="auto"/>
            <w:hideMark/>
          </w:tcPr>
          <w:p w14:paraId="4A8F669A" w14:textId="682BD3F9" w:rsidR="006A2DBE" w:rsidRPr="006A2DBE" w:rsidRDefault="00C94F6C" w:rsidP="00C94F6C">
            <w:pPr>
              <w:spacing w:line="276" w:lineRule="auto"/>
              <w:jc w:val="left"/>
              <w:cnfStyle w:val="000000100000" w:firstRow="0" w:lastRow="0" w:firstColumn="0" w:lastColumn="0" w:oddVBand="0" w:evenVBand="0" w:oddHBand="1" w:evenHBand="0" w:firstRowFirstColumn="0" w:firstRowLastColumn="0" w:lastRowFirstColumn="0" w:lastRowLastColumn="0"/>
            </w:pPr>
            <w:r w:rsidRPr="00C94F6C">
              <w:t xml:space="preserve">Subtipos Moleculares de Consenso / </w:t>
            </w:r>
            <w:proofErr w:type="spellStart"/>
            <w:r w:rsidRPr="00C94F6C">
              <w:rPr>
                <w:i/>
                <w:iCs/>
              </w:rPr>
              <w:t>Consensus</w:t>
            </w:r>
            <w:proofErr w:type="spellEnd"/>
            <w:r w:rsidRPr="00C94F6C">
              <w:rPr>
                <w:i/>
                <w:iCs/>
              </w:rPr>
              <w:t xml:space="preserve"> Molecular </w:t>
            </w:r>
            <w:proofErr w:type="spellStart"/>
            <w:r w:rsidRPr="00C94F6C">
              <w:rPr>
                <w:i/>
                <w:iCs/>
              </w:rPr>
              <w:t>Subtypes</w:t>
            </w:r>
            <w:proofErr w:type="spellEnd"/>
          </w:p>
        </w:tc>
      </w:tr>
      <w:tr w:rsidR="006A2DBE" w:rsidRPr="006A2DBE" w14:paraId="3BCB6744" w14:textId="77777777" w:rsidTr="00C94F6C">
        <w:tc>
          <w:tcPr>
            <w:cnfStyle w:val="001000000000" w:firstRow="0" w:lastRow="0" w:firstColumn="1" w:lastColumn="0" w:oddVBand="0" w:evenVBand="0" w:oddHBand="0" w:evenHBand="0" w:firstRowFirstColumn="0" w:firstRowLastColumn="0" w:lastRowFirstColumn="0" w:lastRowLastColumn="0"/>
            <w:tcW w:w="0" w:type="auto"/>
            <w:hideMark/>
          </w:tcPr>
          <w:p w14:paraId="50A9CFEA" w14:textId="77777777" w:rsidR="006A2DBE" w:rsidRPr="006A2DBE" w:rsidRDefault="006A2DBE" w:rsidP="00C94F6C">
            <w:pPr>
              <w:spacing w:line="276" w:lineRule="auto"/>
              <w:jc w:val="left"/>
            </w:pPr>
            <w:r w:rsidRPr="006A2DBE">
              <w:rPr>
                <w:b/>
                <w:bCs/>
              </w:rPr>
              <w:t>COAD</w:t>
            </w:r>
          </w:p>
        </w:tc>
        <w:tc>
          <w:tcPr>
            <w:tcW w:w="0" w:type="auto"/>
            <w:hideMark/>
          </w:tcPr>
          <w:p w14:paraId="1D9A195B" w14:textId="0A0105AA" w:rsidR="006A2DBE" w:rsidRPr="006A2DBE" w:rsidRDefault="00C94F6C" w:rsidP="00C94F6C">
            <w:pPr>
              <w:spacing w:line="276" w:lineRule="auto"/>
              <w:jc w:val="left"/>
              <w:cnfStyle w:val="000000000000" w:firstRow="0" w:lastRow="0" w:firstColumn="0" w:lastColumn="0" w:oddVBand="0" w:evenVBand="0" w:oddHBand="0" w:evenHBand="0" w:firstRowFirstColumn="0" w:firstRowLastColumn="0" w:lastRowFirstColumn="0" w:lastRowLastColumn="0"/>
            </w:pPr>
            <w:r w:rsidRPr="00C94F6C">
              <w:t xml:space="preserve">Adenocarcinoma de Colon / </w:t>
            </w:r>
            <w:r w:rsidRPr="00C94F6C">
              <w:rPr>
                <w:i/>
                <w:iCs/>
              </w:rPr>
              <w:t>Colon Adenocarcinoma</w:t>
            </w:r>
          </w:p>
        </w:tc>
      </w:tr>
      <w:tr w:rsidR="006A2DBE" w:rsidRPr="006A2DBE" w14:paraId="3F1681B8" w14:textId="77777777" w:rsidTr="00C94F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455FD1" w14:textId="77777777" w:rsidR="006A2DBE" w:rsidRPr="006A2DBE" w:rsidRDefault="006A2DBE" w:rsidP="00C94F6C">
            <w:pPr>
              <w:spacing w:line="276" w:lineRule="auto"/>
              <w:jc w:val="left"/>
            </w:pPr>
            <w:r w:rsidRPr="006A2DBE">
              <w:rPr>
                <w:b/>
                <w:bCs/>
              </w:rPr>
              <w:t>CRC</w:t>
            </w:r>
          </w:p>
        </w:tc>
        <w:tc>
          <w:tcPr>
            <w:tcW w:w="0" w:type="auto"/>
            <w:hideMark/>
          </w:tcPr>
          <w:p w14:paraId="51798CAC" w14:textId="30140719" w:rsidR="006A2DBE" w:rsidRPr="006A2DBE" w:rsidRDefault="00C94F6C" w:rsidP="00C94F6C">
            <w:pPr>
              <w:spacing w:line="276" w:lineRule="auto"/>
              <w:jc w:val="left"/>
              <w:cnfStyle w:val="000000100000" w:firstRow="0" w:lastRow="0" w:firstColumn="0" w:lastColumn="0" w:oddVBand="0" w:evenVBand="0" w:oddHBand="1" w:evenHBand="0" w:firstRowFirstColumn="0" w:firstRowLastColumn="0" w:lastRowFirstColumn="0" w:lastRowLastColumn="0"/>
            </w:pPr>
            <w:r w:rsidRPr="00C94F6C">
              <w:t xml:space="preserve">Adenocarcinoma Colorrectal / </w:t>
            </w:r>
            <w:proofErr w:type="spellStart"/>
            <w:r w:rsidRPr="00C94F6C">
              <w:rPr>
                <w:i/>
                <w:iCs/>
              </w:rPr>
              <w:t>Colorectal</w:t>
            </w:r>
            <w:proofErr w:type="spellEnd"/>
            <w:r w:rsidRPr="00C94F6C">
              <w:rPr>
                <w:i/>
                <w:iCs/>
              </w:rPr>
              <w:t xml:space="preserve"> </w:t>
            </w:r>
            <w:proofErr w:type="spellStart"/>
            <w:r w:rsidRPr="00C94F6C">
              <w:rPr>
                <w:i/>
                <w:iCs/>
              </w:rPr>
              <w:t>Cancer</w:t>
            </w:r>
            <w:proofErr w:type="spellEnd"/>
          </w:p>
        </w:tc>
      </w:tr>
      <w:tr w:rsidR="006A2DBE" w:rsidRPr="006A2DBE" w14:paraId="73008757" w14:textId="77777777" w:rsidTr="00C94F6C">
        <w:tc>
          <w:tcPr>
            <w:cnfStyle w:val="001000000000" w:firstRow="0" w:lastRow="0" w:firstColumn="1" w:lastColumn="0" w:oddVBand="0" w:evenVBand="0" w:oddHBand="0" w:evenHBand="0" w:firstRowFirstColumn="0" w:firstRowLastColumn="0" w:lastRowFirstColumn="0" w:lastRowLastColumn="0"/>
            <w:tcW w:w="0" w:type="auto"/>
            <w:hideMark/>
          </w:tcPr>
          <w:p w14:paraId="06D1C608" w14:textId="6B139043" w:rsidR="006A2DBE" w:rsidRPr="006A2DBE" w:rsidRDefault="006A2DBE" w:rsidP="00C94F6C">
            <w:pPr>
              <w:spacing w:line="276" w:lineRule="auto"/>
              <w:jc w:val="left"/>
            </w:pPr>
            <w:r w:rsidRPr="006A2DBE">
              <w:rPr>
                <w:b/>
                <w:bCs/>
              </w:rPr>
              <w:t>DEG</w:t>
            </w:r>
            <w:r w:rsidR="00C94F6C">
              <w:rPr>
                <w:b/>
                <w:bCs/>
              </w:rPr>
              <w:t>s</w:t>
            </w:r>
          </w:p>
        </w:tc>
        <w:tc>
          <w:tcPr>
            <w:tcW w:w="0" w:type="auto"/>
            <w:hideMark/>
          </w:tcPr>
          <w:p w14:paraId="38A6D32F" w14:textId="4FAEB079" w:rsidR="006A2DBE" w:rsidRPr="006A2DBE" w:rsidRDefault="00C94F6C" w:rsidP="00C94F6C">
            <w:pPr>
              <w:spacing w:line="276" w:lineRule="auto"/>
              <w:jc w:val="left"/>
              <w:cnfStyle w:val="000000000000" w:firstRow="0" w:lastRow="0" w:firstColumn="0" w:lastColumn="0" w:oddVBand="0" w:evenVBand="0" w:oddHBand="0" w:evenHBand="0" w:firstRowFirstColumn="0" w:firstRowLastColumn="0" w:lastRowFirstColumn="0" w:lastRowLastColumn="0"/>
            </w:pPr>
            <w:r w:rsidRPr="00C94F6C">
              <w:t xml:space="preserve">Genes Diferencialmente Expresados / </w:t>
            </w:r>
            <w:proofErr w:type="spellStart"/>
            <w:r w:rsidRPr="00C94F6C">
              <w:rPr>
                <w:i/>
                <w:iCs/>
              </w:rPr>
              <w:t>Differentially</w:t>
            </w:r>
            <w:proofErr w:type="spellEnd"/>
            <w:r w:rsidRPr="00C94F6C">
              <w:rPr>
                <w:i/>
                <w:iCs/>
              </w:rPr>
              <w:t xml:space="preserve"> </w:t>
            </w:r>
            <w:proofErr w:type="spellStart"/>
            <w:r w:rsidRPr="00C94F6C">
              <w:rPr>
                <w:i/>
                <w:iCs/>
              </w:rPr>
              <w:t>Expressed</w:t>
            </w:r>
            <w:proofErr w:type="spellEnd"/>
            <w:r w:rsidRPr="00C94F6C">
              <w:rPr>
                <w:i/>
                <w:iCs/>
              </w:rPr>
              <w:t xml:space="preserve"> Genes</w:t>
            </w:r>
          </w:p>
        </w:tc>
      </w:tr>
      <w:tr w:rsidR="006A2DBE" w:rsidRPr="006A2DBE" w14:paraId="03308AC0" w14:textId="77777777" w:rsidTr="00C94F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550991" w14:textId="77777777" w:rsidR="006A2DBE" w:rsidRPr="006A2DBE" w:rsidRDefault="006A2DBE" w:rsidP="00C94F6C">
            <w:pPr>
              <w:spacing w:line="276" w:lineRule="auto"/>
              <w:jc w:val="left"/>
            </w:pPr>
            <w:r w:rsidRPr="006A2DBE">
              <w:rPr>
                <w:b/>
                <w:bCs/>
              </w:rPr>
              <w:t>DGEA</w:t>
            </w:r>
          </w:p>
        </w:tc>
        <w:tc>
          <w:tcPr>
            <w:tcW w:w="0" w:type="auto"/>
            <w:hideMark/>
          </w:tcPr>
          <w:p w14:paraId="375CEE59" w14:textId="67B48331" w:rsidR="006A2DBE" w:rsidRPr="006A2DBE" w:rsidRDefault="00C94F6C" w:rsidP="00C94F6C">
            <w:pPr>
              <w:spacing w:line="276" w:lineRule="auto"/>
              <w:jc w:val="left"/>
              <w:cnfStyle w:val="000000100000" w:firstRow="0" w:lastRow="0" w:firstColumn="0" w:lastColumn="0" w:oddVBand="0" w:evenVBand="0" w:oddHBand="1" w:evenHBand="0" w:firstRowFirstColumn="0" w:firstRowLastColumn="0" w:lastRowFirstColumn="0" w:lastRowLastColumn="0"/>
            </w:pPr>
            <w:r w:rsidRPr="00C94F6C">
              <w:t xml:space="preserve">Análisis de Expresión Génica Diferencial / </w:t>
            </w:r>
            <w:proofErr w:type="spellStart"/>
            <w:r w:rsidRPr="00C94F6C">
              <w:rPr>
                <w:i/>
                <w:iCs/>
              </w:rPr>
              <w:t>Differential</w:t>
            </w:r>
            <w:proofErr w:type="spellEnd"/>
            <w:r w:rsidRPr="00C94F6C">
              <w:rPr>
                <w:i/>
                <w:iCs/>
              </w:rPr>
              <w:t xml:space="preserve"> Gene </w:t>
            </w:r>
            <w:proofErr w:type="spellStart"/>
            <w:r w:rsidRPr="00C94F6C">
              <w:rPr>
                <w:i/>
                <w:iCs/>
              </w:rPr>
              <w:t>Expression</w:t>
            </w:r>
            <w:proofErr w:type="spellEnd"/>
            <w:r w:rsidRPr="00C94F6C">
              <w:rPr>
                <w:i/>
                <w:iCs/>
              </w:rPr>
              <w:t xml:space="preserve"> </w:t>
            </w:r>
            <w:proofErr w:type="spellStart"/>
            <w:r w:rsidRPr="00C94F6C">
              <w:rPr>
                <w:i/>
                <w:iCs/>
              </w:rPr>
              <w:t>Analysis</w:t>
            </w:r>
            <w:proofErr w:type="spellEnd"/>
          </w:p>
        </w:tc>
      </w:tr>
      <w:tr w:rsidR="006A2DBE" w:rsidRPr="006A2DBE" w14:paraId="371C4740" w14:textId="77777777" w:rsidTr="00C94F6C">
        <w:tc>
          <w:tcPr>
            <w:cnfStyle w:val="001000000000" w:firstRow="0" w:lastRow="0" w:firstColumn="1" w:lastColumn="0" w:oddVBand="0" w:evenVBand="0" w:oddHBand="0" w:evenHBand="0" w:firstRowFirstColumn="0" w:firstRowLastColumn="0" w:lastRowFirstColumn="0" w:lastRowLastColumn="0"/>
            <w:tcW w:w="0" w:type="auto"/>
            <w:hideMark/>
          </w:tcPr>
          <w:p w14:paraId="7847A6FD" w14:textId="77777777" w:rsidR="006A2DBE" w:rsidRPr="006A2DBE" w:rsidRDefault="006A2DBE" w:rsidP="00C94F6C">
            <w:pPr>
              <w:spacing w:line="276" w:lineRule="auto"/>
              <w:jc w:val="left"/>
            </w:pPr>
            <w:r w:rsidRPr="006A2DBE">
              <w:rPr>
                <w:b/>
                <w:bCs/>
              </w:rPr>
              <w:t>EGFR</w:t>
            </w:r>
          </w:p>
        </w:tc>
        <w:tc>
          <w:tcPr>
            <w:tcW w:w="0" w:type="auto"/>
            <w:hideMark/>
          </w:tcPr>
          <w:p w14:paraId="6FDE1D70" w14:textId="1008C02E" w:rsidR="006A2DBE" w:rsidRPr="006A2DBE" w:rsidRDefault="00C94F6C" w:rsidP="00C94F6C">
            <w:pPr>
              <w:spacing w:line="276" w:lineRule="auto"/>
              <w:jc w:val="left"/>
              <w:cnfStyle w:val="000000000000" w:firstRow="0" w:lastRow="0" w:firstColumn="0" w:lastColumn="0" w:oddVBand="0" w:evenVBand="0" w:oddHBand="0" w:evenHBand="0" w:firstRowFirstColumn="0" w:firstRowLastColumn="0" w:lastRowFirstColumn="0" w:lastRowLastColumn="0"/>
            </w:pPr>
            <w:r w:rsidRPr="00C94F6C">
              <w:t xml:space="preserve">Receptor del Factor de Crecimiento Epidérmico / </w:t>
            </w:r>
            <w:proofErr w:type="spellStart"/>
            <w:r w:rsidRPr="00C94F6C">
              <w:rPr>
                <w:i/>
                <w:iCs/>
              </w:rPr>
              <w:t>Epidermal</w:t>
            </w:r>
            <w:proofErr w:type="spellEnd"/>
            <w:r w:rsidRPr="00C94F6C">
              <w:rPr>
                <w:i/>
                <w:iCs/>
              </w:rPr>
              <w:t xml:space="preserve"> </w:t>
            </w:r>
            <w:proofErr w:type="spellStart"/>
            <w:r w:rsidRPr="00C94F6C">
              <w:rPr>
                <w:i/>
                <w:iCs/>
              </w:rPr>
              <w:t>Growth</w:t>
            </w:r>
            <w:proofErr w:type="spellEnd"/>
            <w:r w:rsidRPr="00C94F6C">
              <w:rPr>
                <w:i/>
                <w:iCs/>
              </w:rPr>
              <w:t xml:space="preserve"> Factor Receptor</w:t>
            </w:r>
          </w:p>
        </w:tc>
      </w:tr>
      <w:tr w:rsidR="006A2DBE" w:rsidRPr="006A2DBE" w14:paraId="5292E226" w14:textId="77777777" w:rsidTr="00C94F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E63BF0" w14:textId="77777777" w:rsidR="006A2DBE" w:rsidRPr="006A2DBE" w:rsidRDefault="006A2DBE" w:rsidP="00C94F6C">
            <w:pPr>
              <w:spacing w:line="276" w:lineRule="auto"/>
              <w:jc w:val="left"/>
            </w:pPr>
            <w:r w:rsidRPr="006A2DBE">
              <w:rPr>
                <w:b/>
                <w:bCs/>
              </w:rPr>
              <w:t>EMT</w:t>
            </w:r>
          </w:p>
        </w:tc>
        <w:tc>
          <w:tcPr>
            <w:tcW w:w="0" w:type="auto"/>
            <w:hideMark/>
          </w:tcPr>
          <w:p w14:paraId="65965049" w14:textId="7A9ED7BB" w:rsidR="006A2DBE" w:rsidRPr="006A2DBE" w:rsidRDefault="00C94F6C" w:rsidP="00C94F6C">
            <w:pPr>
              <w:spacing w:line="276" w:lineRule="auto"/>
              <w:jc w:val="left"/>
              <w:cnfStyle w:val="000000100000" w:firstRow="0" w:lastRow="0" w:firstColumn="0" w:lastColumn="0" w:oddVBand="0" w:evenVBand="0" w:oddHBand="1" w:evenHBand="0" w:firstRowFirstColumn="0" w:firstRowLastColumn="0" w:lastRowFirstColumn="0" w:lastRowLastColumn="0"/>
            </w:pPr>
            <w:r w:rsidRPr="00C94F6C">
              <w:t xml:space="preserve">Transición Epitelio-Mesénquima / </w:t>
            </w:r>
            <w:r w:rsidRPr="00C94F6C">
              <w:rPr>
                <w:i/>
                <w:iCs/>
              </w:rPr>
              <w:t>Epithelial-</w:t>
            </w:r>
            <w:proofErr w:type="spellStart"/>
            <w:r w:rsidRPr="00C94F6C">
              <w:rPr>
                <w:i/>
                <w:iCs/>
              </w:rPr>
              <w:t>to</w:t>
            </w:r>
            <w:proofErr w:type="spellEnd"/>
            <w:r w:rsidRPr="00C94F6C">
              <w:rPr>
                <w:i/>
                <w:iCs/>
              </w:rPr>
              <w:t>-</w:t>
            </w:r>
            <w:proofErr w:type="spellStart"/>
            <w:r w:rsidRPr="00C94F6C">
              <w:rPr>
                <w:i/>
                <w:iCs/>
              </w:rPr>
              <w:t>Mesenchymal</w:t>
            </w:r>
            <w:proofErr w:type="spellEnd"/>
            <w:r w:rsidRPr="00C94F6C">
              <w:rPr>
                <w:i/>
                <w:iCs/>
              </w:rPr>
              <w:t xml:space="preserve"> </w:t>
            </w:r>
            <w:proofErr w:type="spellStart"/>
            <w:r w:rsidRPr="00C94F6C">
              <w:rPr>
                <w:i/>
                <w:iCs/>
              </w:rPr>
              <w:t>Transition</w:t>
            </w:r>
            <w:proofErr w:type="spellEnd"/>
          </w:p>
        </w:tc>
      </w:tr>
      <w:tr w:rsidR="006A2DBE" w:rsidRPr="006A2DBE" w14:paraId="4E77F47C" w14:textId="77777777" w:rsidTr="00C94F6C">
        <w:tc>
          <w:tcPr>
            <w:cnfStyle w:val="001000000000" w:firstRow="0" w:lastRow="0" w:firstColumn="1" w:lastColumn="0" w:oddVBand="0" w:evenVBand="0" w:oddHBand="0" w:evenHBand="0" w:firstRowFirstColumn="0" w:firstRowLastColumn="0" w:lastRowFirstColumn="0" w:lastRowLastColumn="0"/>
            <w:tcW w:w="0" w:type="auto"/>
            <w:hideMark/>
          </w:tcPr>
          <w:p w14:paraId="67FABFA4" w14:textId="77777777" w:rsidR="006A2DBE" w:rsidRPr="006A2DBE" w:rsidRDefault="006A2DBE" w:rsidP="00C94F6C">
            <w:pPr>
              <w:spacing w:line="276" w:lineRule="auto"/>
              <w:jc w:val="left"/>
            </w:pPr>
            <w:r w:rsidRPr="006A2DBE">
              <w:rPr>
                <w:b/>
                <w:bCs/>
              </w:rPr>
              <w:t>FAIR</w:t>
            </w:r>
          </w:p>
        </w:tc>
        <w:tc>
          <w:tcPr>
            <w:tcW w:w="0" w:type="auto"/>
            <w:hideMark/>
          </w:tcPr>
          <w:p w14:paraId="1996EFBD" w14:textId="6B837A1D" w:rsidR="006A2DBE" w:rsidRPr="006A2DBE" w:rsidRDefault="00C94F6C" w:rsidP="00C94F6C">
            <w:pPr>
              <w:spacing w:line="276" w:lineRule="auto"/>
              <w:jc w:val="left"/>
              <w:cnfStyle w:val="000000000000" w:firstRow="0" w:lastRow="0" w:firstColumn="0" w:lastColumn="0" w:oddVBand="0" w:evenVBand="0" w:oddHBand="0" w:evenHBand="0" w:firstRowFirstColumn="0" w:firstRowLastColumn="0" w:lastRowFirstColumn="0" w:lastRowLastColumn="0"/>
            </w:pPr>
            <w:r w:rsidRPr="00C94F6C">
              <w:t xml:space="preserve">Localizable, Accesible, Interoperable y Reutilizable / </w:t>
            </w:r>
            <w:proofErr w:type="spellStart"/>
            <w:r w:rsidRPr="00C94F6C">
              <w:rPr>
                <w:i/>
                <w:iCs/>
              </w:rPr>
              <w:t>Findable</w:t>
            </w:r>
            <w:proofErr w:type="spellEnd"/>
            <w:r w:rsidRPr="00C94F6C">
              <w:rPr>
                <w:i/>
                <w:iCs/>
              </w:rPr>
              <w:t xml:space="preserve">, </w:t>
            </w:r>
            <w:proofErr w:type="spellStart"/>
            <w:r w:rsidRPr="00C94F6C">
              <w:rPr>
                <w:i/>
                <w:iCs/>
              </w:rPr>
              <w:t>Accessible</w:t>
            </w:r>
            <w:proofErr w:type="spellEnd"/>
            <w:r w:rsidRPr="00C94F6C">
              <w:rPr>
                <w:i/>
                <w:iCs/>
              </w:rPr>
              <w:t>, Interoperable, Reusable</w:t>
            </w:r>
          </w:p>
        </w:tc>
      </w:tr>
      <w:tr w:rsidR="006A2DBE" w:rsidRPr="006A2DBE" w14:paraId="6C514572" w14:textId="77777777" w:rsidTr="00C94F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C27AB2" w14:textId="77777777" w:rsidR="006A2DBE" w:rsidRPr="006A2DBE" w:rsidRDefault="006A2DBE" w:rsidP="00C94F6C">
            <w:pPr>
              <w:spacing w:line="276" w:lineRule="auto"/>
              <w:jc w:val="left"/>
            </w:pPr>
            <w:r w:rsidRPr="006A2DBE">
              <w:rPr>
                <w:b/>
                <w:bCs/>
              </w:rPr>
              <w:t>FDR</w:t>
            </w:r>
          </w:p>
        </w:tc>
        <w:tc>
          <w:tcPr>
            <w:tcW w:w="0" w:type="auto"/>
            <w:hideMark/>
          </w:tcPr>
          <w:p w14:paraId="14E9E70B" w14:textId="5DF79D01" w:rsidR="006A2DBE" w:rsidRPr="006A2DBE" w:rsidRDefault="00C94F6C" w:rsidP="00C94F6C">
            <w:pPr>
              <w:spacing w:line="276" w:lineRule="auto"/>
              <w:jc w:val="left"/>
              <w:cnfStyle w:val="000000100000" w:firstRow="0" w:lastRow="0" w:firstColumn="0" w:lastColumn="0" w:oddVBand="0" w:evenVBand="0" w:oddHBand="1" w:evenHBand="0" w:firstRowFirstColumn="0" w:firstRowLastColumn="0" w:lastRowFirstColumn="0" w:lastRowLastColumn="0"/>
            </w:pPr>
            <w:r w:rsidRPr="00C94F6C">
              <w:t xml:space="preserve">Tasa de Falsos Descubrimientos / </w:t>
            </w:r>
            <w:r w:rsidRPr="00C94F6C">
              <w:rPr>
                <w:i/>
                <w:iCs/>
              </w:rPr>
              <w:t>False Discovery Rate</w:t>
            </w:r>
          </w:p>
        </w:tc>
      </w:tr>
      <w:tr w:rsidR="006A2DBE" w:rsidRPr="006A2DBE" w14:paraId="37E00C79" w14:textId="77777777" w:rsidTr="00C94F6C">
        <w:tc>
          <w:tcPr>
            <w:cnfStyle w:val="001000000000" w:firstRow="0" w:lastRow="0" w:firstColumn="1" w:lastColumn="0" w:oddVBand="0" w:evenVBand="0" w:oddHBand="0" w:evenHBand="0" w:firstRowFirstColumn="0" w:firstRowLastColumn="0" w:lastRowFirstColumn="0" w:lastRowLastColumn="0"/>
            <w:tcW w:w="0" w:type="auto"/>
            <w:hideMark/>
          </w:tcPr>
          <w:p w14:paraId="04E205F4" w14:textId="77777777" w:rsidR="006A2DBE" w:rsidRPr="006A2DBE" w:rsidRDefault="006A2DBE" w:rsidP="00C94F6C">
            <w:pPr>
              <w:spacing w:line="276" w:lineRule="auto"/>
              <w:jc w:val="left"/>
            </w:pPr>
            <w:r w:rsidRPr="006A2DBE">
              <w:rPr>
                <w:b/>
                <w:bCs/>
              </w:rPr>
              <w:t>FFPE</w:t>
            </w:r>
          </w:p>
        </w:tc>
        <w:tc>
          <w:tcPr>
            <w:tcW w:w="0" w:type="auto"/>
            <w:hideMark/>
          </w:tcPr>
          <w:p w14:paraId="6E0B0587" w14:textId="4D1A1B9F" w:rsidR="006A2DBE" w:rsidRPr="006A2DBE" w:rsidRDefault="00F52B06" w:rsidP="00C94F6C">
            <w:pPr>
              <w:spacing w:line="276" w:lineRule="auto"/>
              <w:jc w:val="left"/>
              <w:cnfStyle w:val="000000000000" w:firstRow="0" w:lastRow="0" w:firstColumn="0" w:lastColumn="0" w:oddVBand="0" w:evenVBand="0" w:oddHBand="0" w:evenHBand="0" w:firstRowFirstColumn="0" w:firstRowLastColumn="0" w:lastRowFirstColumn="0" w:lastRowLastColumn="0"/>
            </w:pPr>
            <w:r w:rsidRPr="00F52B06">
              <w:t xml:space="preserve">Fijado en Formalina y Embebido en Parafina / </w:t>
            </w:r>
            <w:proofErr w:type="spellStart"/>
            <w:r w:rsidRPr="00F52B06">
              <w:rPr>
                <w:i/>
                <w:iCs/>
              </w:rPr>
              <w:t>Formalin-Fixed</w:t>
            </w:r>
            <w:proofErr w:type="spellEnd"/>
            <w:r w:rsidRPr="00F52B06">
              <w:rPr>
                <w:i/>
                <w:iCs/>
              </w:rPr>
              <w:t xml:space="preserve"> </w:t>
            </w:r>
            <w:proofErr w:type="spellStart"/>
            <w:r w:rsidRPr="00F52B06">
              <w:rPr>
                <w:i/>
                <w:iCs/>
              </w:rPr>
              <w:t>Paraffin-Embedded</w:t>
            </w:r>
            <w:proofErr w:type="spellEnd"/>
          </w:p>
        </w:tc>
      </w:tr>
      <w:tr w:rsidR="006A2DBE" w:rsidRPr="006A2DBE" w14:paraId="697D7538" w14:textId="77777777" w:rsidTr="00C94F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4B3E52" w14:textId="77777777" w:rsidR="006A2DBE" w:rsidRPr="006A2DBE" w:rsidRDefault="006A2DBE" w:rsidP="00C94F6C">
            <w:pPr>
              <w:spacing w:line="276" w:lineRule="auto"/>
              <w:jc w:val="left"/>
            </w:pPr>
            <w:r w:rsidRPr="006A2DBE">
              <w:rPr>
                <w:b/>
                <w:bCs/>
              </w:rPr>
              <w:lastRenderedPageBreak/>
              <w:t>FPKM</w:t>
            </w:r>
          </w:p>
        </w:tc>
        <w:tc>
          <w:tcPr>
            <w:tcW w:w="0" w:type="auto"/>
            <w:hideMark/>
          </w:tcPr>
          <w:p w14:paraId="46A2AAC0" w14:textId="1AA9BA0E" w:rsidR="006A2DBE" w:rsidRPr="006A2DBE" w:rsidRDefault="00F52B06" w:rsidP="00C94F6C">
            <w:pPr>
              <w:spacing w:line="276" w:lineRule="auto"/>
              <w:jc w:val="left"/>
              <w:cnfStyle w:val="000000100000" w:firstRow="0" w:lastRow="0" w:firstColumn="0" w:lastColumn="0" w:oddVBand="0" w:evenVBand="0" w:oddHBand="1" w:evenHBand="0" w:firstRowFirstColumn="0" w:firstRowLastColumn="0" w:lastRowFirstColumn="0" w:lastRowLastColumn="0"/>
            </w:pPr>
            <w:r w:rsidRPr="00F52B06">
              <w:t xml:space="preserve">Fragmentos por </w:t>
            </w:r>
            <w:proofErr w:type="spellStart"/>
            <w:r w:rsidRPr="00F52B06">
              <w:t>Kilobase</w:t>
            </w:r>
            <w:proofErr w:type="spellEnd"/>
            <w:r w:rsidRPr="00F52B06">
              <w:t xml:space="preserve"> por Millón de Lecturas / </w:t>
            </w:r>
            <w:proofErr w:type="spellStart"/>
            <w:r w:rsidRPr="00F52B06">
              <w:rPr>
                <w:i/>
                <w:iCs/>
              </w:rPr>
              <w:t>Fragments</w:t>
            </w:r>
            <w:proofErr w:type="spellEnd"/>
            <w:r w:rsidRPr="00F52B06">
              <w:rPr>
                <w:i/>
                <w:iCs/>
              </w:rPr>
              <w:t xml:space="preserve"> Per </w:t>
            </w:r>
            <w:proofErr w:type="spellStart"/>
            <w:r w:rsidRPr="00F52B06">
              <w:rPr>
                <w:i/>
                <w:iCs/>
              </w:rPr>
              <w:t>Kilobase</w:t>
            </w:r>
            <w:proofErr w:type="spellEnd"/>
            <w:r w:rsidRPr="00F52B06">
              <w:rPr>
                <w:i/>
                <w:iCs/>
              </w:rPr>
              <w:t xml:space="preserve"> Million</w:t>
            </w:r>
          </w:p>
        </w:tc>
      </w:tr>
      <w:tr w:rsidR="006A2DBE" w:rsidRPr="006A2DBE" w14:paraId="3D6D30AD" w14:textId="77777777" w:rsidTr="00C94F6C">
        <w:tc>
          <w:tcPr>
            <w:cnfStyle w:val="001000000000" w:firstRow="0" w:lastRow="0" w:firstColumn="1" w:lastColumn="0" w:oddVBand="0" w:evenVBand="0" w:oddHBand="0" w:evenHBand="0" w:firstRowFirstColumn="0" w:firstRowLastColumn="0" w:lastRowFirstColumn="0" w:lastRowLastColumn="0"/>
            <w:tcW w:w="0" w:type="auto"/>
            <w:hideMark/>
          </w:tcPr>
          <w:p w14:paraId="0D06CDA6" w14:textId="77777777" w:rsidR="006A2DBE" w:rsidRPr="006A2DBE" w:rsidRDefault="006A2DBE" w:rsidP="00C94F6C">
            <w:pPr>
              <w:spacing w:line="276" w:lineRule="auto"/>
              <w:jc w:val="left"/>
            </w:pPr>
            <w:r w:rsidRPr="006A2DBE">
              <w:rPr>
                <w:b/>
                <w:bCs/>
              </w:rPr>
              <w:t>GC</w:t>
            </w:r>
          </w:p>
        </w:tc>
        <w:tc>
          <w:tcPr>
            <w:tcW w:w="0" w:type="auto"/>
            <w:hideMark/>
          </w:tcPr>
          <w:p w14:paraId="590C06C9" w14:textId="77777777" w:rsidR="006A2DBE" w:rsidRPr="006A2DBE" w:rsidRDefault="006A2DBE" w:rsidP="00C94F6C">
            <w:pPr>
              <w:spacing w:line="276" w:lineRule="auto"/>
              <w:jc w:val="left"/>
              <w:cnfStyle w:val="000000000000" w:firstRow="0" w:lastRow="0" w:firstColumn="0" w:lastColumn="0" w:oddVBand="0" w:evenVBand="0" w:oddHBand="0" w:evenHBand="0" w:firstRowFirstColumn="0" w:firstRowLastColumn="0" w:lastRowFirstColumn="0" w:lastRowLastColumn="0"/>
            </w:pPr>
            <w:r w:rsidRPr="006A2DBE">
              <w:t>Contenido de Guanina-Citosina</w:t>
            </w:r>
          </w:p>
        </w:tc>
      </w:tr>
      <w:tr w:rsidR="006A2DBE" w:rsidRPr="006A2DBE" w14:paraId="570BE875" w14:textId="77777777" w:rsidTr="00C94F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F126A7" w14:textId="77777777" w:rsidR="006A2DBE" w:rsidRPr="006A2DBE" w:rsidRDefault="006A2DBE" w:rsidP="00C94F6C">
            <w:pPr>
              <w:spacing w:line="276" w:lineRule="auto"/>
              <w:jc w:val="left"/>
            </w:pPr>
            <w:r w:rsidRPr="006A2DBE">
              <w:rPr>
                <w:b/>
                <w:bCs/>
              </w:rPr>
              <w:t>GDC</w:t>
            </w:r>
          </w:p>
        </w:tc>
        <w:tc>
          <w:tcPr>
            <w:tcW w:w="0" w:type="auto"/>
            <w:hideMark/>
          </w:tcPr>
          <w:p w14:paraId="5E64AB49" w14:textId="11FA9228" w:rsidR="006A2DBE" w:rsidRPr="006A2DBE" w:rsidRDefault="00F52B06" w:rsidP="00C94F6C">
            <w:pPr>
              <w:spacing w:line="276" w:lineRule="auto"/>
              <w:jc w:val="left"/>
              <w:cnfStyle w:val="000000100000" w:firstRow="0" w:lastRow="0" w:firstColumn="0" w:lastColumn="0" w:oddVBand="0" w:evenVBand="0" w:oddHBand="1" w:evenHBand="0" w:firstRowFirstColumn="0" w:firstRowLastColumn="0" w:lastRowFirstColumn="0" w:lastRowLastColumn="0"/>
            </w:pPr>
            <w:proofErr w:type="spellStart"/>
            <w:r w:rsidRPr="00F52B06">
              <w:rPr>
                <w:i/>
                <w:iCs/>
              </w:rPr>
              <w:t>Genomic</w:t>
            </w:r>
            <w:proofErr w:type="spellEnd"/>
            <w:r w:rsidRPr="00F52B06">
              <w:rPr>
                <w:i/>
                <w:iCs/>
              </w:rPr>
              <w:t xml:space="preserve"> Data Commons</w:t>
            </w:r>
          </w:p>
        </w:tc>
      </w:tr>
      <w:tr w:rsidR="006A2DBE" w:rsidRPr="006A2DBE" w14:paraId="56F8E80A" w14:textId="77777777" w:rsidTr="00C94F6C">
        <w:tc>
          <w:tcPr>
            <w:cnfStyle w:val="001000000000" w:firstRow="0" w:lastRow="0" w:firstColumn="1" w:lastColumn="0" w:oddVBand="0" w:evenVBand="0" w:oddHBand="0" w:evenHBand="0" w:firstRowFirstColumn="0" w:firstRowLastColumn="0" w:lastRowFirstColumn="0" w:lastRowLastColumn="0"/>
            <w:tcW w:w="0" w:type="auto"/>
            <w:hideMark/>
          </w:tcPr>
          <w:p w14:paraId="7EE1C1A4" w14:textId="77777777" w:rsidR="006A2DBE" w:rsidRPr="006A2DBE" w:rsidRDefault="006A2DBE" w:rsidP="00C94F6C">
            <w:pPr>
              <w:spacing w:line="276" w:lineRule="auto"/>
              <w:jc w:val="left"/>
            </w:pPr>
            <w:r w:rsidRPr="006A2DBE">
              <w:rPr>
                <w:b/>
                <w:bCs/>
              </w:rPr>
              <w:t>GEO</w:t>
            </w:r>
          </w:p>
        </w:tc>
        <w:tc>
          <w:tcPr>
            <w:tcW w:w="0" w:type="auto"/>
            <w:hideMark/>
          </w:tcPr>
          <w:p w14:paraId="35CEBB6C" w14:textId="54C5C453" w:rsidR="006A2DBE" w:rsidRPr="006A2DBE" w:rsidRDefault="00F52B06" w:rsidP="00C94F6C">
            <w:pPr>
              <w:spacing w:line="276" w:lineRule="auto"/>
              <w:jc w:val="left"/>
              <w:cnfStyle w:val="000000000000" w:firstRow="0" w:lastRow="0" w:firstColumn="0" w:lastColumn="0" w:oddVBand="0" w:evenVBand="0" w:oddHBand="0" w:evenHBand="0" w:firstRowFirstColumn="0" w:firstRowLastColumn="0" w:lastRowFirstColumn="0" w:lastRowLastColumn="0"/>
            </w:pPr>
            <w:r w:rsidRPr="00F52B06">
              <w:rPr>
                <w:i/>
                <w:iCs/>
              </w:rPr>
              <w:t xml:space="preserve">Gene </w:t>
            </w:r>
            <w:proofErr w:type="spellStart"/>
            <w:r w:rsidRPr="00F52B06">
              <w:rPr>
                <w:i/>
                <w:iCs/>
              </w:rPr>
              <w:t>Expression</w:t>
            </w:r>
            <w:proofErr w:type="spellEnd"/>
            <w:r w:rsidRPr="00F52B06">
              <w:rPr>
                <w:i/>
                <w:iCs/>
              </w:rPr>
              <w:t xml:space="preserve"> </w:t>
            </w:r>
            <w:proofErr w:type="spellStart"/>
            <w:r w:rsidRPr="00F52B06">
              <w:rPr>
                <w:i/>
                <w:iCs/>
              </w:rPr>
              <w:t>Omnibus</w:t>
            </w:r>
            <w:proofErr w:type="spellEnd"/>
          </w:p>
        </w:tc>
      </w:tr>
      <w:tr w:rsidR="006A2DBE" w:rsidRPr="006A2DBE" w14:paraId="24B6E095" w14:textId="77777777" w:rsidTr="00C94F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EA9E40" w14:textId="77777777" w:rsidR="006A2DBE" w:rsidRPr="006A2DBE" w:rsidRDefault="006A2DBE" w:rsidP="00C94F6C">
            <w:pPr>
              <w:spacing w:line="276" w:lineRule="auto"/>
              <w:jc w:val="left"/>
            </w:pPr>
            <w:r w:rsidRPr="006A2DBE">
              <w:rPr>
                <w:b/>
                <w:bCs/>
              </w:rPr>
              <w:t>GLM</w:t>
            </w:r>
          </w:p>
        </w:tc>
        <w:tc>
          <w:tcPr>
            <w:tcW w:w="0" w:type="auto"/>
            <w:hideMark/>
          </w:tcPr>
          <w:p w14:paraId="34C5D631" w14:textId="78946F68" w:rsidR="006A2DBE" w:rsidRPr="006A2DBE" w:rsidRDefault="00F52B06" w:rsidP="00C94F6C">
            <w:pPr>
              <w:spacing w:line="276" w:lineRule="auto"/>
              <w:jc w:val="left"/>
              <w:cnfStyle w:val="000000100000" w:firstRow="0" w:lastRow="0" w:firstColumn="0" w:lastColumn="0" w:oddVBand="0" w:evenVBand="0" w:oddHBand="1" w:evenHBand="0" w:firstRowFirstColumn="0" w:firstRowLastColumn="0" w:lastRowFirstColumn="0" w:lastRowLastColumn="0"/>
            </w:pPr>
            <w:r w:rsidRPr="00F52B06">
              <w:t xml:space="preserve">Modelos Lineales Generalizados / </w:t>
            </w:r>
            <w:proofErr w:type="spellStart"/>
            <w:r w:rsidRPr="00F52B06">
              <w:rPr>
                <w:i/>
                <w:iCs/>
              </w:rPr>
              <w:t>Generalized</w:t>
            </w:r>
            <w:proofErr w:type="spellEnd"/>
            <w:r w:rsidRPr="00F52B06">
              <w:rPr>
                <w:i/>
                <w:iCs/>
              </w:rPr>
              <w:t xml:space="preserve"> Linear </w:t>
            </w:r>
            <w:proofErr w:type="spellStart"/>
            <w:r w:rsidRPr="00F52B06">
              <w:rPr>
                <w:i/>
                <w:iCs/>
              </w:rPr>
              <w:t>Models</w:t>
            </w:r>
            <w:proofErr w:type="spellEnd"/>
          </w:p>
        </w:tc>
      </w:tr>
      <w:tr w:rsidR="006A2DBE" w:rsidRPr="006A2DBE" w14:paraId="1639110D" w14:textId="77777777" w:rsidTr="00C94F6C">
        <w:tc>
          <w:tcPr>
            <w:cnfStyle w:val="001000000000" w:firstRow="0" w:lastRow="0" w:firstColumn="1" w:lastColumn="0" w:oddVBand="0" w:evenVBand="0" w:oddHBand="0" w:evenHBand="0" w:firstRowFirstColumn="0" w:firstRowLastColumn="0" w:lastRowFirstColumn="0" w:lastRowLastColumn="0"/>
            <w:tcW w:w="0" w:type="auto"/>
            <w:hideMark/>
          </w:tcPr>
          <w:p w14:paraId="16D2723F" w14:textId="77777777" w:rsidR="006A2DBE" w:rsidRPr="006A2DBE" w:rsidRDefault="006A2DBE" w:rsidP="00C94F6C">
            <w:pPr>
              <w:spacing w:line="276" w:lineRule="auto"/>
              <w:jc w:val="left"/>
            </w:pPr>
            <w:r w:rsidRPr="006A2DBE">
              <w:rPr>
                <w:b/>
                <w:bCs/>
              </w:rPr>
              <w:t>GO</w:t>
            </w:r>
          </w:p>
        </w:tc>
        <w:tc>
          <w:tcPr>
            <w:tcW w:w="0" w:type="auto"/>
            <w:hideMark/>
          </w:tcPr>
          <w:p w14:paraId="2275A49E" w14:textId="54A7E52D" w:rsidR="006A2DBE" w:rsidRPr="006A2DBE" w:rsidRDefault="00F52B06" w:rsidP="00C94F6C">
            <w:pPr>
              <w:spacing w:line="276" w:lineRule="auto"/>
              <w:jc w:val="left"/>
              <w:cnfStyle w:val="000000000000" w:firstRow="0" w:lastRow="0" w:firstColumn="0" w:lastColumn="0" w:oddVBand="0" w:evenVBand="0" w:oddHBand="0" w:evenHBand="0" w:firstRowFirstColumn="0" w:firstRowLastColumn="0" w:lastRowFirstColumn="0" w:lastRowLastColumn="0"/>
            </w:pPr>
            <w:r w:rsidRPr="00F52B06">
              <w:t xml:space="preserve">Ontología Génica / </w:t>
            </w:r>
            <w:r w:rsidRPr="00F52B06">
              <w:rPr>
                <w:i/>
                <w:iCs/>
              </w:rPr>
              <w:t xml:space="preserve">Gene </w:t>
            </w:r>
            <w:proofErr w:type="spellStart"/>
            <w:r w:rsidRPr="00F52B06">
              <w:rPr>
                <w:i/>
                <w:iCs/>
              </w:rPr>
              <w:t>Ontology</w:t>
            </w:r>
            <w:proofErr w:type="spellEnd"/>
          </w:p>
        </w:tc>
      </w:tr>
      <w:tr w:rsidR="006A2DBE" w:rsidRPr="006A2DBE" w14:paraId="714ED036" w14:textId="77777777" w:rsidTr="00C94F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4FD66C" w14:textId="77777777" w:rsidR="006A2DBE" w:rsidRPr="006A2DBE" w:rsidRDefault="006A2DBE" w:rsidP="00C94F6C">
            <w:pPr>
              <w:spacing w:line="276" w:lineRule="auto"/>
              <w:jc w:val="left"/>
            </w:pPr>
            <w:r w:rsidRPr="006A2DBE">
              <w:rPr>
                <w:b/>
                <w:bCs/>
              </w:rPr>
              <w:t>GREIN</w:t>
            </w:r>
          </w:p>
        </w:tc>
        <w:tc>
          <w:tcPr>
            <w:tcW w:w="0" w:type="auto"/>
            <w:hideMark/>
          </w:tcPr>
          <w:p w14:paraId="5FE1B7A3" w14:textId="7564FC4A" w:rsidR="006A2DBE" w:rsidRPr="006A2DBE" w:rsidRDefault="00F52B06" w:rsidP="00C94F6C">
            <w:pPr>
              <w:spacing w:line="276" w:lineRule="auto"/>
              <w:jc w:val="left"/>
              <w:cnfStyle w:val="000000100000" w:firstRow="0" w:lastRow="0" w:firstColumn="0" w:lastColumn="0" w:oddVBand="0" w:evenVBand="0" w:oddHBand="1" w:evenHBand="0" w:firstRowFirstColumn="0" w:firstRowLastColumn="0" w:lastRowFirstColumn="0" w:lastRowLastColumn="0"/>
            </w:pPr>
            <w:r w:rsidRPr="00F52B06">
              <w:rPr>
                <w:i/>
                <w:iCs/>
              </w:rPr>
              <w:t>GEO RNA-</w:t>
            </w:r>
            <w:proofErr w:type="spellStart"/>
            <w:r w:rsidRPr="00F52B06">
              <w:rPr>
                <w:i/>
                <w:iCs/>
              </w:rPr>
              <w:t>seq</w:t>
            </w:r>
            <w:proofErr w:type="spellEnd"/>
            <w:r w:rsidRPr="00F52B06">
              <w:rPr>
                <w:i/>
                <w:iCs/>
              </w:rPr>
              <w:t xml:space="preserve"> </w:t>
            </w:r>
            <w:proofErr w:type="spellStart"/>
            <w:r w:rsidRPr="00F52B06">
              <w:rPr>
                <w:i/>
                <w:iCs/>
              </w:rPr>
              <w:t>Experiments</w:t>
            </w:r>
            <w:proofErr w:type="spellEnd"/>
            <w:r w:rsidRPr="00F52B06">
              <w:rPr>
                <w:i/>
                <w:iCs/>
              </w:rPr>
              <w:t xml:space="preserve"> Interactive </w:t>
            </w:r>
            <w:proofErr w:type="spellStart"/>
            <w:r w:rsidRPr="00F52B06">
              <w:rPr>
                <w:i/>
                <w:iCs/>
              </w:rPr>
              <w:t>Navigator</w:t>
            </w:r>
            <w:proofErr w:type="spellEnd"/>
          </w:p>
        </w:tc>
      </w:tr>
      <w:tr w:rsidR="006A2DBE" w:rsidRPr="006A2DBE" w14:paraId="1D360C25" w14:textId="77777777" w:rsidTr="00C94F6C">
        <w:tc>
          <w:tcPr>
            <w:cnfStyle w:val="001000000000" w:firstRow="0" w:lastRow="0" w:firstColumn="1" w:lastColumn="0" w:oddVBand="0" w:evenVBand="0" w:oddHBand="0" w:evenHBand="0" w:firstRowFirstColumn="0" w:firstRowLastColumn="0" w:lastRowFirstColumn="0" w:lastRowLastColumn="0"/>
            <w:tcW w:w="0" w:type="auto"/>
            <w:hideMark/>
          </w:tcPr>
          <w:p w14:paraId="7796AC50" w14:textId="77777777" w:rsidR="006A2DBE" w:rsidRPr="006A2DBE" w:rsidRDefault="006A2DBE" w:rsidP="00C94F6C">
            <w:pPr>
              <w:spacing w:line="276" w:lineRule="auto"/>
              <w:jc w:val="left"/>
            </w:pPr>
            <w:r w:rsidRPr="006A2DBE">
              <w:rPr>
                <w:b/>
                <w:bCs/>
              </w:rPr>
              <w:t>HGNC</w:t>
            </w:r>
          </w:p>
        </w:tc>
        <w:tc>
          <w:tcPr>
            <w:tcW w:w="0" w:type="auto"/>
            <w:hideMark/>
          </w:tcPr>
          <w:p w14:paraId="6A5D6D46" w14:textId="0857C512" w:rsidR="006A2DBE" w:rsidRPr="006A2DBE" w:rsidRDefault="00F52B06" w:rsidP="00C94F6C">
            <w:pPr>
              <w:spacing w:line="276" w:lineRule="auto"/>
              <w:jc w:val="left"/>
              <w:cnfStyle w:val="000000000000" w:firstRow="0" w:lastRow="0" w:firstColumn="0" w:lastColumn="0" w:oddVBand="0" w:evenVBand="0" w:oddHBand="0" w:evenHBand="0" w:firstRowFirstColumn="0" w:firstRowLastColumn="0" w:lastRowFirstColumn="0" w:lastRowLastColumn="0"/>
            </w:pPr>
            <w:r w:rsidRPr="00F52B06">
              <w:rPr>
                <w:i/>
                <w:iCs/>
              </w:rPr>
              <w:t xml:space="preserve">HUGO Gene Nomenclature </w:t>
            </w:r>
            <w:proofErr w:type="spellStart"/>
            <w:r w:rsidRPr="00F52B06">
              <w:rPr>
                <w:i/>
                <w:iCs/>
              </w:rPr>
              <w:t>Committee</w:t>
            </w:r>
            <w:proofErr w:type="spellEnd"/>
          </w:p>
        </w:tc>
      </w:tr>
      <w:tr w:rsidR="006A2DBE" w:rsidRPr="006A2DBE" w14:paraId="1BB46061" w14:textId="77777777" w:rsidTr="00C94F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7CA8A1" w14:textId="77777777" w:rsidR="006A2DBE" w:rsidRPr="006A2DBE" w:rsidRDefault="006A2DBE" w:rsidP="00C94F6C">
            <w:pPr>
              <w:spacing w:line="276" w:lineRule="auto"/>
              <w:jc w:val="left"/>
            </w:pPr>
            <w:r w:rsidRPr="006A2DBE">
              <w:rPr>
                <w:b/>
                <w:bCs/>
              </w:rPr>
              <w:t>HPC</w:t>
            </w:r>
          </w:p>
        </w:tc>
        <w:tc>
          <w:tcPr>
            <w:tcW w:w="0" w:type="auto"/>
            <w:hideMark/>
          </w:tcPr>
          <w:p w14:paraId="725E0360" w14:textId="136EB55C" w:rsidR="006A2DBE" w:rsidRPr="006A2DBE" w:rsidRDefault="00F52B06" w:rsidP="00C94F6C">
            <w:pPr>
              <w:spacing w:line="276" w:lineRule="auto"/>
              <w:jc w:val="left"/>
              <w:cnfStyle w:val="000000100000" w:firstRow="0" w:lastRow="0" w:firstColumn="0" w:lastColumn="0" w:oddVBand="0" w:evenVBand="0" w:oddHBand="1" w:evenHBand="0" w:firstRowFirstColumn="0" w:firstRowLastColumn="0" w:lastRowFirstColumn="0" w:lastRowLastColumn="0"/>
            </w:pPr>
            <w:r w:rsidRPr="00F52B06">
              <w:t xml:space="preserve">Computación de Alto Rendimiento / </w:t>
            </w:r>
            <w:r w:rsidRPr="00F52B06">
              <w:rPr>
                <w:i/>
                <w:iCs/>
              </w:rPr>
              <w:t>High-Performance Computing</w:t>
            </w:r>
          </w:p>
        </w:tc>
      </w:tr>
      <w:tr w:rsidR="006A2DBE" w:rsidRPr="006A2DBE" w14:paraId="034FC899" w14:textId="77777777" w:rsidTr="00C94F6C">
        <w:tc>
          <w:tcPr>
            <w:cnfStyle w:val="001000000000" w:firstRow="0" w:lastRow="0" w:firstColumn="1" w:lastColumn="0" w:oddVBand="0" w:evenVBand="0" w:oddHBand="0" w:evenHBand="0" w:firstRowFirstColumn="0" w:firstRowLastColumn="0" w:lastRowFirstColumn="0" w:lastRowLastColumn="0"/>
            <w:tcW w:w="0" w:type="auto"/>
            <w:hideMark/>
          </w:tcPr>
          <w:p w14:paraId="71E22F4B" w14:textId="77777777" w:rsidR="006A2DBE" w:rsidRPr="006A2DBE" w:rsidRDefault="006A2DBE" w:rsidP="00C94F6C">
            <w:pPr>
              <w:spacing w:line="276" w:lineRule="auto"/>
              <w:jc w:val="left"/>
            </w:pPr>
            <w:r w:rsidRPr="006A2DBE">
              <w:rPr>
                <w:b/>
                <w:bCs/>
              </w:rPr>
              <w:t>HUGO</w:t>
            </w:r>
          </w:p>
        </w:tc>
        <w:tc>
          <w:tcPr>
            <w:tcW w:w="0" w:type="auto"/>
            <w:hideMark/>
          </w:tcPr>
          <w:p w14:paraId="0D3D4A15" w14:textId="6626AE99" w:rsidR="006A2DBE" w:rsidRPr="006A2DBE" w:rsidRDefault="00F52B06" w:rsidP="00C94F6C">
            <w:pPr>
              <w:spacing w:line="276" w:lineRule="auto"/>
              <w:jc w:val="left"/>
              <w:cnfStyle w:val="000000000000" w:firstRow="0" w:lastRow="0" w:firstColumn="0" w:lastColumn="0" w:oddVBand="0" w:evenVBand="0" w:oddHBand="0" w:evenHBand="0" w:firstRowFirstColumn="0" w:firstRowLastColumn="0" w:lastRowFirstColumn="0" w:lastRowLastColumn="0"/>
            </w:pPr>
            <w:r w:rsidRPr="00F52B06">
              <w:t xml:space="preserve">Organización del Genoma Humano / </w:t>
            </w:r>
            <w:r w:rsidRPr="00F52B06">
              <w:rPr>
                <w:i/>
                <w:iCs/>
              </w:rPr>
              <w:t xml:space="preserve">Human Genome </w:t>
            </w:r>
            <w:proofErr w:type="spellStart"/>
            <w:r w:rsidRPr="00F52B06">
              <w:rPr>
                <w:i/>
                <w:iCs/>
              </w:rPr>
              <w:t>Organisation</w:t>
            </w:r>
            <w:proofErr w:type="spellEnd"/>
          </w:p>
        </w:tc>
      </w:tr>
      <w:tr w:rsidR="006A2DBE" w:rsidRPr="006A2DBE" w14:paraId="7DD276A0" w14:textId="77777777" w:rsidTr="00C94F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CF3534" w14:textId="77777777" w:rsidR="006A2DBE" w:rsidRPr="006A2DBE" w:rsidRDefault="006A2DBE" w:rsidP="00C94F6C">
            <w:pPr>
              <w:spacing w:line="276" w:lineRule="auto"/>
              <w:jc w:val="left"/>
            </w:pPr>
            <w:r w:rsidRPr="006A2DBE">
              <w:rPr>
                <w:b/>
                <w:bCs/>
              </w:rPr>
              <w:t>KEGG</w:t>
            </w:r>
          </w:p>
        </w:tc>
        <w:tc>
          <w:tcPr>
            <w:tcW w:w="0" w:type="auto"/>
            <w:hideMark/>
          </w:tcPr>
          <w:p w14:paraId="7638D864" w14:textId="3C4ADD12" w:rsidR="006A2DBE" w:rsidRPr="006A2DBE" w:rsidRDefault="00F52B06" w:rsidP="00C94F6C">
            <w:pPr>
              <w:spacing w:line="276" w:lineRule="auto"/>
              <w:jc w:val="left"/>
              <w:cnfStyle w:val="000000100000" w:firstRow="0" w:lastRow="0" w:firstColumn="0" w:lastColumn="0" w:oddVBand="0" w:evenVBand="0" w:oddHBand="1" w:evenHBand="0" w:firstRowFirstColumn="0" w:firstRowLastColumn="0" w:lastRowFirstColumn="0" w:lastRowLastColumn="0"/>
            </w:pPr>
            <w:r w:rsidRPr="00F52B06">
              <w:t xml:space="preserve">Enciclopedia de </w:t>
            </w:r>
            <w:proofErr w:type="spellStart"/>
            <w:r w:rsidRPr="00F52B06">
              <w:t>Kyoto</w:t>
            </w:r>
            <w:proofErr w:type="spellEnd"/>
            <w:r w:rsidRPr="00F52B06">
              <w:t xml:space="preserve"> de Genes y Genomas / </w:t>
            </w:r>
            <w:proofErr w:type="spellStart"/>
            <w:r w:rsidRPr="00F52B06">
              <w:rPr>
                <w:i/>
                <w:iCs/>
              </w:rPr>
              <w:t>Kyoto</w:t>
            </w:r>
            <w:proofErr w:type="spellEnd"/>
            <w:r w:rsidRPr="00F52B06">
              <w:rPr>
                <w:i/>
                <w:iCs/>
              </w:rPr>
              <w:t xml:space="preserve"> </w:t>
            </w:r>
            <w:proofErr w:type="spellStart"/>
            <w:r w:rsidRPr="00F52B06">
              <w:rPr>
                <w:i/>
                <w:iCs/>
              </w:rPr>
              <w:t>Encyclopedia</w:t>
            </w:r>
            <w:proofErr w:type="spellEnd"/>
            <w:r w:rsidRPr="00F52B06">
              <w:rPr>
                <w:i/>
                <w:iCs/>
              </w:rPr>
              <w:t xml:space="preserve"> </w:t>
            </w:r>
            <w:proofErr w:type="spellStart"/>
            <w:r w:rsidRPr="00F52B06">
              <w:rPr>
                <w:i/>
                <w:iCs/>
              </w:rPr>
              <w:t>of</w:t>
            </w:r>
            <w:proofErr w:type="spellEnd"/>
            <w:r w:rsidRPr="00F52B06">
              <w:rPr>
                <w:i/>
                <w:iCs/>
              </w:rPr>
              <w:t xml:space="preserve"> Genes and </w:t>
            </w:r>
            <w:proofErr w:type="spellStart"/>
            <w:r w:rsidRPr="00F52B06">
              <w:rPr>
                <w:i/>
                <w:iCs/>
              </w:rPr>
              <w:t>Genomes</w:t>
            </w:r>
            <w:proofErr w:type="spellEnd"/>
          </w:p>
        </w:tc>
      </w:tr>
      <w:tr w:rsidR="006A2DBE" w:rsidRPr="006A2DBE" w14:paraId="6D0DD1B1" w14:textId="77777777" w:rsidTr="00C94F6C">
        <w:tc>
          <w:tcPr>
            <w:cnfStyle w:val="001000000000" w:firstRow="0" w:lastRow="0" w:firstColumn="1" w:lastColumn="0" w:oddVBand="0" w:evenVBand="0" w:oddHBand="0" w:evenHBand="0" w:firstRowFirstColumn="0" w:firstRowLastColumn="0" w:lastRowFirstColumn="0" w:lastRowLastColumn="0"/>
            <w:tcW w:w="0" w:type="auto"/>
            <w:hideMark/>
          </w:tcPr>
          <w:p w14:paraId="0E1DD389" w14:textId="77777777" w:rsidR="006A2DBE" w:rsidRPr="006A2DBE" w:rsidRDefault="006A2DBE" w:rsidP="00C94F6C">
            <w:pPr>
              <w:spacing w:line="276" w:lineRule="auto"/>
              <w:jc w:val="left"/>
            </w:pPr>
            <w:r w:rsidRPr="006A2DBE">
              <w:rPr>
                <w:b/>
                <w:bCs/>
              </w:rPr>
              <w:t>LFC</w:t>
            </w:r>
          </w:p>
        </w:tc>
        <w:tc>
          <w:tcPr>
            <w:tcW w:w="0" w:type="auto"/>
            <w:hideMark/>
          </w:tcPr>
          <w:p w14:paraId="2948E88A" w14:textId="7DDAC371" w:rsidR="006A2DBE" w:rsidRPr="006A2DBE" w:rsidRDefault="00F52B06" w:rsidP="00C94F6C">
            <w:pPr>
              <w:spacing w:line="276" w:lineRule="auto"/>
              <w:jc w:val="left"/>
              <w:cnfStyle w:val="000000000000" w:firstRow="0" w:lastRow="0" w:firstColumn="0" w:lastColumn="0" w:oddVBand="0" w:evenVBand="0" w:oddHBand="0" w:evenHBand="0" w:firstRowFirstColumn="0" w:firstRowLastColumn="0" w:lastRowFirstColumn="0" w:lastRowLastColumn="0"/>
            </w:pPr>
            <w:r w:rsidRPr="00F52B06">
              <w:t xml:space="preserve">Cambio de Expresión en Escala Logarítmica / </w:t>
            </w:r>
            <w:proofErr w:type="spellStart"/>
            <w:r w:rsidRPr="00F52B06">
              <w:rPr>
                <w:i/>
                <w:iCs/>
              </w:rPr>
              <w:t>Logarithmic</w:t>
            </w:r>
            <w:proofErr w:type="spellEnd"/>
            <w:r w:rsidRPr="00F52B06">
              <w:rPr>
                <w:i/>
                <w:iCs/>
              </w:rPr>
              <w:t xml:space="preserve"> Fold Change</w:t>
            </w:r>
          </w:p>
        </w:tc>
      </w:tr>
      <w:tr w:rsidR="006A2DBE" w:rsidRPr="009272E4" w14:paraId="2405E800" w14:textId="77777777" w:rsidTr="00C94F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327228" w14:textId="77777777" w:rsidR="006A2DBE" w:rsidRPr="009272E4" w:rsidRDefault="006A2DBE" w:rsidP="00C94F6C">
            <w:pPr>
              <w:spacing w:line="276" w:lineRule="auto"/>
              <w:jc w:val="left"/>
            </w:pPr>
            <w:r w:rsidRPr="009272E4">
              <w:rPr>
                <w:b/>
                <w:bCs/>
              </w:rPr>
              <w:t>MD5</w:t>
            </w:r>
          </w:p>
        </w:tc>
        <w:tc>
          <w:tcPr>
            <w:tcW w:w="0" w:type="auto"/>
            <w:hideMark/>
          </w:tcPr>
          <w:p w14:paraId="18522FF1" w14:textId="2D9AE28D" w:rsidR="006A2DBE" w:rsidRPr="009272E4" w:rsidRDefault="006A2DBE" w:rsidP="00C94F6C">
            <w:pPr>
              <w:spacing w:line="276" w:lineRule="auto"/>
              <w:jc w:val="left"/>
              <w:cnfStyle w:val="000000100000" w:firstRow="0" w:lastRow="0" w:firstColumn="0" w:lastColumn="0" w:oddVBand="0" w:evenVBand="0" w:oddHBand="1" w:evenHBand="0" w:firstRowFirstColumn="0" w:firstRowLastColumn="0" w:lastRowFirstColumn="0" w:lastRowLastColumn="0"/>
            </w:pPr>
            <w:proofErr w:type="spellStart"/>
            <w:r w:rsidRPr="009272E4">
              <w:rPr>
                <w:i/>
                <w:iCs/>
              </w:rPr>
              <w:t>Message</w:t>
            </w:r>
            <w:proofErr w:type="spellEnd"/>
            <w:r w:rsidRPr="009272E4">
              <w:rPr>
                <w:i/>
                <w:iCs/>
              </w:rPr>
              <w:t xml:space="preserve"> </w:t>
            </w:r>
            <w:proofErr w:type="spellStart"/>
            <w:r w:rsidRPr="009272E4">
              <w:rPr>
                <w:i/>
                <w:iCs/>
              </w:rPr>
              <w:t>Digest</w:t>
            </w:r>
            <w:proofErr w:type="spellEnd"/>
            <w:r w:rsidRPr="009272E4">
              <w:rPr>
                <w:i/>
                <w:iCs/>
              </w:rPr>
              <w:t xml:space="preserve"> </w:t>
            </w:r>
            <w:proofErr w:type="spellStart"/>
            <w:r w:rsidRPr="009272E4">
              <w:rPr>
                <w:i/>
                <w:iCs/>
              </w:rPr>
              <w:t>Algorithm</w:t>
            </w:r>
            <w:proofErr w:type="spellEnd"/>
            <w:r w:rsidRPr="009272E4">
              <w:rPr>
                <w:i/>
                <w:iCs/>
              </w:rPr>
              <w:t xml:space="preserve"> 5</w:t>
            </w:r>
            <w:r w:rsidRPr="009272E4">
              <w:t>, suma de verificación</w:t>
            </w:r>
          </w:p>
        </w:tc>
      </w:tr>
      <w:tr w:rsidR="006A2DBE" w:rsidRPr="009272E4" w14:paraId="1901C27C" w14:textId="77777777" w:rsidTr="00C94F6C">
        <w:tc>
          <w:tcPr>
            <w:cnfStyle w:val="001000000000" w:firstRow="0" w:lastRow="0" w:firstColumn="1" w:lastColumn="0" w:oddVBand="0" w:evenVBand="0" w:oddHBand="0" w:evenHBand="0" w:firstRowFirstColumn="0" w:firstRowLastColumn="0" w:lastRowFirstColumn="0" w:lastRowLastColumn="0"/>
            <w:tcW w:w="0" w:type="auto"/>
            <w:hideMark/>
          </w:tcPr>
          <w:p w14:paraId="11A20B5D" w14:textId="77777777" w:rsidR="006A2DBE" w:rsidRPr="009272E4" w:rsidRDefault="006A2DBE" w:rsidP="00C94F6C">
            <w:pPr>
              <w:spacing w:line="276" w:lineRule="auto"/>
              <w:jc w:val="left"/>
            </w:pPr>
            <w:r w:rsidRPr="009272E4">
              <w:rPr>
                <w:b/>
                <w:bCs/>
              </w:rPr>
              <w:t>MEC</w:t>
            </w:r>
          </w:p>
        </w:tc>
        <w:tc>
          <w:tcPr>
            <w:tcW w:w="0" w:type="auto"/>
            <w:hideMark/>
          </w:tcPr>
          <w:p w14:paraId="109AAD94" w14:textId="50DA58B0" w:rsidR="006A2DBE" w:rsidRPr="009272E4" w:rsidRDefault="006A2DBE" w:rsidP="00C94F6C">
            <w:pPr>
              <w:spacing w:line="276" w:lineRule="auto"/>
              <w:jc w:val="left"/>
              <w:cnfStyle w:val="000000000000" w:firstRow="0" w:lastRow="0" w:firstColumn="0" w:lastColumn="0" w:oddVBand="0" w:evenVBand="0" w:oddHBand="0" w:evenHBand="0" w:firstRowFirstColumn="0" w:firstRowLastColumn="0" w:lastRowFirstColumn="0" w:lastRowLastColumn="0"/>
            </w:pPr>
            <w:r w:rsidRPr="009272E4">
              <w:t xml:space="preserve">Matriz Extracelular </w:t>
            </w:r>
            <w:r w:rsidR="009272E4">
              <w:t xml:space="preserve">/ </w:t>
            </w:r>
            <w:proofErr w:type="spellStart"/>
            <w:r w:rsidRPr="009272E4">
              <w:rPr>
                <w:i/>
                <w:iCs/>
              </w:rPr>
              <w:t>Extracellular</w:t>
            </w:r>
            <w:proofErr w:type="spellEnd"/>
            <w:r w:rsidRPr="009272E4">
              <w:rPr>
                <w:i/>
                <w:iCs/>
              </w:rPr>
              <w:t xml:space="preserve"> Matrix</w:t>
            </w:r>
          </w:p>
        </w:tc>
      </w:tr>
      <w:tr w:rsidR="006A2DBE" w:rsidRPr="009272E4" w14:paraId="009AC532" w14:textId="77777777" w:rsidTr="00C94F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8EDFF7" w14:textId="77777777" w:rsidR="006A2DBE" w:rsidRPr="009272E4" w:rsidRDefault="006A2DBE" w:rsidP="00C94F6C">
            <w:pPr>
              <w:spacing w:line="276" w:lineRule="auto"/>
              <w:jc w:val="left"/>
            </w:pPr>
            <w:r w:rsidRPr="009272E4">
              <w:rPr>
                <w:b/>
                <w:bCs/>
              </w:rPr>
              <w:t>MF</w:t>
            </w:r>
          </w:p>
        </w:tc>
        <w:tc>
          <w:tcPr>
            <w:tcW w:w="0" w:type="auto"/>
            <w:hideMark/>
          </w:tcPr>
          <w:p w14:paraId="4B330D87" w14:textId="4BF67CA7" w:rsidR="006A2DBE" w:rsidRPr="009272E4" w:rsidRDefault="006A2DBE" w:rsidP="00C94F6C">
            <w:pPr>
              <w:spacing w:line="276" w:lineRule="auto"/>
              <w:jc w:val="left"/>
              <w:cnfStyle w:val="000000100000" w:firstRow="0" w:lastRow="0" w:firstColumn="0" w:lastColumn="0" w:oddVBand="0" w:evenVBand="0" w:oddHBand="1" w:evenHBand="0" w:firstRowFirstColumn="0" w:firstRowLastColumn="0" w:lastRowFirstColumn="0" w:lastRowLastColumn="0"/>
            </w:pPr>
            <w:r w:rsidRPr="009272E4">
              <w:t xml:space="preserve">Función Molecular </w:t>
            </w:r>
            <w:r w:rsidR="009272E4">
              <w:t xml:space="preserve">/ </w:t>
            </w:r>
            <w:r w:rsidRPr="009272E4">
              <w:rPr>
                <w:i/>
                <w:iCs/>
              </w:rPr>
              <w:t xml:space="preserve">Molecular </w:t>
            </w:r>
            <w:proofErr w:type="spellStart"/>
            <w:r w:rsidRPr="009272E4">
              <w:rPr>
                <w:i/>
                <w:iCs/>
              </w:rPr>
              <w:t>Function</w:t>
            </w:r>
            <w:proofErr w:type="spellEnd"/>
          </w:p>
        </w:tc>
      </w:tr>
      <w:tr w:rsidR="006A2DBE" w:rsidRPr="009272E4" w14:paraId="14BD84F6" w14:textId="77777777" w:rsidTr="00C94F6C">
        <w:tc>
          <w:tcPr>
            <w:cnfStyle w:val="001000000000" w:firstRow="0" w:lastRow="0" w:firstColumn="1" w:lastColumn="0" w:oddVBand="0" w:evenVBand="0" w:oddHBand="0" w:evenHBand="0" w:firstRowFirstColumn="0" w:firstRowLastColumn="0" w:lastRowFirstColumn="0" w:lastRowLastColumn="0"/>
            <w:tcW w:w="0" w:type="auto"/>
            <w:hideMark/>
          </w:tcPr>
          <w:p w14:paraId="4C8BB7C6" w14:textId="77777777" w:rsidR="006A2DBE" w:rsidRPr="009272E4" w:rsidRDefault="006A2DBE" w:rsidP="00C94F6C">
            <w:pPr>
              <w:spacing w:line="276" w:lineRule="auto"/>
              <w:jc w:val="left"/>
            </w:pPr>
            <w:proofErr w:type="spellStart"/>
            <w:r w:rsidRPr="009272E4">
              <w:rPr>
                <w:b/>
                <w:bCs/>
              </w:rPr>
              <w:t>miRNA</w:t>
            </w:r>
            <w:proofErr w:type="spellEnd"/>
          </w:p>
        </w:tc>
        <w:tc>
          <w:tcPr>
            <w:tcW w:w="0" w:type="auto"/>
            <w:hideMark/>
          </w:tcPr>
          <w:p w14:paraId="27161201" w14:textId="14709ECE" w:rsidR="006A2DBE" w:rsidRPr="009272E4" w:rsidRDefault="006A2DBE" w:rsidP="00C94F6C">
            <w:pPr>
              <w:spacing w:line="276" w:lineRule="auto"/>
              <w:jc w:val="left"/>
              <w:cnfStyle w:val="000000000000" w:firstRow="0" w:lastRow="0" w:firstColumn="0" w:lastColumn="0" w:oddVBand="0" w:evenVBand="0" w:oddHBand="0" w:evenHBand="0" w:firstRowFirstColumn="0" w:firstRowLastColumn="0" w:lastRowFirstColumn="0" w:lastRowLastColumn="0"/>
            </w:pPr>
            <w:r w:rsidRPr="009272E4">
              <w:t xml:space="preserve">Micro-ARN </w:t>
            </w:r>
            <w:r w:rsidR="009272E4">
              <w:t xml:space="preserve">/ </w:t>
            </w:r>
            <w:r w:rsidRPr="009272E4">
              <w:rPr>
                <w:i/>
                <w:iCs/>
              </w:rPr>
              <w:t>Micro-</w:t>
            </w:r>
            <w:proofErr w:type="spellStart"/>
            <w:r w:rsidRPr="009272E4">
              <w:rPr>
                <w:i/>
                <w:iCs/>
              </w:rPr>
              <w:t>Ribonucleic</w:t>
            </w:r>
            <w:proofErr w:type="spellEnd"/>
            <w:r w:rsidRPr="009272E4">
              <w:rPr>
                <w:i/>
                <w:iCs/>
              </w:rPr>
              <w:t xml:space="preserve"> Acid</w:t>
            </w:r>
          </w:p>
        </w:tc>
      </w:tr>
      <w:tr w:rsidR="006A2DBE" w:rsidRPr="009272E4" w14:paraId="43D7A06C" w14:textId="77777777" w:rsidTr="00C94F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A2879E" w14:textId="77777777" w:rsidR="006A2DBE" w:rsidRPr="009272E4" w:rsidRDefault="006A2DBE" w:rsidP="00C94F6C">
            <w:pPr>
              <w:spacing w:line="276" w:lineRule="auto"/>
              <w:jc w:val="left"/>
            </w:pPr>
            <w:r w:rsidRPr="009272E4">
              <w:rPr>
                <w:b/>
                <w:bCs/>
              </w:rPr>
              <w:t>NCBI</w:t>
            </w:r>
          </w:p>
        </w:tc>
        <w:tc>
          <w:tcPr>
            <w:tcW w:w="0" w:type="auto"/>
            <w:hideMark/>
          </w:tcPr>
          <w:p w14:paraId="07397F5C" w14:textId="70603B4C" w:rsidR="006A2DBE" w:rsidRPr="009272E4" w:rsidRDefault="006A2DBE" w:rsidP="00C94F6C">
            <w:pPr>
              <w:spacing w:line="276" w:lineRule="auto"/>
              <w:jc w:val="left"/>
              <w:cnfStyle w:val="000000100000" w:firstRow="0" w:lastRow="0" w:firstColumn="0" w:lastColumn="0" w:oddVBand="0" w:evenVBand="0" w:oddHBand="1" w:evenHBand="0" w:firstRowFirstColumn="0" w:firstRowLastColumn="0" w:lastRowFirstColumn="0" w:lastRowLastColumn="0"/>
            </w:pPr>
            <w:proofErr w:type="spellStart"/>
            <w:r w:rsidRPr="009272E4">
              <w:rPr>
                <w:i/>
                <w:iCs/>
              </w:rPr>
              <w:t>National</w:t>
            </w:r>
            <w:proofErr w:type="spellEnd"/>
            <w:r w:rsidRPr="009272E4">
              <w:rPr>
                <w:i/>
                <w:iCs/>
              </w:rPr>
              <w:t xml:space="preserve"> Center </w:t>
            </w:r>
            <w:proofErr w:type="spellStart"/>
            <w:r w:rsidRPr="009272E4">
              <w:rPr>
                <w:i/>
                <w:iCs/>
              </w:rPr>
              <w:t>for</w:t>
            </w:r>
            <w:proofErr w:type="spellEnd"/>
            <w:r w:rsidRPr="009272E4">
              <w:rPr>
                <w:i/>
                <w:iCs/>
              </w:rPr>
              <w:t xml:space="preserve"> </w:t>
            </w:r>
            <w:proofErr w:type="spellStart"/>
            <w:r w:rsidRPr="009272E4">
              <w:rPr>
                <w:i/>
                <w:iCs/>
              </w:rPr>
              <w:t>Biotechnology</w:t>
            </w:r>
            <w:proofErr w:type="spellEnd"/>
            <w:r w:rsidRPr="009272E4">
              <w:rPr>
                <w:i/>
                <w:iCs/>
              </w:rPr>
              <w:t xml:space="preserve"> </w:t>
            </w:r>
            <w:proofErr w:type="spellStart"/>
            <w:r w:rsidRPr="009272E4">
              <w:rPr>
                <w:i/>
                <w:iCs/>
              </w:rPr>
              <w:t>Information</w:t>
            </w:r>
            <w:proofErr w:type="spellEnd"/>
          </w:p>
        </w:tc>
      </w:tr>
      <w:tr w:rsidR="006A2DBE" w:rsidRPr="009272E4" w14:paraId="47F73C83" w14:textId="77777777" w:rsidTr="00C94F6C">
        <w:tc>
          <w:tcPr>
            <w:cnfStyle w:val="001000000000" w:firstRow="0" w:lastRow="0" w:firstColumn="1" w:lastColumn="0" w:oddVBand="0" w:evenVBand="0" w:oddHBand="0" w:evenHBand="0" w:firstRowFirstColumn="0" w:firstRowLastColumn="0" w:lastRowFirstColumn="0" w:lastRowLastColumn="0"/>
            <w:tcW w:w="0" w:type="auto"/>
            <w:hideMark/>
          </w:tcPr>
          <w:p w14:paraId="42322B52" w14:textId="77777777" w:rsidR="006A2DBE" w:rsidRPr="009272E4" w:rsidRDefault="006A2DBE" w:rsidP="00C94F6C">
            <w:pPr>
              <w:spacing w:line="276" w:lineRule="auto"/>
              <w:jc w:val="left"/>
            </w:pPr>
            <w:r w:rsidRPr="009272E4">
              <w:rPr>
                <w:b/>
                <w:bCs/>
              </w:rPr>
              <w:t>NCI</w:t>
            </w:r>
          </w:p>
        </w:tc>
        <w:tc>
          <w:tcPr>
            <w:tcW w:w="0" w:type="auto"/>
            <w:hideMark/>
          </w:tcPr>
          <w:p w14:paraId="19B4CBB2" w14:textId="5E8C5F3C" w:rsidR="006A2DBE" w:rsidRPr="009272E4" w:rsidRDefault="006A2DBE" w:rsidP="00C94F6C">
            <w:pPr>
              <w:spacing w:line="276" w:lineRule="auto"/>
              <w:jc w:val="left"/>
              <w:cnfStyle w:val="000000000000" w:firstRow="0" w:lastRow="0" w:firstColumn="0" w:lastColumn="0" w:oddVBand="0" w:evenVBand="0" w:oddHBand="0" w:evenHBand="0" w:firstRowFirstColumn="0" w:firstRowLastColumn="0" w:lastRowFirstColumn="0" w:lastRowLastColumn="0"/>
            </w:pPr>
            <w:proofErr w:type="spellStart"/>
            <w:r w:rsidRPr="009272E4">
              <w:rPr>
                <w:i/>
                <w:iCs/>
              </w:rPr>
              <w:t>National</w:t>
            </w:r>
            <w:proofErr w:type="spellEnd"/>
            <w:r w:rsidRPr="009272E4">
              <w:rPr>
                <w:i/>
                <w:iCs/>
              </w:rPr>
              <w:t xml:space="preserve"> </w:t>
            </w:r>
            <w:proofErr w:type="spellStart"/>
            <w:r w:rsidRPr="009272E4">
              <w:rPr>
                <w:i/>
                <w:iCs/>
              </w:rPr>
              <w:t>Cancer</w:t>
            </w:r>
            <w:proofErr w:type="spellEnd"/>
            <w:r w:rsidRPr="009272E4">
              <w:rPr>
                <w:i/>
                <w:iCs/>
              </w:rPr>
              <w:t xml:space="preserve"> </w:t>
            </w:r>
            <w:proofErr w:type="spellStart"/>
            <w:r w:rsidRPr="009272E4">
              <w:rPr>
                <w:i/>
                <w:iCs/>
              </w:rPr>
              <w:t>Institute</w:t>
            </w:r>
            <w:proofErr w:type="spellEnd"/>
          </w:p>
        </w:tc>
      </w:tr>
      <w:tr w:rsidR="006A2DBE" w:rsidRPr="009272E4" w14:paraId="35DBC6DD" w14:textId="77777777" w:rsidTr="00C94F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D9470D" w14:textId="77777777" w:rsidR="006A2DBE" w:rsidRPr="009272E4" w:rsidRDefault="006A2DBE" w:rsidP="00C94F6C">
            <w:pPr>
              <w:spacing w:line="276" w:lineRule="auto"/>
              <w:jc w:val="left"/>
            </w:pPr>
            <w:r w:rsidRPr="009272E4">
              <w:rPr>
                <w:b/>
                <w:bCs/>
              </w:rPr>
              <w:t>ORA</w:t>
            </w:r>
          </w:p>
        </w:tc>
        <w:tc>
          <w:tcPr>
            <w:tcW w:w="0" w:type="auto"/>
            <w:hideMark/>
          </w:tcPr>
          <w:p w14:paraId="1487B948" w14:textId="025F6E1B" w:rsidR="006A2DBE" w:rsidRPr="009272E4" w:rsidRDefault="006A2DBE" w:rsidP="00C94F6C">
            <w:pPr>
              <w:spacing w:line="276" w:lineRule="auto"/>
              <w:jc w:val="left"/>
              <w:cnfStyle w:val="000000100000" w:firstRow="0" w:lastRow="0" w:firstColumn="0" w:lastColumn="0" w:oddVBand="0" w:evenVBand="0" w:oddHBand="1" w:evenHBand="0" w:firstRowFirstColumn="0" w:firstRowLastColumn="0" w:lastRowFirstColumn="0" w:lastRowLastColumn="0"/>
            </w:pPr>
            <w:r w:rsidRPr="009272E4">
              <w:t xml:space="preserve">Análisis de </w:t>
            </w:r>
            <w:proofErr w:type="spellStart"/>
            <w:r w:rsidRPr="009272E4">
              <w:t>Sobre-representación</w:t>
            </w:r>
            <w:proofErr w:type="spellEnd"/>
            <w:r w:rsidRPr="009272E4">
              <w:t xml:space="preserve"> </w:t>
            </w:r>
            <w:r w:rsidR="009272E4">
              <w:t xml:space="preserve">/ </w:t>
            </w:r>
            <w:r w:rsidRPr="009272E4">
              <w:rPr>
                <w:i/>
                <w:iCs/>
              </w:rPr>
              <w:t>Over-</w:t>
            </w:r>
            <w:proofErr w:type="spellStart"/>
            <w:r w:rsidRPr="009272E4">
              <w:rPr>
                <w:i/>
                <w:iCs/>
              </w:rPr>
              <w:t>Representation</w:t>
            </w:r>
            <w:proofErr w:type="spellEnd"/>
            <w:r w:rsidRPr="009272E4">
              <w:rPr>
                <w:i/>
                <w:iCs/>
              </w:rPr>
              <w:t xml:space="preserve"> </w:t>
            </w:r>
            <w:proofErr w:type="spellStart"/>
            <w:r w:rsidRPr="009272E4">
              <w:rPr>
                <w:i/>
                <w:iCs/>
              </w:rPr>
              <w:t>Analysi</w:t>
            </w:r>
            <w:proofErr w:type="spellEnd"/>
          </w:p>
        </w:tc>
      </w:tr>
      <w:tr w:rsidR="006A2DBE" w:rsidRPr="006A2DBE" w14:paraId="5508DF83" w14:textId="77777777" w:rsidTr="00C94F6C">
        <w:tc>
          <w:tcPr>
            <w:cnfStyle w:val="001000000000" w:firstRow="0" w:lastRow="0" w:firstColumn="1" w:lastColumn="0" w:oddVBand="0" w:evenVBand="0" w:oddHBand="0" w:evenHBand="0" w:firstRowFirstColumn="0" w:firstRowLastColumn="0" w:lastRowFirstColumn="0" w:lastRowLastColumn="0"/>
            <w:tcW w:w="0" w:type="auto"/>
            <w:hideMark/>
          </w:tcPr>
          <w:p w14:paraId="4B68DF9B" w14:textId="77777777" w:rsidR="006A2DBE" w:rsidRPr="006A2DBE" w:rsidRDefault="006A2DBE" w:rsidP="00C94F6C">
            <w:pPr>
              <w:spacing w:line="276" w:lineRule="auto"/>
              <w:jc w:val="left"/>
            </w:pPr>
            <w:r w:rsidRPr="006A2DBE">
              <w:rPr>
                <w:b/>
                <w:bCs/>
              </w:rPr>
              <w:t>PC1 / PC2</w:t>
            </w:r>
          </w:p>
        </w:tc>
        <w:tc>
          <w:tcPr>
            <w:tcW w:w="0" w:type="auto"/>
            <w:hideMark/>
          </w:tcPr>
          <w:p w14:paraId="1157168D" w14:textId="5584F8C9" w:rsidR="006A2DBE" w:rsidRPr="006A2DBE" w:rsidRDefault="006A2DBE" w:rsidP="00C94F6C">
            <w:pPr>
              <w:spacing w:line="276" w:lineRule="auto"/>
              <w:jc w:val="left"/>
              <w:cnfStyle w:val="000000000000" w:firstRow="0" w:lastRow="0" w:firstColumn="0" w:lastColumn="0" w:oddVBand="0" w:evenVBand="0" w:oddHBand="0" w:evenHBand="0" w:firstRowFirstColumn="0" w:firstRowLastColumn="0" w:lastRowFirstColumn="0" w:lastRowLastColumn="0"/>
            </w:pPr>
            <w:r w:rsidRPr="006A2DBE">
              <w:rPr>
                <w:i/>
                <w:iCs/>
              </w:rPr>
              <w:t xml:space="preserve">Principal </w:t>
            </w:r>
            <w:proofErr w:type="spellStart"/>
            <w:r w:rsidRPr="006A2DBE">
              <w:rPr>
                <w:i/>
                <w:iCs/>
              </w:rPr>
              <w:t>Component</w:t>
            </w:r>
            <w:proofErr w:type="spellEnd"/>
            <w:r w:rsidRPr="006A2DBE">
              <w:rPr>
                <w:i/>
                <w:iCs/>
              </w:rPr>
              <w:t xml:space="preserve"> 1 / 2</w:t>
            </w:r>
          </w:p>
        </w:tc>
      </w:tr>
      <w:tr w:rsidR="006A2DBE" w:rsidRPr="006A2DBE" w14:paraId="2577C3C5" w14:textId="77777777" w:rsidTr="00C94F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737895" w14:textId="77777777" w:rsidR="006A2DBE" w:rsidRPr="006A2DBE" w:rsidRDefault="006A2DBE" w:rsidP="00C94F6C">
            <w:pPr>
              <w:spacing w:line="276" w:lineRule="auto"/>
              <w:jc w:val="left"/>
            </w:pPr>
            <w:r w:rsidRPr="006A2DBE">
              <w:rPr>
                <w:b/>
                <w:bCs/>
              </w:rPr>
              <w:t>PCA</w:t>
            </w:r>
          </w:p>
        </w:tc>
        <w:tc>
          <w:tcPr>
            <w:tcW w:w="0" w:type="auto"/>
            <w:hideMark/>
          </w:tcPr>
          <w:p w14:paraId="78E5DDB8" w14:textId="243ED60E" w:rsidR="006A2DBE" w:rsidRPr="006A2DBE" w:rsidRDefault="006A2DBE" w:rsidP="00C94F6C">
            <w:pPr>
              <w:spacing w:line="276" w:lineRule="auto"/>
              <w:jc w:val="left"/>
              <w:cnfStyle w:val="000000100000" w:firstRow="0" w:lastRow="0" w:firstColumn="0" w:lastColumn="0" w:oddVBand="0" w:evenVBand="0" w:oddHBand="1" w:evenHBand="0" w:firstRowFirstColumn="0" w:firstRowLastColumn="0" w:lastRowFirstColumn="0" w:lastRowLastColumn="0"/>
            </w:pPr>
            <w:r w:rsidRPr="006A2DBE">
              <w:t xml:space="preserve">Análisis de Componentes Principales </w:t>
            </w:r>
            <w:r w:rsidR="009272E4">
              <w:t xml:space="preserve">/ </w:t>
            </w:r>
            <w:r w:rsidRPr="006A2DBE">
              <w:rPr>
                <w:i/>
                <w:iCs/>
              </w:rPr>
              <w:t xml:space="preserve">Principal </w:t>
            </w:r>
            <w:proofErr w:type="spellStart"/>
            <w:r w:rsidRPr="006A2DBE">
              <w:rPr>
                <w:i/>
                <w:iCs/>
              </w:rPr>
              <w:t>Component</w:t>
            </w:r>
            <w:proofErr w:type="spellEnd"/>
            <w:r w:rsidRPr="006A2DBE">
              <w:rPr>
                <w:i/>
                <w:iCs/>
              </w:rPr>
              <w:t xml:space="preserve"> </w:t>
            </w:r>
            <w:proofErr w:type="spellStart"/>
            <w:r w:rsidRPr="006A2DBE">
              <w:rPr>
                <w:i/>
                <w:iCs/>
              </w:rPr>
              <w:t>Analysis</w:t>
            </w:r>
            <w:proofErr w:type="spellEnd"/>
          </w:p>
        </w:tc>
      </w:tr>
      <w:tr w:rsidR="006A2DBE" w:rsidRPr="006A2DBE" w14:paraId="6502D02D" w14:textId="77777777" w:rsidTr="00C94F6C">
        <w:tc>
          <w:tcPr>
            <w:cnfStyle w:val="001000000000" w:firstRow="0" w:lastRow="0" w:firstColumn="1" w:lastColumn="0" w:oddVBand="0" w:evenVBand="0" w:oddHBand="0" w:evenHBand="0" w:firstRowFirstColumn="0" w:firstRowLastColumn="0" w:lastRowFirstColumn="0" w:lastRowLastColumn="0"/>
            <w:tcW w:w="0" w:type="auto"/>
            <w:hideMark/>
          </w:tcPr>
          <w:p w14:paraId="7E9E3401" w14:textId="77777777" w:rsidR="006A2DBE" w:rsidRPr="006A2DBE" w:rsidRDefault="006A2DBE" w:rsidP="00C94F6C">
            <w:pPr>
              <w:spacing w:line="276" w:lineRule="auto"/>
              <w:jc w:val="left"/>
            </w:pPr>
            <w:r w:rsidRPr="006A2DBE">
              <w:rPr>
                <w:b/>
                <w:bCs/>
              </w:rPr>
              <w:t>PCR</w:t>
            </w:r>
          </w:p>
        </w:tc>
        <w:tc>
          <w:tcPr>
            <w:tcW w:w="0" w:type="auto"/>
            <w:hideMark/>
          </w:tcPr>
          <w:p w14:paraId="163E0998" w14:textId="26522AD9" w:rsidR="006A2DBE" w:rsidRPr="006A2DBE" w:rsidRDefault="006A2DBE" w:rsidP="00C94F6C">
            <w:pPr>
              <w:spacing w:line="276" w:lineRule="auto"/>
              <w:jc w:val="left"/>
              <w:cnfStyle w:val="000000000000" w:firstRow="0" w:lastRow="0" w:firstColumn="0" w:lastColumn="0" w:oddVBand="0" w:evenVBand="0" w:oddHBand="0" w:evenHBand="0" w:firstRowFirstColumn="0" w:firstRowLastColumn="0" w:lastRowFirstColumn="0" w:lastRowLastColumn="0"/>
            </w:pPr>
            <w:r w:rsidRPr="006A2DBE">
              <w:t xml:space="preserve">Reacción en Cadena de la Polimerasa </w:t>
            </w:r>
            <w:r w:rsidR="009272E4">
              <w:t xml:space="preserve">/ </w:t>
            </w:r>
            <w:proofErr w:type="spellStart"/>
            <w:r w:rsidRPr="006A2DBE">
              <w:rPr>
                <w:i/>
                <w:iCs/>
              </w:rPr>
              <w:t>Polymerase</w:t>
            </w:r>
            <w:proofErr w:type="spellEnd"/>
            <w:r w:rsidRPr="006A2DBE">
              <w:rPr>
                <w:i/>
                <w:iCs/>
              </w:rPr>
              <w:t xml:space="preserve"> Chain </w:t>
            </w:r>
            <w:proofErr w:type="spellStart"/>
            <w:r w:rsidRPr="006A2DBE">
              <w:rPr>
                <w:i/>
                <w:iCs/>
              </w:rPr>
              <w:t>Reaction</w:t>
            </w:r>
            <w:proofErr w:type="spellEnd"/>
          </w:p>
        </w:tc>
      </w:tr>
      <w:tr w:rsidR="006A2DBE" w:rsidRPr="006A2DBE" w14:paraId="2248F6B0" w14:textId="77777777" w:rsidTr="00C94F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F944E3" w14:textId="77777777" w:rsidR="006A2DBE" w:rsidRPr="006A2DBE" w:rsidRDefault="006A2DBE" w:rsidP="00C94F6C">
            <w:pPr>
              <w:spacing w:line="276" w:lineRule="auto"/>
              <w:jc w:val="left"/>
            </w:pPr>
            <w:r w:rsidRPr="006A2DBE">
              <w:rPr>
                <w:b/>
                <w:bCs/>
              </w:rPr>
              <w:lastRenderedPageBreak/>
              <w:t>REDECAN</w:t>
            </w:r>
          </w:p>
        </w:tc>
        <w:tc>
          <w:tcPr>
            <w:tcW w:w="0" w:type="auto"/>
            <w:hideMark/>
          </w:tcPr>
          <w:p w14:paraId="70D47993" w14:textId="77777777" w:rsidR="006A2DBE" w:rsidRPr="006A2DBE" w:rsidRDefault="006A2DBE" w:rsidP="00C94F6C">
            <w:pPr>
              <w:spacing w:line="276" w:lineRule="auto"/>
              <w:jc w:val="left"/>
              <w:cnfStyle w:val="000000100000" w:firstRow="0" w:lastRow="0" w:firstColumn="0" w:lastColumn="0" w:oddVBand="0" w:evenVBand="0" w:oddHBand="1" w:evenHBand="0" w:firstRowFirstColumn="0" w:firstRowLastColumn="0" w:lastRowFirstColumn="0" w:lastRowLastColumn="0"/>
            </w:pPr>
            <w:r w:rsidRPr="006A2DBE">
              <w:t>Red Española de Registros de Cáncer</w:t>
            </w:r>
          </w:p>
        </w:tc>
      </w:tr>
      <w:tr w:rsidR="006A2DBE" w:rsidRPr="006A2DBE" w14:paraId="7A27829B" w14:textId="77777777" w:rsidTr="00C94F6C">
        <w:tc>
          <w:tcPr>
            <w:cnfStyle w:val="001000000000" w:firstRow="0" w:lastRow="0" w:firstColumn="1" w:lastColumn="0" w:oddVBand="0" w:evenVBand="0" w:oddHBand="0" w:evenHBand="0" w:firstRowFirstColumn="0" w:firstRowLastColumn="0" w:lastRowFirstColumn="0" w:lastRowLastColumn="0"/>
            <w:tcW w:w="0" w:type="auto"/>
            <w:hideMark/>
          </w:tcPr>
          <w:p w14:paraId="642C8232" w14:textId="77777777" w:rsidR="006A2DBE" w:rsidRPr="006A2DBE" w:rsidRDefault="006A2DBE" w:rsidP="00C94F6C">
            <w:pPr>
              <w:spacing w:line="276" w:lineRule="auto"/>
              <w:jc w:val="left"/>
            </w:pPr>
            <w:proofErr w:type="spellStart"/>
            <w:r w:rsidRPr="006A2DBE">
              <w:rPr>
                <w:b/>
                <w:bCs/>
              </w:rPr>
              <w:t>rlog</w:t>
            </w:r>
            <w:proofErr w:type="spellEnd"/>
          </w:p>
        </w:tc>
        <w:tc>
          <w:tcPr>
            <w:tcW w:w="0" w:type="auto"/>
            <w:hideMark/>
          </w:tcPr>
          <w:p w14:paraId="1A8BA437" w14:textId="76AB3EEB" w:rsidR="006A2DBE" w:rsidRPr="006A2DBE" w:rsidRDefault="006A2DBE" w:rsidP="00C94F6C">
            <w:pPr>
              <w:spacing w:line="276" w:lineRule="auto"/>
              <w:jc w:val="left"/>
              <w:cnfStyle w:val="000000000000" w:firstRow="0" w:lastRow="0" w:firstColumn="0" w:lastColumn="0" w:oddVBand="0" w:evenVBand="0" w:oddHBand="0" w:evenHBand="0" w:firstRowFirstColumn="0" w:firstRowLastColumn="0" w:lastRowFirstColumn="0" w:lastRowLastColumn="0"/>
            </w:pPr>
            <w:r w:rsidRPr="006A2DBE">
              <w:t xml:space="preserve">Logaritmo Regularizado </w:t>
            </w:r>
            <w:r w:rsidR="009272E4">
              <w:t xml:space="preserve">/ </w:t>
            </w:r>
            <w:proofErr w:type="spellStart"/>
            <w:r w:rsidRPr="006A2DBE">
              <w:rPr>
                <w:i/>
                <w:iCs/>
              </w:rPr>
              <w:t>Regularized</w:t>
            </w:r>
            <w:proofErr w:type="spellEnd"/>
            <w:r w:rsidRPr="006A2DBE">
              <w:rPr>
                <w:i/>
                <w:iCs/>
              </w:rPr>
              <w:t xml:space="preserve"> </w:t>
            </w:r>
            <w:proofErr w:type="spellStart"/>
            <w:r w:rsidRPr="006A2DBE">
              <w:rPr>
                <w:i/>
                <w:iCs/>
              </w:rPr>
              <w:t>Logarithm</w:t>
            </w:r>
            <w:proofErr w:type="spellEnd"/>
          </w:p>
        </w:tc>
      </w:tr>
      <w:tr w:rsidR="006A2DBE" w:rsidRPr="006A2DBE" w14:paraId="1751572F" w14:textId="77777777" w:rsidTr="00C94F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CA7017" w14:textId="77777777" w:rsidR="006A2DBE" w:rsidRPr="006A2DBE" w:rsidRDefault="006A2DBE" w:rsidP="00C94F6C">
            <w:pPr>
              <w:spacing w:line="276" w:lineRule="auto"/>
              <w:jc w:val="left"/>
            </w:pPr>
            <w:r w:rsidRPr="006A2DBE">
              <w:rPr>
                <w:b/>
                <w:bCs/>
              </w:rPr>
              <w:t>RNA-</w:t>
            </w:r>
            <w:proofErr w:type="spellStart"/>
            <w:r w:rsidRPr="006A2DBE">
              <w:rPr>
                <w:b/>
                <w:bCs/>
              </w:rPr>
              <w:t>seq</w:t>
            </w:r>
            <w:proofErr w:type="spellEnd"/>
          </w:p>
        </w:tc>
        <w:tc>
          <w:tcPr>
            <w:tcW w:w="0" w:type="auto"/>
            <w:hideMark/>
          </w:tcPr>
          <w:p w14:paraId="693AFEE4" w14:textId="1F471A75" w:rsidR="006A2DBE" w:rsidRPr="006A2DBE" w:rsidRDefault="006A2DBE" w:rsidP="00C94F6C">
            <w:pPr>
              <w:spacing w:line="276" w:lineRule="auto"/>
              <w:jc w:val="left"/>
              <w:cnfStyle w:val="000000100000" w:firstRow="0" w:lastRow="0" w:firstColumn="0" w:lastColumn="0" w:oddVBand="0" w:evenVBand="0" w:oddHBand="1" w:evenHBand="0" w:firstRowFirstColumn="0" w:firstRowLastColumn="0" w:lastRowFirstColumn="0" w:lastRowLastColumn="0"/>
            </w:pPr>
            <w:r w:rsidRPr="006A2DBE">
              <w:t xml:space="preserve">Secuenciación Masiva de ARN </w:t>
            </w:r>
            <w:r w:rsidR="009C22E2">
              <w:t xml:space="preserve">/ </w:t>
            </w:r>
            <w:r w:rsidRPr="006A2DBE">
              <w:rPr>
                <w:i/>
                <w:iCs/>
              </w:rPr>
              <w:t xml:space="preserve">RNA </w:t>
            </w:r>
            <w:proofErr w:type="spellStart"/>
            <w:r w:rsidRPr="006A2DBE">
              <w:rPr>
                <w:i/>
                <w:iCs/>
              </w:rPr>
              <w:t>Sequencing</w:t>
            </w:r>
            <w:proofErr w:type="spellEnd"/>
          </w:p>
        </w:tc>
      </w:tr>
      <w:tr w:rsidR="006A2DBE" w:rsidRPr="006A2DBE" w14:paraId="02D29ACE" w14:textId="77777777" w:rsidTr="00C94F6C">
        <w:tc>
          <w:tcPr>
            <w:cnfStyle w:val="001000000000" w:firstRow="0" w:lastRow="0" w:firstColumn="1" w:lastColumn="0" w:oddVBand="0" w:evenVBand="0" w:oddHBand="0" w:evenHBand="0" w:firstRowFirstColumn="0" w:firstRowLastColumn="0" w:lastRowFirstColumn="0" w:lastRowLastColumn="0"/>
            <w:tcW w:w="0" w:type="auto"/>
            <w:hideMark/>
          </w:tcPr>
          <w:p w14:paraId="268A5E33" w14:textId="77777777" w:rsidR="006A2DBE" w:rsidRPr="006A2DBE" w:rsidRDefault="006A2DBE" w:rsidP="00C94F6C">
            <w:pPr>
              <w:spacing w:line="276" w:lineRule="auto"/>
              <w:jc w:val="left"/>
            </w:pPr>
            <w:r w:rsidRPr="006A2DBE">
              <w:rPr>
                <w:b/>
                <w:bCs/>
              </w:rPr>
              <w:t>RPKM</w:t>
            </w:r>
          </w:p>
        </w:tc>
        <w:tc>
          <w:tcPr>
            <w:tcW w:w="0" w:type="auto"/>
            <w:hideMark/>
          </w:tcPr>
          <w:p w14:paraId="254C7FE1" w14:textId="37B44A97" w:rsidR="006A2DBE" w:rsidRPr="006A2DBE" w:rsidRDefault="006A2DBE" w:rsidP="00C94F6C">
            <w:pPr>
              <w:spacing w:line="276" w:lineRule="auto"/>
              <w:jc w:val="left"/>
              <w:cnfStyle w:val="000000000000" w:firstRow="0" w:lastRow="0" w:firstColumn="0" w:lastColumn="0" w:oddVBand="0" w:evenVBand="0" w:oddHBand="0" w:evenHBand="0" w:firstRowFirstColumn="0" w:firstRowLastColumn="0" w:lastRowFirstColumn="0" w:lastRowLastColumn="0"/>
            </w:pPr>
            <w:r w:rsidRPr="006A2DBE">
              <w:t xml:space="preserve">Lecturas por </w:t>
            </w:r>
            <w:proofErr w:type="spellStart"/>
            <w:r w:rsidRPr="006A2DBE">
              <w:t>Kilobase</w:t>
            </w:r>
            <w:proofErr w:type="spellEnd"/>
            <w:r w:rsidRPr="006A2DBE">
              <w:t xml:space="preserve"> de transcrito por Millón de lecturas mapeadas </w:t>
            </w:r>
            <w:r w:rsidR="009C22E2">
              <w:t xml:space="preserve">/ </w:t>
            </w:r>
            <w:proofErr w:type="spellStart"/>
            <w:r w:rsidRPr="006A2DBE">
              <w:rPr>
                <w:i/>
                <w:iCs/>
              </w:rPr>
              <w:t>Reads</w:t>
            </w:r>
            <w:proofErr w:type="spellEnd"/>
            <w:r w:rsidRPr="006A2DBE">
              <w:rPr>
                <w:i/>
                <w:iCs/>
              </w:rPr>
              <w:t xml:space="preserve"> Per </w:t>
            </w:r>
            <w:proofErr w:type="spellStart"/>
            <w:r w:rsidRPr="006A2DBE">
              <w:rPr>
                <w:i/>
                <w:iCs/>
              </w:rPr>
              <w:t>Kilobase</w:t>
            </w:r>
            <w:proofErr w:type="spellEnd"/>
            <w:r w:rsidRPr="006A2DBE">
              <w:rPr>
                <w:i/>
                <w:iCs/>
              </w:rPr>
              <w:t xml:space="preserve"> Million</w:t>
            </w:r>
          </w:p>
        </w:tc>
      </w:tr>
      <w:tr w:rsidR="006A2DBE" w:rsidRPr="006A2DBE" w14:paraId="58CEB3BE" w14:textId="77777777" w:rsidTr="00C94F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898FEC" w14:textId="77777777" w:rsidR="006A2DBE" w:rsidRPr="006A2DBE" w:rsidRDefault="006A2DBE" w:rsidP="00C94F6C">
            <w:pPr>
              <w:spacing w:line="276" w:lineRule="auto"/>
              <w:jc w:val="left"/>
            </w:pPr>
            <w:r w:rsidRPr="006A2DBE">
              <w:rPr>
                <w:b/>
                <w:bCs/>
              </w:rPr>
              <w:t>RT-</w:t>
            </w:r>
            <w:proofErr w:type="spellStart"/>
            <w:r w:rsidRPr="006A2DBE">
              <w:rPr>
                <w:b/>
                <w:bCs/>
              </w:rPr>
              <w:t>qPCR</w:t>
            </w:r>
            <w:proofErr w:type="spellEnd"/>
            <w:r w:rsidRPr="006A2DBE">
              <w:rPr>
                <w:b/>
                <w:bCs/>
              </w:rPr>
              <w:t xml:space="preserve"> / </w:t>
            </w:r>
            <w:proofErr w:type="spellStart"/>
            <w:r w:rsidRPr="006A2DBE">
              <w:rPr>
                <w:b/>
                <w:bCs/>
              </w:rPr>
              <w:t>qRT</w:t>
            </w:r>
            <w:proofErr w:type="spellEnd"/>
            <w:r w:rsidRPr="006A2DBE">
              <w:rPr>
                <w:b/>
                <w:bCs/>
              </w:rPr>
              <w:t>-PCR</w:t>
            </w:r>
          </w:p>
        </w:tc>
        <w:tc>
          <w:tcPr>
            <w:tcW w:w="0" w:type="auto"/>
            <w:hideMark/>
          </w:tcPr>
          <w:p w14:paraId="0C634EB2" w14:textId="6C31F3C0" w:rsidR="006A2DBE" w:rsidRPr="006A2DBE" w:rsidRDefault="006A2DBE" w:rsidP="00C94F6C">
            <w:pPr>
              <w:spacing w:line="276" w:lineRule="auto"/>
              <w:jc w:val="left"/>
              <w:cnfStyle w:val="000000100000" w:firstRow="0" w:lastRow="0" w:firstColumn="0" w:lastColumn="0" w:oddVBand="0" w:evenVBand="0" w:oddHBand="1" w:evenHBand="0" w:firstRowFirstColumn="0" w:firstRowLastColumn="0" w:lastRowFirstColumn="0" w:lastRowLastColumn="0"/>
            </w:pPr>
            <w:r w:rsidRPr="006A2DBE">
              <w:t>PCR Cuantitativa con Retrotranscripción</w:t>
            </w:r>
            <w:r w:rsidR="009C22E2">
              <w:t>0</w:t>
            </w:r>
            <w:r w:rsidRPr="006A2DBE">
              <w:t xml:space="preserve"> </w:t>
            </w:r>
            <w:r w:rsidR="009C22E2">
              <w:t xml:space="preserve">/ </w:t>
            </w:r>
            <w:proofErr w:type="spellStart"/>
            <w:r w:rsidRPr="006A2DBE">
              <w:rPr>
                <w:i/>
                <w:iCs/>
              </w:rPr>
              <w:t>Quantitative</w:t>
            </w:r>
            <w:proofErr w:type="spellEnd"/>
            <w:r w:rsidRPr="006A2DBE">
              <w:rPr>
                <w:i/>
                <w:iCs/>
              </w:rPr>
              <w:t xml:space="preserve"> Reverse </w:t>
            </w:r>
            <w:proofErr w:type="spellStart"/>
            <w:r w:rsidRPr="006A2DBE">
              <w:rPr>
                <w:i/>
                <w:iCs/>
              </w:rPr>
              <w:t>Transcription</w:t>
            </w:r>
            <w:proofErr w:type="spellEnd"/>
            <w:r w:rsidRPr="006A2DBE">
              <w:rPr>
                <w:i/>
                <w:iCs/>
              </w:rPr>
              <w:t xml:space="preserve"> PCR</w:t>
            </w:r>
          </w:p>
        </w:tc>
      </w:tr>
      <w:tr w:rsidR="006A2DBE" w:rsidRPr="006A2DBE" w14:paraId="76A4E3D0" w14:textId="77777777" w:rsidTr="00C94F6C">
        <w:tc>
          <w:tcPr>
            <w:cnfStyle w:val="001000000000" w:firstRow="0" w:lastRow="0" w:firstColumn="1" w:lastColumn="0" w:oddVBand="0" w:evenVBand="0" w:oddHBand="0" w:evenHBand="0" w:firstRowFirstColumn="0" w:firstRowLastColumn="0" w:lastRowFirstColumn="0" w:lastRowLastColumn="0"/>
            <w:tcW w:w="0" w:type="auto"/>
            <w:hideMark/>
          </w:tcPr>
          <w:p w14:paraId="0CD258E4" w14:textId="77777777" w:rsidR="006A2DBE" w:rsidRPr="006A2DBE" w:rsidRDefault="006A2DBE" w:rsidP="00C94F6C">
            <w:pPr>
              <w:spacing w:line="276" w:lineRule="auto"/>
              <w:jc w:val="left"/>
            </w:pPr>
            <w:r w:rsidRPr="006A2DBE">
              <w:rPr>
                <w:b/>
                <w:bCs/>
              </w:rPr>
              <w:t>SEOM</w:t>
            </w:r>
          </w:p>
        </w:tc>
        <w:tc>
          <w:tcPr>
            <w:tcW w:w="0" w:type="auto"/>
            <w:hideMark/>
          </w:tcPr>
          <w:p w14:paraId="7CA8E6A3" w14:textId="77777777" w:rsidR="006A2DBE" w:rsidRPr="006A2DBE" w:rsidRDefault="006A2DBE" w:rsidP="00C94F6C">
            <w:pPr>
              <w:spacing w:line="276" w:lineRule="auto"/>
              <w:jc w:val="left"/>
              <w:cnfStyle w:val="000000000000" w:firstRow="0" w:lastRow="0" w:firstColumn="0" w:lastColumn="0" w:oddVBand="0" w:evenVBand="0" w:oddHBand="0" w:evenHBand="0" w:firstRowFirstColumn="0" w:firstRowLastColumn="0" w:lastRowFirstColumn="0" w:lastRowLastColumn="0"/>
            </w:pPr>
            <w:r w:rsidRPr="006A2DBE">
              <w:t>Sociedad Española de Oncología Médica</w:t>
            </w:r>
          </w:p>
        </w:tc>
      </w:tr>
      <w:tr w:rsidR="006A2DBE" w:rsidRPr="006A2DBE" w14:paraId="3A1EECB1" w14:textId="77777777" w:rsidTr="00C94F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C49248" w14:textId="77777777" w:rsidR="006A2DBE" w:rsidRPr="006A2DBE" w:rsidRDefault="006A2DBE" w:rsidP="00C94F6C">
            <w:pPr>
              <w:spacing w:line="276" w:lineRule="auto"/>
              <w:jc w:val="left"/>
            </w:pPr>
            <w:proofErr w:type="spellStart"/>
            <w:r w:rsidRPr="006A2DBE">
              <w:rPr>
                <w:b/>
                <w:bCs/>
              </w:rPr>
              <w:t>snRNA</w:t>
            </w:r>
            <w:proofErr w:type="spellEnd"/>
          </w:p>
        </w:tc>
        <w:tc>
          <w:tcPr>
            <w:tcW w:w="0" w:type="auto"/>
            <w:hideMark/>
          </w:tcPr>
          <w:p w14:paraId="462CA767" w14:textId="32832D14" w:rsidR="006A2DBE" w:rsidRPr="006A2DBE" w:rsidRDefault="006A2DBE" w:rsidP="00C94F6C">
            <w:pPr>
              <w:spacing w:line="276" w:lineRule="auto"/>
              <w:jc w:val="left"/>
              <w:cnfStyle w:val="000000100000" w:firstRow="0" w:lastRow="0" w:firstColumn="0" w:lastColumn="0" w:oddVBand="0" w:evenVBand="0" w:oddHBand="1" w:evenHBand="0" w:firstRowFirstColumn="0" w:firstRowLastColumn="0" w:lastRowFirstColumn="0" w:lastRowLastColumn="0"/>
            </w:pPr>
            <w:r w:rsidRPr="006A2DBE">
              <w:t xml:space="preserve">ARN Pequeño Nuclear </w:t>
            </w:r>
            <w:r w:rsidR="009C22E2">
              <w:t xml:space="preserve">/ </w:t>
            </w:r>
            <w:r w:rsidRPr="006A2DBE">
              <w:rPr>
                <w:i/>
                <w:iCs/>
              </w:rPr>
              <w:t>Small Nuclear RNA</w:t>
            </w:r>
          </w:p>
        </w:tc>
      </w:tr>
      <w:tr w:rsidR="006A2DBE" w:rsidRPr="006A2DBE" w14:paraId="44E5EC69" w14:textId="77777777" w:rsidTr="00C94F6C">
        <w:tc>
          <w:tcPr>
            <w:cnfStyle w:val="001000000000" w:firstRow="0" w:lastRow="0" w:firstColumn="1" w:lastColumn="0" w:oddVBand="0" w:evenVBand="0" w:oddHBand="0" w:evenHBand="0" w:firstRowFirstColumn="0" w:firstRowLastColumn="0" w:lastRowFirstColumn="0" w:lastRowLastColumn="0"/>
            <w:tcW w:w="0" w:type="auto"/>
            <w:hideMark/>
          </w:tcPr>
          <w:p w14:paraId="4F6B06B6" w14:textId="77777777" w:rsidR="006A2DBE" w:rsidRPr="006A2DBE" w:rsidRDefault="006A2DBE" w:rsidP="00C94F6C">
            <w:pPr>
              <w:spacing w:line="276" w:lineRule="auto"/>
              <w:jc w:val="left"/>
            </w:pPr>
            <w:r w:rsidRPr="006A2DBE">
              <w:rPr>
                <w:b/>
                <w:bCs/>
              </w:rPr>
              <w:t>SRA</w:t>
            </w:r>
          </w:p>
        </w:tc>
        <w:tc>
          <w:tcPr>
            <w:tcW w:w="0" w:type="auto"/>
            <w:hideMark/>
          </w:tcPr>
          <w:p w14:paraId="57ED47BC" w14:textId="7DB8AD21" w:rsidR="006A2DBE" w:rsidRPr="006A2DBE" w:rsidRDefault="006A2DBE" w:rsidP="00C94F6C">
            <w:pPr>
              <w:spacing w:line="276" w:lineRule="auto"/>
              <w:jc w:val="left"/>
              <w:cnfStyle w:val="000000000000" w:firstRow="0" w:lastRow="0" w:firstColumn="0" w:lastColumn="0" w:oddVBand="0" w:evenVBand="0" w:oddHBand="0" w:evenHBand="0" w:firstRowFirstColumn="0" w:firstRowLastColumn="0" w:lastRowFirstColumn="0" w:lastRowLastColumn="0"/>
            </w:pPr>
            <w:r w:rsidRPr="006A2DBE">
              <w:t xml:space="preserve">Archivo de Lecturas de Secuenciación </w:t>
            </w:r>
            <w:r w:rsidR="009C22E2">
              <w:t xml:space="preserve">/ </w:t>
            </w:r>
            <w:proofErr w:type="spellStart"/>
            <w:r w:rsidRPr="006A2DBE">
              <w:rPr>
                <w:i/>
                <w:iCs/>
              </w:rPr>
              <w:t>Sequence</w:t>
            </w:r>
            <w:proofErr w:type="spellEnd"/>
            <w:r w:rsidRPr="006A2DBE">
              <w:rPr>
                <w:i/>
                <w:iCs/>
              </w:rPr>
              <w:t xml:space="preserve"> Read Archive</w:t>
            </w:r>
          </w:p>
        </w:tc>
      </w:tr>
      <w:tr w:rsidR="006A2DBE" w:rsidRPr="006A2DBE" w14:paraId="6E68B317" w14:textId="77777777" w:rsidTr="00C94F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AB4E50" w14:textId="77777777" w:rsidR="006A2DBE" w:rsidRPr="006A2DBE" w:rsidRDefault="006A2DBE" w:rsidP="00C94F6C">
            <w:pPr>
              <w:spacing w:line="276" w:lineRule="auto"/>
              <w:jc w:val="left"/>
            </w:pPr>
            <w:r w:rsidRPr="006A2DBE">
              <w:rPr>
                <w:b/>
                <w:bCs/>
              </w:rPr>
              <w:t>TCGA</w:t>
            </w:r>
          </w:p>
        </w:tc>
        <w:tc>
          <w:tcPr>
            <w:tcW w:w="0" w:type="auto"/>
            <w:hideMark/>
          </w:tcPr>
          <w:p w14:paraId="1DE8288F" w14:textId="39387FD4" w:rsidR="006A2DBE" w:rsidRPr="006A2DBE" w:rsidRDefault="006A2DBE" w:rsidP="00C94F6C">
            <w:pPr>
              <w:spacing w:line="276" w:lineRule="auto"/>
              <w:jc w:val="left"/>
              <w:cnfStyle w:val="000000100000" w:firstRow="0" w:lastRow="0" w:firstColumn="0" w:lastColumn="0" w:oddVBand="0" w:evenVBand="0" w:oddHBand="1" w:evenHBand="0" w:firstRowFirstColumn="0" w:firstRowLastColumn="0" w:lastRowFirstColumn="0" w:lastRowLastColumn="0"/>
            </w:pPr>
            <w:r w:rsidRPr="006A2DBE">
              <w:rPr>
                <w:i/>
                <w:iCs/>
              </w:rPr>
              <w:t xml:space="preserve">The </w:t>
            </w:r>
            <w:proofErr w:type="spellStart"/>
            <w:r w:rsidRPr="006A2DBE">
              <w:rPr>
                <w:i/>
                <w:iCs/>
              </w:rPr>
              <w:t>Cancer</w:t>
            </w:r>
            <w:proofErr w:type="spellEnd"/>
            <w:r w:rsidRPr="006A2DBE">
              <w:rPr>
                <w:i/>
                <w:iCs/>
              </w:rPr>
              <w:t xml:space="preserve"> Genome Atlas</w:t>
            </w:r>
          </w:p>
        </w:tc>
      </w:tr>
      <w:tr w:rsidR="006A2DBE" w:rsidRPr="006A2DBE" w14:paraId="2CE3FCC2" w14:textId="77777777" w:rsidTr="00C94F6C">
        <w:tc>
          <w:tcPr>
            <w:cnfStyle w:val="001000000000" w:firstRow="0" w:lastRow="0" w:firstColumn="1" w:lastColumn="0" w:oddVBand="0" w:evenVBand="0" w:oddHBand="0" w:evenHBand="0" w:firstRowFirstColumn="0" w:firstRowLastColumn="0" w:lastRowFirstColumn="0" w:lastRowLastColumn="0"/>
            <w:tcW w:w="0" w:type="auto"/>
            <w:hideMark/>
          </w:tcPr>
          <w:p w14:paraId="41AB5B96" w14:textId="77777777" w:rsidR="006A2DBE" w:rsidRPr="006A2DBE" w:rsidRDefault="006A2DBE" w:rsidP="00C94F6C">
            <w:pPr>
              <w:spacing w:line="276" w:lineRule="auto"/>
              <w:jc w:val="left"/>
            </w:pPr>
            <w:r w:rsidRPr="006A2DBE">
              <w:rPr>
                <w:b/>
                <w:bCs/>
              </w:rPr>
              <w:t>TIDE</w:t>
            </w:r>
          </w:p>
        </w:tc>
        <w:tc>
          <w:tcPr>
            <w:tcW w:w="0" w:type="auto"/>
            <w:hideMark/>
          </w:tcPr>
          <w:p w14:paraId="65E5686D" w14:textId="6867CF23" w:rsidR="006A2DBE" w:rsidRPr="006A2DBE" w:rsidRDefault="006A2DBE" w:rsidP="00C94F6C">
            <w:pPr>
              <w:spacing w:line="276" w:lineRule="auto"/>
              <w:jc w:val="left"/>
              <w:cnfStyle w:val="000000000000" w:firstRow="0" w:lastRow="0" w:firstColumn="0" w:lastColumn="0" w:oddVBand="0" w:evenVBand="0" w:oddHBand="0" w:evenHBand="0" w:firstRowFirstColumn="0" w:firstRowLastColumn="0" w:lastRowFirstColumn="0" w:lastRowLastColumn="0"/>
            </w:pPr>
            <w:r w:rsidRPr="006A2DBE">
              <w:t xml:space="preserve">Disfunción y Exclusión Inmunitaria Tumoral </w:t>
            </w:r>
            <w:r w:rsidR="009C22E2">
              <w:t xml:space="preserve">/ </w:t>
            </w:r>
            <w:r w:rsidRPr="006A2DBE">
              <w:rPr>
                <w:i/>
                <w:iCs/>
              </w:rPr>
              <w:t xml:space="preserve">Tumor </w:t>
            </w:r>
            <w:proofErr w:type="spellStart"/>
            <w:r w:rsidRPr="006A2DBE">
              <w:rPr>
                <w:i/>
                <w:iCs/>
              </w:rPr>
              <w:t>Immune</w:t>
            </w:r>
            <w:proofErr w:type="spellEnd"/>
            <w:r w:rsidRPr="006A2DBE">
              <w:rPr>
                <w:i/>
                <w:iCs/>
              </w:rPr>
              <w:t xml:space="preserve"> </w:t>
            </w:r>
            <w:proofErr w:type="spellStart"/>
            <w:r w:rsidRPr="006A2DBE">
              <w:rPr>
                <w:i/>
                <w:iCs/>
              </w:rPr>
              <w:t>Dysfunction</w:t>
            </w:r>
            <w:proofErr w:type="spellEnd"/>
            <w:r w:rsidRPr="006A2DBE">
              <w:rPr>
                <w:i/>
                <w:iCs/>
              </w:rPr>
              <w:t xml:space="preserve"> and </w:t>
            </w:r>
            <w:proofErr w:type="spellStart"/>
            <w:r w:rsidRPr="006A2DBE">
              <w:rPr>
                <w:i/>
                <w:iCs/>
              </w:rPr>
              <w:t>Exclusion</w:t>
            </w:r>
            <w:proofErr w:type="spellEnd"/>
          </w:p>
        </w:tc>
      </w:tr>
      <w:tr w:rsidR="006A2DBE" w:rsidRPr="006A2DBE" w14:paraId="6B6ACF2F" w14:textId="77777777" w:rsidTr="00C94F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646C2D" w14:textId="77777777" w:rsidR="006A2DBE" w:rsidRPr="006A2DBE" w:rsidRDefault="006A2DBE" w:rsidP="00C94F6C">
            <w:pPr>
              <w:spacing w:line="276" w:lineRule="auto"/>
              <w:jc w:val="left"/>
            </w:pPr>
            <w:r w:rsidRPr="006A2DBE">
              <w:rPr>
                <w:b/>
                <w:bCs/>
              </w:rPr>
              <w:t>TPM</w:t>
            </w:r>
          </w:p>
        </w:tc>
        <w:tc>
          <w:tcPr>
            <w:tcW w:w="0" w:type="auto"/>
            <w:hideMark/>
          </w:tcPr>
          <w:p w14:paraId="4496E20C" w14:textId="13E829BA" w:rsidR="006A2DBE" w:rsidRPr="006A2DBE" w:rsidRDefault="006A2DBE" w:rsidP="00C94F6C">
            <w:pPr>
              <w:spacing w:line="276" w:lineRule="auto"/>
              <w:jc w:val="left"/>
              <w:cnfStyle w:val="000000100000" w:firstRow="0" w:lastRow="0" w:firstColumn="0" w:lastColumn="0" w:oddVBand="0" w:evenVBand="0" w:oddHBand="1" w:evenHBand="0" w:firstRowFirstColumn="0" w:firstRowLastColumn="0" w:lastRowFirstColumn="0" w:lastRowLastColumn="0"/>
            </w:pPr>
            <w:r w:rsidRPr="006A2DBE">
              <w:t xml:space="preserve">Transcritos por Millón </w:t>
            </w:r>
            <w:r w:rsidR="009C22E2">
              <w:t xml:space="preserve">/ </w:t>
            </w:r>
            <w:proofErr w:type="spellStart"/>
            <w:r w:rsidRPr="006A2DBE">
              <w:rPr>
                <w:i/>
                <w:iCs/>
              </w:rPr>
              <w:t>Transcripts</w:t>
            </w:r>
            <w:proofErr w:type="spellEnd"/>
            <w:r w:rsidRPr="006A2DBE">
              <w:rPr>
                <w:i/>
                <w:iCs/>
              </w:rPr>
              <w:t xml:space="preserve"> Per Million</w:t>
            </w:r>
          </w:p>
        </w:tc>
      </w:tr>
      <w:tr w:rsidR="006A2DBE" w:rsidRPr="006A2DBE" w14:paraId="1CAC5B10" w14:textId="77777777" w:rsidTr="00C94F6C">
        <w:tc>
          <w:tcPr>
            <w:cnfStyle w:val="001000000000" w:firstRow="0" w:lastRow="0" w:firstColumn="1" w:lastColumn="0" w:oddVBand="0" w:evenVBand="0" w:oddHBand="0" w:evenHBand="0" w:firstRowFirstColumn="0" w:firstRowLastColumn="0" w:lastRowFirstColumn="0" w:lastRowLastColumn="0"/>
            <w:tcW w:w="0" w:type="auto"/>
            <w:hideMark/>
          </w:tcPr>
          <w:p w14:paraId="37E7B2C9" w14:textId="77777777" w:rsidR="006A2DBE" w:rsidRPr="006A2DBE" w:rsidRDefault="006A2DBE" w:rsidP="00C94F6C">
            <w:pPr>
              <w:spacing w:line="276" w:lineRule="auto"/>
              <w:jc w:val="left"/>
            </w:pPr>
            <w:r w:rsidRPr="006A2DBE">
              <w:rPr>
                <w:b/>
                <w:bCs/>
              </w:rPr>
              <w:t>UUID</w:t>
            </w:r>
          </w:p>
        </w:tc>
        <w:tc>
          <w:tcPr>
            <w:tcW w:w="0" w:type="auto"/>
            <w:hideMark/>
          </w:tcPr>
          <w:p w14:paraId="4EC2A7CE" w14:textId="4986AE32" w:rsidR="006A2DBE" w:rsidRPr="006A2DBE" w:rsidRDefault="006A2DBE" w:rsidP="00C94F6C">
            <w:pPr>
              <w:spacing w:line="276" w:lineRule="auto"/>
              <w:jc w:val="left"/>
              <w:cnfStyle w:val="000000000000" w:firstRow="0" w:lastRow="0" w:firstColumn="0" w:lastColumn="0" w:oddVBand="0" w:evenVBand="0" w:oddHBand="0" w:evenHBand="0" w:firstRowFirstColumn="0" w:firstRowLastColumn="0" w:lastRowFirstColumn="0" w:lastRowLastColumn="0"/>
            </w:pPr>
            <w:r w:rsidRPr="006A2DBE">
              <w:t xml:space="preserve">Identificador Único Universal </w:t>
            </w:r>
            <w:r w:rsidR="009C22E2">
              <w:t xml:space="preserve">/ </w:t>
            </w:r>
            <w:proofErr w:type="spellStart"/>
            <w:r w:rsidRPr="006A2DBE">
              <w:rPr>
                <w:i/>
                <w:iCs/>
              </w:rPr>
              <w:t>Universally</w:t>
            </w:r>
            <w:proofErr w:type="spellEnd"/>
            <w:r w:rsidRPr="006A2DBE">
              <w:rPr>
                <w:i/>
                <w:iCs/>
              </w:rPr>
              <w:t xml:space="preserve"> Unique </w:t>
            </w:r>
            <w:proofErr w:type="spellStart"/>
            <w:r w:rsidRPr="006A2DBE">
              <w:rPr>
                <w:i/>
                <w:iCs/>
              </w:rPr>
              <w:t>Identifier</w:t>
            </w:r>
            <w:proofErr w:type="spellEnd"/>
          </w:p>
        </w:tc>
      </w:tr>
      <w:tr w:rsidR="006A2DBE" w:rsidRPr="006A2DBE" w14:paraId="5BB94EA9" w14:textId="77777777" w:rsidTr="00C94F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2E2465" w14:textId="77777777" w:rsidR="006A2DBE" w:rsidRPr="006A2DBE" w:rsidRDefault="006A2DBE" w:rsidP="00C94F6C">
            <w:pPr>
              <w:spacing w:line="276" w:lineRule="auto"/>
              <w:jc w:val="left"/>
            </w:pPr>
            <w:proofErr w:type="spellStart"/>
            <w:r w:rsidRPr="006A2DBE">
              <w:rPr>
                <w:b/>
                <w:bCs/>
              </w:rPr>
              <w:t>vst</w:t>
            </w:r>
            <w:proofErr w:type="spellEnd"/>
          </w:p>
        </w:tc>
        <w:tc>
          <w:tcPr>
            <w:tcW w:w="0" w:type="auto"/>
            <w:hideMark/>
          </w:tcPr>
          <w:p w14:paraId="5436F747" w14:textId="52348A78" w:rsidR="006A2DBE" w:rsidRPr="006A2DBE" w:rsidRDefault="006A2DBE" w:rsidP="00C94F6C">
            <w:pPr>
              <w:spacing w:line="276" w:lineRule="auto"/>
              <w:jc w:val="left"/>
              <w:cnfStyle w:val="000000100000" w:firstRow="0" w:lastRow="0" w:firstColumn="0" w:lastColumn="0" w:oddVBand="0" w:evenVBand="0" w:oddHBand="1" w:evenHBand="0" w:firstRowFirstColumn="0" w:firstRowLastColumn="0" w:lastRowFirstColumn="0" w:lastRowLastColumn="0"/>
            </w:pPr>
            <w:r w:rsidRPr="006A2DBE">
              <w:t xml:space="preserve">Transformación para la Estabilización de la Varianza </w:t>
            </w:r>
            <w:r w:rsidR="009C22E2">
              <w:t xml:space="preserve">/ </w:t>
            </w:r>
            <w:proofErr w:type="spellStart"/>
            <w:r w:rsidRPr="006A2DBE">
              <w:rPr>
                <w:i/>
                <w:iCs/>
              </w:rPr>
              <w:t>Variance</w:t>
            </w:r>
            <w:proofErr w:type="spellEnd"/>
            <w:r w:rsidRPr="006A2DBE">
              <w:rPr>
                <w:i/>
                <w:iCs/>
              </w:rPr>
              <w:t xml:space="preserve"> </w:t>
            </w:r>
            <w:proofErr w:type="spellStart"/>
            <w:r w:rsidRPr="006A2DBE">
              <w:rPr>
                <w:i/>
                <w:iCs/>
              </w:rPr>
              <w:t>Stabilizing</w:t>
            </w:r>
            <w:proofErr w:type="spellEnd"/>
            <w:r w:rsidRPr="006A2DBE">
              <w:rPr>
                <w:i/>
                <w:iCs/>
              </w:rPr>
              <w:t xml:space="preserve"> </w:t>
            </w:r>
            <w:proofErr w:type="spellStart"/>
            <w:r w:rsidRPr="006A2DBE">
              <w:rPr>
                <w:i/>
                <w:iCs/>
              </w:rPr>
              <w:t>Transformation</w:t>
            </w:r>
            <w:proofErr w:type="spellEnd"/>
          </w:p>
        </w:tc>
      </w:tr>
    </w:tbl>
    <w:p w14:paraId="55FF583B" w14:textId="77777777" w:rsidR="006A2DBE" w:rsidRDefault="006A2DBE" w:rsidP="006A2DBE"/>
    <w:p w14:paraId="730CF473" w14:textId="7F33E6C8" w:rsidR="00C84740" w:rsidRPr="000D09A0" w:rsidRDefault="00A976F0" w:rsidP="00381CA1">
      <w:pPr>
        <w:pStyle w:val="Ttulo1"/>
      </w:pPr>
      <w:r w:rsidRPr="00727AE8">
        <w:br w:type="page"/>
      </w:r>
      <w:bookmarkStart w:id="1" w:name="_Toc239417029"/>
      <w:r w:rsidR="00381CA1" w:rsidRPr="001B665F">
        <w:rPr>
          <w:caps w:val="0"/>
        </w:rPr>
        <w:lastRenderedPageBreak/>
        <w:t>Introducción</w:t>
      </w:r>
      <w:bookmarkEnd w:id="1"/>
    </w:p>
    <w:p w14:paraId="6250AB6B" w14:textId="77777777" w:rsidR="00124F61" w:rsidRDefault="00124F61" w:rsidP="00124F61">
      <w:pPr>
        <w:pStyle w:val="Ttulo2"/>
        <w:rPr>
          <w:caps w:val="0"/>
        </w:rPr>
      </w:pPr>
      <w:bookmarkStart w:id="2" w:name="_Toc239417030"/>
      <w:r>
        <w:rPr>
          <w:caps w:val="0"/>
        </w:rPr>
        <w:t>Planteamiento del Problema</w:t>
      </w:r>
      <w:bookmarkEnd w:id="2"/>
    </w:p>
    <w:p w14:paraId="0159FEC5" w14:textId="0AEF1011" w:rsidR="00997E93" w:rsidRDefault="00997E93" w:rsidP="00997E93">
      <w:r w:rsidRPr="00997E93">
        <w:t xml:space="preserve">El adenocarcinoma colorrectal (CRC) constituye uno de los mayores desafíos de la salud pública </w:t>
      </w:r>
      <w:r w:rsidR="001E1F0B">
        <w:t>actual</w:t>
      </w:r>
      <w:r w:rsidRPr="00997E93">
        <w:t xml:space="preserve"> debido a su elevada incidencia y mortalidad tanto a nivel mundial como nacional. Sin embargo, la caracterización clínica </w:t>
      </w:r>
      <w:r w:rsidR="0014379E" w:rsidRPr="0014379E">
        <w:t>e histopatológica</w:t>
      </w:r>
      <w:r w:rsidR="0014379E">
        <w:t xml:space="preserve"> </w:t>
      </w:r>
      <w:r w:rsidRPr="00997E93">
        <w:t xml:space="preserve">tradicional de este tumor simplifica una realidad biológica sumamente compleja. El cáncer colorrectal es una patología de marcada heterogeneidad </w:t>
      </w:r>
      <w:proofErr w:type="spellStart"/>
      <w:r w:rsidRPr="00997E93">
        <w:t>intertumoral</w:t>
      </w:r>
      <w:proofErr w:type="spellEnd"/>
      <w:r w:rsidRPr="00997E93">
        <w:t>, impulsada por la acumulación progresiva de alteraciones genéticas y epigenéticas que varían sustancialmente entre pacientes. Esta elevada variabilidad dificulta la identificación de biomarcadores robustos que posean una validez clínica universal.</w:t>
      </w:r>
    </w:p>
    <w:p w14:paraId="4AFCCC4B" w14:textId="02606BF4" w:rsidR="001A75C7" w:rsidRDefault="001A75C7" w:rsidP="001A75C7">
      <w:r w:rsidRPr="001A75C7">
        <w:t xml:space="preserve">Para abordar esta diversidad biológica, la medicina de precisión ha impulsado clasificaciones basadas en perfiles transcriptómicos, entre las que destacan los Subtipos Moleculares de Consenso (CMS). No obstante, aunque la estratificación en subtipos ayuda a comprender la heterogeneidad entre tumores, persiste la necesidad de identificar una firma molecular consenso que sea unánime y transversal a todas las variantes del </w:t>
      </w:r>
      <w:r>
        <w:t>CRC</w:t>
      </w:r>
      <w:r w:rsidRPr="001A75C7">
        <w:t>. Delimitar este núcleo común resulta imprescindible para definir los mecanismos biológicos universales que sustentan la oncogénesis en el epitelio intestinal, independientemente</w:t>
      </w:r>
      <w:r w:rsidR="00BC7D44">
        <w:t xml:space="preserve"> de</w:t>
      </w:r>
      <w:r w:rsidRPr="001A75C7">
        <w:t xml:space="preserve"> </w:t>
      </w:r>
      <w:r w:rsidR="0096051A" w:rsidRPr="0096051A">
        <w:t>la subclasificación de los pacientes</w:t>
      </w:r>
      <w:r w:rsidRPr="001A75C7">
        <w:t xml:space="preserve">. </w:t>
      </w:r>
    </w:p>
    <w:p w14:paraId="1FCA7C77" w14:textId="666B25F4" w:rsidR="00191BAD" w:rsidRDefault="00191BAD" w:rsidP="00191BAD">
      <w:r w:rsidRPr="00191BAD">
        <w:t>En este escenario, la expansión de la secuenciación masiva de ARN y la consolidación de repositorios de dominio público han puesto a disposición de la comunidad científica un volumen masivo de datos transcriptómicos. Sin embargo, est</w:t>
      </w:r>
      <w:r w:rsidR="00541116">
        <w:t xml:space="preserve">a </w:t>
      </w:r>
      <w:r w:rsidRPr="00191BAD">
        <w:t xml:space="preserve">información se analiza habitualmente en cohortes aisladas o procedentes de un único centro. Esta aproximación limita la validez externa de los </w:t>
      </w:r>
      <w:r>
        <w:t>hallazgos obtenidos</w:t>
      </w:r>
      <w:r w:rsidRPr="00191BAD">
        <w:t>. Al trabajar con un solo dataset, los resultados quedan expuestos a sesgos derivados del tamaño muestral, las características de las muestras o las diferencias técnicas de cada experimento.</w:t>
      </w:r>
    </w:p>
    <w:p w14:paraId="170169E7" w14:textId="362A35CB" w:rsidR="00997E93" w:rsidRDefault="00191BAD" w:rsidP="00997E93">
      <w:r w:rsidRPr="00191BAD">
        <w:t xml:space="preserve">Frente a esta limitación, la integración de múltiples cohortes mediante </w:t>
      </w:r>
      <w:proofErr w:type="gramStart"/>
      <w:r w:rsidRPr="00191BAD">
        <w:t>meta-análisis</w:t>
      </w:r>
      <w:proofErr w:type="gramEnd"/>
      <w:r w:rsidRPr="00191BAD">
        <w:t xml:space="preserve"> </w:t>
      </w:r>
      <w:r w:rsidR="008E060F" w:rsidRPr="008E060F">
        <w:t>facilita la identificación</w:t>
      </w:r>
      <w:r w:rsidR="008E060F">
        <w:t xml:space="preserve"> de </w:t>
      </w:r>
      <w:r w:rsidRPr="00191BAD">
        <w:t xml:space="preserve">alteraciones moleculares transversales. Aunque este enfoque implica mayor complejidad metodológica por la heterogeneidad entre plataformas y el ruido técnico, sus ventajas son </w:t>
      </w:r>
      <w:r w:rsidR="001E1F0B">
        <w:t>considerables</w:t>
      </w:r>
      <w:r w:rsidRPr="00191BAD">
        <w:t xml:space="preserve">. </w:t>
      </w:r>
      <w:r w:rsidR="008E060F" w:rsidRPr="008E060F">
        <w:t xml:space="preserve">Esta estrategia permite filtrar los sesgos de cada estudio y obtener una firma consenso sólida y reproducible. Ahora bien, el reto principal radica en </w:t>
      </w:r>
      <w:r w:rsidR="008E060F" w:rsidRPr="008E060F">
        <w:lastRenderedPageBreak/>
        <w:t>ejecutar dicha integración sin distorsionar la señal biológica real. En este sentido, la gestión del efecto de lote (</w:t>
      </w:r>
      <w:proofErr w:type="spellStart"/>
      <w:r w:rsidR="008E060F" w:rsidRPr="008E060F">
        <w:rPr>
          <w:i/>
          <w:iCs/>
        </w:rPr>
        <w:t>batch</w:t>
      </w:r>
      <w:proofErr w:type="spellEnd"/>
      <w:r w:rsidR="008E060F" w:rsidRPr="008E060F">
        <w:rPr>
          <w:i/>
          <w:iCs/>
        </w:rPr>
        <w:t xml:space="preserve"> </w:t>
      </w:r>
      <w:proofErr w:type="spellStart"/>
      <w:r w:rsidR="008E060F" w:rsidRPr="008E060F">
        <w:rPr>
          <w:i/>
          <w:iCs/>
        </w:rPr>
        <w:t>effect</w:t>
      </w:r>
      <w:proofErr w:type="spellEnd"/>
      <w:r w:rsidR="008E060F" w:rsidRPr="008E060F">
        <w:t>) constituye un desafío crítico, que exige diseñar estrategias analíticas capaces de mitigar el ruido técnico sin comprometer la varianza biológica original de cada cohorte</w:t>
      </w:r>
      <w:r w:rsidR="00356901" w:rsidRPr="00356901">
        <w:t>.</w:t>
      </w:r>
    </w:p>
    <w:p w14:paraId="51D9390F" w14:textId="6D26E1FD" w:rsidR="000044B5" w:rsidRPr="000044B5" w:rsidRDefault="004A2304" w:rsidP="000044B5">
      <w:r w:rsidRPr="004A2304">
        <w:t xml:space="preserve">En consecuencia, existe </w:t>
      </w:r>
      <w:r>
        <w:t>la</w:t>
      </w:r>
      <w:r w:rsidRPr="004A2304">
        <w:t xml:space="preserve"> necesidad de resolver la ausencia de un consenso transcriptómico para</w:t>
      </w:r>
      <w:r>
        <w:t xml:space="preserve"> </w:t>
      </w:r>
      <w:r w:rsidRPr="004A2304">
        <w:t xml:space="preserve">avanzar hacia una comprensión global y sin sesgos del cáncer colorrectal. Superar las barreras impuestas por la variabilidad técnica y la falta de reproducibilidad entre estudios resulta fundamental para transformar </w:t>
      </w:r>
      <w:r>
        <w:t>el</w:t>
      </w:r>
      <w:r w:rsidRPr="004A2304">
        <w:t xml:space="preserve"> enorme </w:t>
      </w:r>
      <w:r>
        <w:t>volumen</w:t>
      </w:r>
      <w:r w:rsidRPr="004A2304">
        <w:t xml:space="preserve"> de datos </w:t>
      </w:r>
      <w:r w:rsidR="00555E36">
        <w:t xml:space="preserve">procedentes </w:t>
      </w:r>
      <w:r w:rsidRPr="004A2304">
        <w:t xml:space="preserve">de </w:t>
      </w:r>
      <w:r w:rsidR="00555E36" w:rsidRPr="001724F1">
        <w:t>secuenciación masiva de ARN (</w:t>
      </w:r>
      <w:proofErr w:type="spellStart"/>
      <w:r w:rsidR="00555E36" w:rsidRPr="001724F1">
        <w:rPr>
          <w:i/>
          <w:iCs/>
        </w:rPr>
        <w:t>bulk</w:t>
      </w:r>
      <w:proofErr w:type="spellEnd"/>
      <w:r w:rsidR="00555E36" w:rsidRPr="001724F1">
        <w:rPr>
          <w:i/>
          <w:iCs/>
        </w:rPr>
        <w:t xml:space="preserve"> RNA-</w:t>
      </w:r>
      <w:proofErr w:type="spellStart"/>
      <w:r w:rsidR="00555E36" w:rsidRPr="001724F1">
        <w:rPr>
          <w:i/>
          <w:iCs/>
        </w:rPr>
        <w:t>seq</w:t>
      </w:r>
      <w:proofErr w:type="spellEnd"/>
      <w:r w:rsidR="00555E36" w:rsidRPr="001724F1">
        <w:t>)</w:t>
      </w:r>
      <w:r w:rsidRPr="004A2304">
        <w:t xml:space="preserve"> de dominio público en conocimiento biológico aplicable. </w:t>
      </w:r>
      <w:r w:rsidR="008E060F">
        <w:t>M</w:t>
      </w:r>
      <w:r w:rsidRPr="004A2304">
        <w:t xml:space="preserve">ediante la delimitación de una firma molecular </w:t>
      </w:r>
      <w:r>
        <w:t>universal</w:t>
      </w:r>
      <w:r w:rsidRPr="004A2304">
        <w:t xml:space="preserve"> será posible sentar las bases para la identificación de biomarcadores fiables con potencial diagnóstico y terapéutico. De este modo, abordar esta problemática no solo constituye un reto bioinformático, sino</w:t>
      </w:r>
      <w:r w:rsidR="00DD1996">
        <w:t xml:space="preserve"> también</w:t>
      </w:r>
      <w:r w:rsidRPr="004A2304">
        <w:t xml:space="preserve"> un requisito indispensable para que los hallazgos traslacionales tengan un impacto real en la oncología de precisión. </w:t>
      </w:r>
    </w:p>
    <w:p w14:paraId="0026EA99" w14:textId="3A5C41C2" w:rsidR="00F3241D" w:rsidRDefault="00124F61" w:rsidP="00F3241D">
      <w:pPr>
        <w:pStyle w:val="Ttulo2"/>
        <w:rPr>
          <w:caps w:val="0"/>
        </w:rPr>
      </w:pPr>
      <w:bookmarkStart w:id="3" w:name="_Toc239417031"/>
      <w:r>
        <w:rPr>
          <w:caps w:val="0"/>
        </w:rPr>
        <w:t>Justificación</w:t>
      </w:r>
      <w:bookmarkEnd w:id="3"/>
    </w:p>
    <w:p w14:paraId="712EF07D" w14:textId="3D083400" w:rsidR="003861B8" w:rsidRPr="00362147" w:rsidRDefault="003861B8" w:rsidP="003861B8">
      <w:r w:rsidRPr="00362147">
        <w:t>La realización de este trabajo se justifica por la necesidad de delimitar un núcleo molecular universal en el CRC que trascienda su elevada heterogeneidad clínica y transcriptómica. Aunque las clasificaciones moleculares actuales (como los CMS) han avanzado en la estratificación tumoral, no identifican los eventos alterados de manera unánime en la totalidad de los tumores. Determinar una firma consenso transversal permite aislar las rutas oncogénicas involucradas en el mantenimiento del fenotipo maligno en el epitelio intestinal. Esta caracterización proporciona un conjunto de biomarcadores candidatos con alta validez externa, minimizando el riesgo de seleccionar genes cuya alteración dependa de un subtipo o de una cohorte concreta.</w:t>
      </w:r>
    </w:p>
    <w:p w14:paraId="4ED6DA6D" w14:textId="399AB114" w:rsidR="00E333A5" w:rsidRPr="00362147" w:rsidRDefault="00E333A5" w:rsidP="00E333A5">
      <w:r w:rsidRPr="00362147">
        <w:t xml:space="preserve">Asimismo, el enfoque transcriptómico centrado en la secuenciación </w:t>
      </w:r>
      <w:proofErr w:type="spellStart"/>
      <w:r w:rsidRPr="00362147">
        <w:rPr>
          <w:i/>
          <w:iCs/>
        </w:rPr>
        <w:t>bulk</w:t>
      </w:r>
      <w:proofErr w:type="spellEnd"/>
      <w:r w:rsidRPr="00362147">
        <w:rPr>
          <w:i/>
          <w:iCs/>
        </w:rPr>
        <w:t xml:space="preserve"> RNA-</w:t>
      </w:r>
      <w:proofErr w:type="spellStart"/>
      <w:r w:rsidRPr="00362147">
        <w:rPr>
          <w:i/>
          <w:iCs/>
        </w:rPr>
        <w:t>seq</w:t>
      </w:r>
      <w:proofErr w:type="spellEnd"/>
      <w:r w:rsidRPr="00362147">
        <w:t xml:space="preserve"> ofrece una visión cuantitativa del estado funcional de la célula tumoral y de su microambiente. Mientras que el análisis genómico de variantes no siempre se traduce en un cambio homogéneo en la expresión génica, el transcriptoma refleja de forma</w:t>
      </w:r>
      <w:r w:rsidR="004C2687" w:rsidRPr="00362147">
        <w:t xml:space="preserve"> casi</w:t>
      </w:r>
      <w:r w:rsidRPr="00362147">
        <w:t xml:space="preserve"> directa el perfil metabólico y proliferativo del tejido. La cuantificación global del ARN permite detectar tanto la activación de vías oncogénicas como la pérdida de funciones epiteliales diferenciadas mediante el </w:t>
      </w:r>
      <w:r w:rsidRPr="00362147">
        <w:lastRenderedPageBreak/>
        <w:t>estudio de los ejes de represión y sobreexpresión. Por ello, el análisis</w:t>
      </w:r>
      <w:r w:rsidR="00F570B1">
        <w:t xml:space="preserve"> de expresión</w:t>
      </w:r>
      <w:r w:rsidRPr="00362147">
        <w:t xml:space="preserve"> diferencial constituye la aproximación más adecuada para identificar dianas funcionales y marcadores de progresión.</w:t>
      </w:r>
    </w:p>
    <w:p w14:paraId="22BEC1F3" w14:textId="32DE30A9" w:rsidR="00A1426D" w:rsidRPr="00362147" w:rsidRDefault="006B03EB" w:rsidP="00A52D1F">
      <w:r w:rsidRPr="006B03EB">
        <w:t xml:space="preserve">Por último, la estrategia bioinformática empleada se justifica por su capacidad para priorizar la especificidad en la selección de biomarcadores. Para evitar las distorsiones que introduce el efecto lote al fusionar datos directamente, este trabajo propone el modelado independiente de cada cohorte. De este modo, la intersección </w:t>
      </w:r>
      <w:proofErr w:type="spellStart"/>
      <w:r w:rsidRPr="006B03EB">
        <w:t>multicohorte</w:t>
      </w:r>
      <w:proofErr w:type="spellEnd"/>
      <w:r w:rsidRPr="006B03EB">
        <w:t xml:space="preserve"> actúa como un filtro estricto que reduce drásticamente la presencia de falsos positivos, asegurando que solo se seleccionen aquellos genes con una alteración verdaderamente robusta</w:t>
      </w:r>
      <w:r w:rsidR="00A1426D" w:rsidRPr="006B03EB">
        <w:t xml:space="preserve">. Asimismo, este trabajo </w:t>
      </w:r>
      <w:r w:rsidR="00362147" w:rsidRPr="006B03EB">
        <w:t>pone en valor la reutilización eficiente de datos de dominio público, optimizando recursos existentes bajo los principios de ciencia abierta</w:t>
      </w:r>
      <w:r w:rsidR="00A1426D" w:rsidRPr="00362147">
        <w:t xml:space="preserve">. </w:t>
      </w:r>
      <w:r w:rsidR="00362147" w:rsidRPr="00362147">
        <w:t>Por otro lado, la implementación de un flujo de trabajo computacional estandarizado garantiza un análisis transparente y reproducible. Esto asegura la trazabilidad del procesamiento de datos y la solidez de los resultados obtenidos en este estudio.</w:t>
      </w:r>
    </w:p>
    <w:p w14:paraId="5395641B" w14:textId="57A7A439" w:rsidR="00F3241D" w:rsidRDefault="00F3241D" w:rsidP="00F3241D">
      <w:pPr>
        <w:pStyle w:val="Ttulo2"/>
        <w:rPr>
          <w:caps w:val="0"/>
        </w:rPr>
      </w:pPr>
      <w:bookmarkStart w:id="4" w:name="_Toc239417032"/>
      <w:r>
        <w:rPr>
          <w:caps w:val="0"/>
        </w:rPr>
        <w:t>Objetivos del Estudio</w:t>
      </w:r>
      <w:bookmarkEnd w:id="4"/>
    </w:p>
    <w:p w14:paraId="0893E796" w14:textId="432B0C0D" w:rsidR="00693159" w:rsidRDefault="00693159" w:rsidP="00693159">
      <w:r w:rsidRPr="00693159">
        <w:t xml:space="preserve">El propósito central de esta investigación radica en la caracterización del perfil transcriptómico del </w:t>
      </w:r>
      <w:r w:rsidR="006B03EB">
        <w:t>CRC</w:t>
      </w:r>
      <w:r w:rsidRPr="00693159">
        <w:t xml:space="preserve"> mediante el uso de herramientas bioinformáticas avanzadas. A través de la integración de datos </w:t>
      </w:r>
      <w:r w:rsidR="008E5441">
        <w:t>transcript</w:t>
      </w:r>
      <w:r w:rsidRPr="00693159">
        <w:t xml:space="preserve">ómicos de gran escala y la aplicación de flujos de trabajo estandarizados, se pretende identificar y validar una firma molecular </w:t>
      </w:r>
      <w:r w:rsidR="004B1E4E">
        <w:t>rigurosa</w:t>
      </w:r>
      <w:r w:rsidRPr="00693159">
        <w:t xml:space="preserve"> que permita diferenciar el tejido tumoral del tejido sano. Para alcanzar esta meta, se establece el siguiente objetivo general y se desglosan los objetivos específicos que guiarán el desarrollo del estudio:</w:t>
      </w:r>
    </w:p>
    <w:p w14:paraId="2B477D89" w14:textId="77777777" w:rsidR="00693159" w:rsidRPr="00693159" w:rsidRDefault="00F3241D" w:rsidP="00693159">
      <w:r w:rsidRPr="00693159">
        <w:rPr>
          <w:u w:val="single"/>
        </w:rPr>
        <w:t>Objetivo General</w:t>
      </w:r>
      <w:r w:rsidRPr="00693159">
        <w:t>:</w:t>
      </w:r>
    </w:p>
    <w:p w14:paraId="3510B7DD" w14:textId="5F263EE2" w:rsidR="00693159" w:rsidRPr="006B03EB" w:rsidRDefault="006B03EB">
      <w:pPr>
        <w:pStyle w:val="Prrafodelista"/>
        <w:numPr>
          <w:ilvl w:val="0"/>
          <w:numId w:val="8"/>
        </w:numPr>
      </w:pPr>
      <w:r w:rsidRPr="006B03EB">
        <w:t>Caracterizar el perfil transcriptómico transversal del adenocarcinoma colorrectal mediante la integración bioinformática de datos de secuenciación masiva de ARN</w:t>
      </w:r>
      <w:r>
        <w:t xml:space="preserve"> </w:t>
      </w:r>
      <w:r w:rsidRPr="006B03EB">
        <w:t>de dominio público, con el fin de delimitar una firma molecular consenso robusta y reproducible que identifique potenciales biomarcadores candidatos con relevancia traslacional.</w:t>
      </w:r>
    </w:p>
    <w:p w14:paraId="1D81D3D4" w14:textId="77777777" w:rsidR="006B03EB" w:rsidRDefault="006B03EB">
      <w:pPr>
        <w:spacing w:before="0" w:after="0" w:line="240" w:lineRule="auto"/>
        <w:jc w:val="left"/>
        <w:rPr>
          <w:u w:val="single"/>
        </w:rPr>
      </w:pPr>
      <w:r>
        <w:rPr>
          <w:u w:val="single"/>
        </w:rPr>
        <w:br w:type="page"/>
      </w:r>
    </w:p>
    <w:p w14:paraId="660ABBE8" w14:textId="5947407D" w:rsidR="00F3241D" w:rsidRPr="00693159" w:rsidRDefault="00F3241D" w:rsidP="00693159">
      <w:r w:rsidRPr="00693159">
        <w:rPr>
          <w:u w:val="single"/>
        </w:rPr>
        <w:lastRenderedPageBreak/>
        <w:t>Objetivos Específicos</w:t>
      </w:r>
      <w:r w:rsidRPr="00693159">
        <w:t>:</w:t>
      </w:r>
    </w:p>
    <w:p w14:paraId="7F8D28EE" w14:textId="621349E5" w:rsidR="00693159" w:rsidRPr="00555E36" w:rsidRDefault="00555E36">
      <w:pPr>
        <w:numPr>
          <w:ilvl w:val="0"/>
          <w:numId w:val="7"/>
        </w:numPr>
      </w:pPr>
      <w:r w:rsidRPr="00555E36">
        <w:t>Diseñar e implementar un flujo de trabajo bioinformático estandarizado</w:t>
      </w:r>
      <w:r>
        <w:rPr>
          <w:b/>
          <w:bCs/>
        </w:rPr>
        <w:t xml:space="preserve"> </w:t>
      </w:r>
      <w:r w:rsidR="00693159" w:rsidRPr="00693159">
        <w:t xml:space="preserve">en el entorno estadístico R, utilizando el paquete </w:t>
      </w:r>
      <w:r w:rsidR="00693159" w:rsidRPr="001724F1">
        <w:rPr>
          <w:i/>
          <w:iCs/>
        </w:rPr>
        <w:t>DESeq2</w:t>
      </w:r>
      <w:r w:rsidR="00693159" w:rsidRPr="00693159">
        <w:t xml:space="preserve"> para el procesamiento, normalización </w:t>
      </w:r>
      <w:r w:rsidR="001724F1" w:rsidRPr="001724F1">
        <w:t xml:space="preserve">y análisis </w:t>
      </w:r>
      <w:r w:rsidR="001724F1" w:rsidRPr="00555E36">
        <w:t xml:space="preserve">estadístico de datos procedentes de secuenciación masiva </w:t>
      </w:r>
      <w:proofErr w:type="spellStart"/>
      <w:r w:rsidR="001724F1" w:rsidRPr="00555E36">
        <w:rPr>
          <w:i/>
          <w:iCs/>
        </w:rPr>
        <w:t>bulk</w:t>
      </w:r>
      <w:proofErr w:type="spellEnd"/>
      <w:r w:rsidR="001724F1" w:rsidRPr="00555E36">
        <w:rPr>
          <w:i/>
          <w:iCs/>
        </w:rPr>
        <w:t xml:space="preserve"> RNA-</w:t>
      </w:r>
      <w:proofErr w:type="spellStart"/>
      <w:r w:rsidR="001724F1" w:rsidRPr="00555E36">
        <w:rPr>
          <w:i/>
          <w:iCs/>
        </w:rPr>
        <w:t>seq</w:t>
      </w:r>
      <w:proofErr w:type="spellEnd"/>
      <w:r w:rsidR="00693159" w:rsidRPr="00555E36">
        <w:t>.</w:t>
      </w:r>
    </w:p>
    <w:p w14:paraId="53CFE56B" w14:textId="7CB44C14" w:rsidR="00693159" w:rsidRPr="00555E36" w:rsidRDefault="00555E36">
      <w:pPr>
        <w:numPr>
          <w:ilvl w:val="0"/>
          <w:numId w:val="7"/>
        </w:numPr>
      </w:pPr>
      <w:r w:rsidRPr="00555E36">
        <w:t>Identificar de manera individualizada los genes diferencialmente expresados (DEGs) en cada cohorte de estudio, bajo criterios estadísticos rigurosos y umbrales de relevancia biológica ajustados</w:t>
      </w:r>
      <w:r w:rsidR="00693159" w:rsidRPr="00555E36">
        <w:t>.</w:t>
      </w:r>
    </w:p>
    <w:p w14:paraId="5108627B" w14:textId="3D3486C3" w:rsidR="00555E36" w:rsidRPr="00555E36" w:rsidRDefault="00555E36" w:rsidP="00555E36">
      <w:pPr>
        <w:numPr>
          <w:ilvl w:val="0"/>
          <w:numId w:val="7"/>
        </w:numPr>
      </w:pPr>
      <w:r w:rsidRPr="00555E36">
        <w:t xml:space="preserve">Delimitar la firma génica consenso del adenocarcinoma colorrectal mediante una estrategia de intersección </w:t>
      </w:r>
      <w:proofErr w:type="spellStart"/>
      <w:r w:rsidRPr="00555E36">
        <w:t>multicohorte</w:t>
      </w:r>
      <w:proofErr w:type="spellEnd"/>
      <w:r w:rsidRPr="00555E36">
        <w:t xml:space="preserve"> estricta, con el fin de filtrar el efecto lote y aislar las alteraciones transcriptómicas transversales.</w:t>
      </w:r>
    </w:p>
    <w:p w14:paraId="3CBAD293" w14:textId="494A629E" w:rsidR="00693159" w:rsidRPr="00555E36" w:rsidRDefault="00555E36">
      <w:pPr>
        <w:numPr>
          <w:ilvl w:val="0"/>
          <w:numId w:val="7"/>
        </w:numPr>
      </w:pPr>
      <w:r w:rsidRPr="00555E36">
        <w:t>Caracterizar funcionalmente la firma consenso mediante análisis de enriquecimiento de Ontología Génica (GO) y rutas biológicas (KEGG) para interpretar los mecanismos moleculares clave (ejes de activación y represión) desregulados en el tejido tumoral</w:t>
      </w:r>
      <w:r w:rsidR="00693159" w:rsidRPr="00555E36">
        <w:t>.</w:t>
      </w:r>
    </w:p>
    <w:p w14:paraId="13117768" w14:textId="77777777" w:rsidR="00C47481" w:rsidRDefault="00C47481">
      <w:pPr>
        <w:spacing w:before="0" w:after="0" w:line="240" w:lineRule="auto"/>
        <w:jc w:val="left"/>
      </w:pPr>
      <w:r>
        <w:br w:type="page"/>
      </w:r>
    </w:p>
    <w:p w14:paraId="60808182" w14:textId="55D5D2B6" w:rsidR="00F3241D" w:rsidRPr="000D09A0" w:rsidRDefault="00F3241D" w:rsidP="00F3241D">
      <w:pPr>
        <w:pStyle w:val="Ttulo1"/>
      </w:pPr>
      <w:bookmarkStart w:id="5" w:name="_Toc239417033"/>
      <w:r>
        <w:rPr>
          <w:caps w:val="0"/>
        </w:rPr>
        <w:lastRenderedPageBreak/>
        <w:t>Marco teórico</w:t>
      </w:r>
      <w:bookmarkEnd w:id="5"/>
    </w:p>
    <w:p w14:paraId="2C0FD14A" w14:textId="77777777" w:rsidR="00F3241D" w:rsidRDefault="00F3241D" w:rsidP="00F3241D">
      <w:pPr>
        <w:pStyle w:val="Ttulo2"/>
        <w:rPr>
          <w:caps w:val="0"/>
        </w:rPr>
      </w:pPr>
      <w:bookmarkStart w:id="6" w:name="_Toc239417034"/>
      <w:r>
        <w:rPr>
          <w:caps w:val="0"/>
        </w:rPr>
        <w:t>El Adenocarcinoma Colorrectal (CRC)</w:t>
      </w:r>
      <w:bookmarkEnd w:id="6"/>
    </w:p>
    <w:p w14:paraId="54B6EDA1" w14:textId="6508477B" w:rsidR="00416F2B" w:rsidRDefault="00FE07F0" w:rsidP="00416F2B">
      <w:r w:rsidRPr="00FE07F0">
        <w:t>El</w:t>
      </w:r>
      <w:r w:rsidR="00F570B1">
        <w:t xml:space="preserve"> </w:t>
      </w:r>
      <w:r w:rsidRPr="00FE07F0">
        <w:t xml:space="preserve">CRC representa un desafío de primer orden para la salud debido a su elevada incidencia y mortalidad. </w:t>
      </w:r>
      <w:r w:rsidR="00FA2090">
        <w:t>De acuerdo con</w:t>
      </w:r>
      <w:r w:rsidRPr="00FE07F0">
        <w:t xml:space="preserve"> las estimaciones más recientes del proyecto GLOBOCAN</w:t>
      </w:r>
      <w:r>
        <w:fldChar w:fldCharType="begin"/>
      </w:r>
      <w:r>
        <w:instrText xml:space="preserve"> ADDIN ZOTERO_ITEM CSL_CITATION {"citationID":"yuU3R4M3","properties":{"unsorted":false,"formattedCitation":"(1)","plainCitation":"(1)","noteIndex":0},"citationItems":[{"id":17,"uris":["http://zotero.org/users/local/sechomLT/items/6Y52Z7JV"],"itemData":{"id":17,"type":"article-journal","abstract":"This article presents global cancer statistics by world region for the year 2022 based on updated estimates from the International Agency for Research on Cancer (IARC). There were close to 20 million new cases of cancer in the year 2022 (including nonmelanoma skin cancers [NMSCs]) alongside 9.7 million deaths from cancer (including NMSC). The estimates suggest that approximately one in five men or women develop cancer in a lifetime, whereas around one in nine men and one in 12 women die from it. Lung cancer was the most frequently diagnosed cancer in 2022, responsible for almost 2.5 million new cases, or one in eight cancers worldwide (12.4% of all cancers globally), followed by cancers of the female breast (11.6%), colorectum (9.6%), prostate (7.3%), and stomach (4.9%). Lung cancer was also the leading cause of cancer death, with an estimated 1.8 million deaths (18.7%), followed by colorectal (9.3%), liver (7.8%), female breast (6.9%), and stomach (6.8%) cancers. Breast cancer and lung cancer were the most frequent cancers in women and men, respectively (both cases and deaths). Incidence rates (including NMSC) varied from four-fold to five-fold across world regions, from over 500 in Australia/New Zealand (507.9 per 100,000) to under 100 in Western Africa (97.1 per 100,000) among men, and from over 400 in Australia/New Zealand (410.5 per 100,000) to close to 100 in South-Central Asia (103.3 per 100,000) among women. The authors examine the geographic variability across 20 world regions for the 10 leading cancer types, discussing recent trends, the underlying determinants, and the prospects for global cancer prevention and control. With demographics-based predictions indicating that the number of new cases of cancer will reach 35 million by 2050, investments in prevention, including the targeting of key risk factors for cancer (including smoking, overweight and obesity, and infection), could avert millions of future cancer diagnoses and save many lives worldwide, bringing huge economic as well as societal dividends to countries over the forthcoming decades.","container-title":"CA: a cancer journal for clinicians","DOI":"10.3322/caac.21834","ISSN":"1542-4863","issue":"3","journalAbbreviation":"CA Cancer J Clin","language":"eng","page":"229-263","PMID":"38572751","source":"PubMed","title":"Global cancer statistics 2022: GLOBOCAN estimates of incidence and mortality worldwide for 36 cancers in 185 countries","title-short":"Global cancer statistics 2022","volume":"74","author":[{"family":"Bray","given":"Freddie"},{"family":"Laversanne","given":"Mathieu"},{"family":"Sung","given":"Hyuna"},{"family":"Ferlay","given":"Jacques"},{"family":"Siegel","given":"Rebecca L."},{"family":"Soerjomataram","given":"Isabelle"},{"family":"Jemal","given":"Ahmedin"}],"issued":{"date-parts":[["2024"]]}}}],"schema":"https://github.com/citation-style-language/schema/raw/master/csl-citation.json"} </w:instrText>
      </w:r>
      <w:r>
        <w:fldChar w:fldCharType="separate"/>
      </w:r>
      <w:r w:rsidRPr="00FE07F0">
        <w:rPr>
          <w:rFonts w:ascii="Calibri" w:hAnsi="Calibri" w:cs="Calibri"/>
        </w:rPr>
        <w:t>(1)</w:t>
      </w:r>
      <w:r>
        <w:fldChar w:fldCharType="end"/>
      </w:r>
      <w:r w:rsidRPr="00FE07F0">
        <w:t xml:space="preserve">, el CRC se sitúa como el tercer tipo de cáncer más diagnosticado a nivel mundial </w:t>
      </w:r>
      <w:r w:rsidR="00E95810">
        <w:t>(9</w:t>
      </w:r>
      <w:r w:rsidR="0099114B">
        <w:t>,</w:t>
      </w:r>
      <w:r w:rsidR="00E95810">
        <w:t xml:space="preserve">6%) </w:t>
      </w:r>
      <w:r w:rsidRPr="00FE07F0">
        <w:t>y la segunda causa principal de muerte por cáncer</w:t>
      </w:r>
      <w:r w:rsidR="00E95810">
        <w:t xml:space="preserve"> (</w:t>
      </w:r>
      <w:r w:rsidR="00980219">
        <w:t>9</w:t>
      </w:r>
      <w:r w:rsidR="0099114B">
        <w:t>,</w:t>
      </w:r>
      <w:r w:rsidR="00980219">
        <w:t>3%</w:t>
      </w:r>
      <w:r w:rsidR="00E95810">
        <w:t>)</w:t>
      </w:r>
      <w:r w:rsidRPr="00FE07F0">
        <w:t>, con aproximadamente 1</w:t>
      </w:r>
      <w:r w:rsidR="0099114B">
        <w:t>,</w:t>
      </w:r>
      <w:r w:rsidRPr="00FE07F0">
        <w:t>9 millones de nuevos casos y más de 900</w:t>
      </w:r>
      <w:r w:rsidR="0099114B">
        <w:t>.</w:t>
      </w:r>
      <w:r w:rsidRPr="00FE07F0">
        <w:t>000 defunciones anuales.</w:t>
      </w:r>
      <w:r w:rsidR="00416F2B">
        <w:t xml:space="preserve"> S</w:t>
      </w:r>
      <w:r w:rsidR="00416F2B" w:rsidRPr="00416F2B">
        <w:t xml:space="preserve">egún los cálculos de </w:t>
      </w:r>
      <w:r w:rsidR="00416F2B">
        <w:t xml:space="preserve">la </w:t>
      </w:r>
      <w:r w:rsidR="00416F2B" w:rsidRPr="00416F2B">
        <w:t>Red Española de Registros de Cáncer (REDECAN)</w:t>
      </w:r>
      <w:r w:rsidR="00416F2B">
        <w:t xml:space="preserve">, se prevé que este tipo de </w:t>
      </w:r>
      <w:r w:rsidR="00FA2090">
        <w:t>neoplasia</w:t>
      </w:r>
      <w:r w:rsidR="00416F2B">
        <w:t xml:space="preserve"> sea </w:t>
      </w:r>
      <w:r w:rsidR="00FA2090">
        <w:t>la</w:t>
      </w:r>
      <w:r w:rsidR="00416F2B">
        <w:t xml:space="preserve"> que más se diagnostique en España en 2026 con </w:t>
      </w:r>
      <w:r w:rsidR="00DA52C0">
        <w:t xml:space="preserve">aproximadamente </w:t>
      </w:r>
      <w:r w:rsidR="00416F2B" w:rsidRPr="00416F2B">
        <w:t>44.</w:t>
      </w:r>
      <w:r w:rsidR="00DA52C0">
        <w:t>000</w:t>
      </w:r>
      <w:r w:rsidR="00416F2B" w:rsidRPr="00416F2B">
        <w:t xml:space="preserve"> </w:t>
      </w:r>
      <w:r w:rsidR="00DA52C0" w:rsidRPr="00416F2B">
        <w:t xml:space="preserve">nuevos </w:t>
      </w:r>
      <w:r w:rsidR="00416F2B" w:rsidRPr="00416F2B">
        <w:t>casos</w:t>
      </w:r>
      <w:r w:rsidR="00A266E8">
        <w:t xml:space="preserve">; siendo también </w:t>
      </w:r>
      <w:r w:rsidR="00FA2090">
        <w:t>la</w:t>
      </w:r>
      <w:r w:rsidR="00A266E8">
        <w:t xml:space="preserve"> segund</w:t>
      </w:r>
      <w:r w:rsidR="00FA2090">
        <w:t>a</w:t>
      </w:r>
      <w:r w:rsidR="00A266E8">
        <w:t xml:space="preserve"> con mayor tasa de mortalidad (</w:t>
      </w:r>
      <w:r w:rsidR="00A266E8" w:rsidRPr="00A266E8">
        <w:t>10.451</w:t>
      </w:r>
      <w:r w:rsidR="00A266E8">
        <w:t xml:space="preserve"> fallecidos</w:t>
      </w:r>
      <w:r w:rsidR="00FA2090">
        <w:t xml:space="preserve"> en 2024</w:t>
      </w:r>
      <w:r w:rsidR="00A266E8">
        <w:t>)</w:t>
      </w:r>
      <w:r w:rsidR="00FA2090">
        <w:fldChar w:fldCharType="begin"/>
      </w:r>
      <w:r w:rsidR="001E19BF">
        <w:instrText xml:space="preserve"> ADDIN ZOTERO_ITEM CSL_CITATION {"citationID":"ekXX4HLj","properties":{"unsorted":false,"formattedCitation":"(2)","plainCitation":"(2)","noteIndex":0},"citationItems":[{"id":32,"uris":["http://zotero.org/users/local/sechomLT/items/TI8CZ6KY"],"itemData":{"id":32,"type":"report","ISBN":"978-84-09-82151-8","publisher":"SEOM","title":"Las Cifras del Cáncer en España 2026","URL":"https://seom.org/images/Las_Cifras_del_Cancer_en_Espanya_2026.pdf","author":[{"literal":"Sociedad Española de Oncología Médica (SEOM)"}],"issued":{"date-parts":[["2026"]]}}}],"schema":"https://github.com/citation-style-language/schema/raw/master/csl-citation.json"} </w:instrText>
      </w:r>
      <w:r w:rsidR="00FA2090">
        <w:fldChar w:fldCharType="separate"/>
      </w:r>
      <w:r w:rsidR="00FA2090" w:rsidRPr="00FA2090">
        <w:rPr>
          <w:rFonts w:ascii="Calibri" w:hAnsi="Calibri" w:cs="Calibri"/>
        </w:rPr>
        <w:t>(2)</w:t>
      </w:r>
      <w:r w:rsidR="00FA2090">
        <w:fldChar w:fldCharType="end"/>
      </w:r>
      <w:r w:rsidR="00A266E8">
        <w:t>.</w:t>
      </w:r>
    </w:p>
    <w:p w14:paraId="08B336C3" w14:textId="7A9627EB" w:rsidR="00A0019C" w:rsidRPr="00A0019C" w:rsidRDefault="00F17224" w:rsidP="00A0019C">
      <w:r w:rsidRPr="00F17224">
        <w:t>Más allá de estas cifras, se ha documentado un incremento de la incidencia en regiones en vías de desarrollo, tales como Europa del Este, el sudeste y centro de Asia, y América del Sur</w:t>
      </w:r>
      <w:r>
        <w:fldChar w:fldCharType="begin"/>
      </w:r>
      <w:r>
        <w:instrText xml:space="preserve"> ADDIN ZOTERO_ITEM CSL_CITATION {"citationID":"OHiW2Rj1","properties":{"unsorted":false,"formattedCitation":"(1)","plainCitation":"(1)","noteIndex":0},"citationItems":[{"id":17,"uris":["http://zotero.org/users/local/sechomLT/items/6Y52Z7JV"],"itemData":{"id":17,"type":"article-journal","abstract":"This article presents global cancer statistics by world region for the year 2022 based on updated estimates from the International Agency for Research on Cancer (IARC). There were close to 20 million new cases of cancer in the year 2022 (including nonmelanoma skin cancers [NMSCs]) alongside 9.7 million deaths from cancer (including NMSC). The estimates suggest that approximately one in five men or women develop cancer in a lifetime, whereas around one in nine men and one in 12 women die from it. Lung cancer was the most frequently diagnosed cancer in 2022, responsible for almost 2.5 million new cases, or one in eight cancers worldwide (12.4% of all cancers globally), followed by cancers of the female breast (11.6%), colorectum (9.6%), prostate (7.3%), and stomach (4.9%). Lung cancer was also the leading cause of cancer death, with an estimated 1.8 million deaths (18.7%), followed by colorectal (9.3%), liver (7.8%), female breast (6.9%), and stomach (6.8%) cancers. Breast cancer and lung cancer were the most frequent cancers in women and men, respectively (both cases and deaths). Incidence rates (including NMSC) varied from four-fold to five-fold across world regions, from over 500 in Australia/New Zealand (507.9 per 100,000) to under 100 in Western Africa (97.1 per 100,000) among men, and from over 400 in Australia/New Zealand (410.5 per 100,000) to close to 100 in South-Central Asia (103.3 per 100,000) among women. The authors examine the geographic variability across 20 world regions for the 10 leading cancer types, discussing recent trends, the underlying determinants, and the prospects for global cancer prevention and control. With demographics-based predictions indicating that the number of new cases of cancer will reach 35 million by 2050, investments in prevention, including the targeting of key risk factors for cancer (including smoking, overweight and obesity, and infection), could avert millions of future cancer diagnoses and save many lives worldwide, bringing huge economic as well as societal dividends to countries over the forthcoming decades.","container-title":"CA: a cancer journal for clinicians","DOI":"10.3322/caac.21834","ISSN":"1542-4863","issue":"3","journalAbbreviation":"CA Cancer J Clin","language":"eng","page":"229-263","PMID":"38572751","source":"PubMed","title":"Global cancer statistics 2022: GLOBOCAN estimates of incidence and mortality worldwide for 36 cancers in 185 countries","title-short":"Global cancer statistics 2022","volume":"74","author":[{"family":"Bray","given":"Freddie"},{"family":"Laversanne","given":"Mathieu"},{"family":"Sung","given":"Hyuna"},{"family":"Ferlay","given":"Jacques"},{"family":"Siegel","given":"Rebecca L."},{"family":"Soerjomataram","given":"Isabelle"},{"family":"Jemal","given":"Ahmedin"}],"issued":{"date-parts":[["2024"]]}}}],"schema":"https://github.com/citation-style-language/schema/raw/master/csl-citation.json"} </w:instrText>
      </w:r>
      <w:r>
        <w:fldChar w:fldCharType="separate"/>
      </w:r>
      <w:r w:rsidRPr="00F17224">
        <w:rPr>
          <w:rFonts w:ascii="Calibri" w:hAnsi="Calibri" w:cs="Calibri"/>
        </w:rPr>
        <w:t>(1)</w:t>
      </w:r>
      <w:r>
        <w:fldChar w:fldCharType="end"/>
      </w:r>
      <w:r w:rsidRPr="00F17224">
        <w:t>.</w:t>
      </w:r>
      <w:r w:rsidR="00A0019C" w:rsidRPr="00A0019C">
        <w:rPr>
          <w:rFonts w:ascii="Times New Roman" w:hAnsi="Times New Roman"/>
        </w:rPr>
        <w:t xml:space="preserve"> </w:t>
      </w:r>
      <w:r w:rsidR="00A0019C" w:rsidRPr="00A0019C">
        <w:t>Este fenómeno se atribuye, en gran medida, a la adopción de hábitos de vida</w:t>
      </w:r>
      <w:r w:rsidR="00A0019C">
        <w:t xml:space="preserve"> </w:t>
      </w:r>
      <w:r w:rsidR="00A0019C" w:rsidRPr="00A0019C">
        <w:t xml:space="preserve">occidentalizados, </w:t>
      </w:r>
      <w:r w:rsidR="00A0019C">
        <w:t>los cuales suponen</w:t>
      </w:r>
      <w:r w:rsidR="00A0019C" w:rsidRPr="00A0019C">
        <w:t xml:space="preserve"> cambios drásticos en los patrones dietéticos y de conducta. Factores ambientales como el sedentarismo, el tabaquismo</w:t>
      </w:r>
      <w:r w:rsidR="00A839A3">
        <w:t>, la disbiosis intestinal</w:t>
      </w:r>
      <w:r w:rsidR="00A0019C" w:rsidRPr="00A0019C">
        <w:t>, el consumo de alcohol y una dieta caracterizada por el exceso de carnes rojas y alimentos ultraprocesados actúan como promotores críticos de la carcinogénesis, elevando significativamente el riesgo de desarrollar esta patología</w:t>
      </w:r>
      <w:r w:rsidR="00CB0BD9">
        <w:fldChar w:fldCharType="begin"/>
      </w:r>
      <w:r w:rsidR="00D70B8B">
        <w:instrText xml:space="preserve"> ADDIN ZOTERO_ITEM CSL_CITATION {"citationID":"5LdGG0qG","properties":{"unsorted":false,"formattedCitation":"(1\\uc0\\u8211{}5)","plainCitation":"(1–5)","noteIndex":0},"citationItems":[{"id":17,"uris":["http://zotero.org/users/local/sechomLT/items/6Y52Z7JV"],"itemData":{"id":17,"type":"article-journal","abstract":"This article presents global cancer statistics by world region for the year 2022 based on updated estimates from the International Agency for Research on Cancer (IARC). There were close to 20 million new cases of cancer in the year 2022 (including nonmelanoma skin cancers [NMSCs]) alongside 9.7 million deaths from cancer (including NMSC). The estimates suggest that approximately one in five men or women develop cancer in a lifetime, whereas around one in nine men and one in 12 women die from it. Lung cancer was the most frequently diagnosed cancer in 2022, responsible for almost 2.5 million new cases, or one in eight cancers worldwide (12.4% of all cancers globally), followed by cancers of the female breast (11.6%), colorectum (9.6%), prostate (7.3%), and stomach (4.9%). Lung cancer was also the leading cause of cancer death, with an estimated 1.8 million deaths (18.7%), followed by colorectal (9.3%), liver (7.8%), female breast (6.9%), and stomach (6.8%) cancers. Breast cancer and lung cancer were the most frequent cancers in women and men, respectively (both cases and deaths). Incidence rates (including NMSC) varied from four-fold to five-fold across world regions, from over 500 in Australia/New Zealand (507.9 per 100,000) to under 100 in Western Africa (97.1 per 100,000) among men, and from over 400 in Australia/New Zealand (410.5 per 100,000) to close to 100 in South-Central Asia (103.3 per 100,000) among women. The authors examine the geographic variability across 20 world regions for the 10 leading cancer types, discussing recent trends, the underlying determinants, and the prospects for global cancer prevention and control. With demographics-based predictions indicating that the number of new cases of cancer will reach 35 million by 2050, investments in prevention, including the targeting of key risk factors for cancer (including smoking, overweight and obesity, and infection), could avert millions of future cancer diagnoses and save many lives worldwide, bringing huge economic as well as societal dividends to countries over the forthcoming decades.","container-title":"CA: a cancer journal for clinicians","DOI":"10.3322/caac.21834","ISSN":"1542-4863","issue":"3","journalAbbreviation":"CA Cancer J Clin","language":"eng","page":"229-263","PMID":"38572751","source":"PubMed","title":"Global cancer statistics 2022: GLOBOCAN estimates of incidence and mortality worldwide for 36 cancers in 185 countries","title-short":"Global cancer statistics 2022","volume":"74","author":[{"family":"Bray","given":"Freddie"},{"family":"Laversanne","given":"Mathieu"},{"family":"Sung","given":"Hyuna"},{"family":"Ferlay","given":"Jacques"},{"family":"Siegel","given":"Rebecca L."},{"family":"Soerjomataram","given":"Isabelle"},{"family":"Jemal","given":"Ahmedin"}],"issued":{"date-parts":[["2024"]]}}},{"id":32,"uris":["http://zotero.org/users/local/sechomLT/items/TI8CZ6KY"],"itemData":{"id":32,"type":"report","ISBN":"978-84-09-82151-8","publisher":"SEOM","title":"Las Cifras del Cáncer en España 2026","URL":"https://seom.org/images/Las_Cifras_del_Cancer_en_Espanya_2026.pdf","author":[{"literal":"Sociedad Española de Oncología Médica (SEOM)"}],"issued":{"date-parts":[["2026"]]}}},{"id":35,"uris":["http://zotero.org/users/local/sechomLT/items/BQ8KHV3Z"],"itemData":{"id":35,"type":"article-journal","abstract":"Colorectal cancer (CRC) constitutes a prominent global health burden, being the third most frequently diagnosed malignancy in terms of incidence and the second leading cause of cancer-associated death across the globe. Malignant transformation of colonic epithelial cells stems from the intricate dysregulation of intracellular signal transduction networks. Although targeted therapies have substantially improved patient survival relative to traditional treatments, the complexity of the molecular networks driving carcinogenesis continues to limit the overall prognosis. This review delineates the core signaling cascades governing CRC initiation and progression, with emphasis on the molecular hallmarks of the disease. Drawing on a growing body of high-quality preclinical and clinical evidence, we summarize currently available targeted agents and critically evaluate their underlying mechanisms of action and clinical curative effects, and inherent limitations within the contemporary therapeutic landscape. In addition, we discuss how recent advances in immune checkpoint inhibitors (ICIs) along with a deeper understanding of the tumor microenvironment are shaping global clinical guidelines and revealing promising new targets and combinatorial strategies. In summary, expanding insights into oncogenic signaling pathways are guiding the development of novel treatments and enabling the identification of key elements amenable to pharmacological intervention. Ultimately, this review aims to support the rational design of precise and personalized therapeutic strategies to improve CRC prognosis.","container-title":"Molecular Biomedicine","DOI":"10.1186/s43556-026-00433-4","ISSN":"2662-8651","journalAbbreviation":"Mol Biomed","page":"32","PMID":"41826571","PMCID":"PMC12988139","source":"PubMed Central","title":"Colorectal cancer pathogenesis, oncogenic signaling networks and targeted therapeutic advances","URL":"https://pmc.ncbi.nlm.nih.gov/articles/PMC12988139/","volume":"7","author":[{"family":"Chen","given":"Yue"},{"family":"Zhang","given":"Jiaqi"},{"family":"Ding","given":"Yi"},{"family":"Zhu","given":"Fang"},{"family":"Chen","given":"Yinnan"}],"accessed":{"date-parts":[["2026",5,11]]},"issued":{"date-parts":[["2026",3,14]]}}},{"id":191,"uris":["http://zotero.org/users/local/sechomLT/items/6L7ALCV7"],"itemData":{"id":191,"type":"article-journal","abstract":"Colorectal cancer (CRC) is the third most common cancer in men and the second most common cancer in women worldwide. CRC is the second leading cause of cancer-related deaths. Although some progress in the treatment of CRC has been achieved, the molecular mechanism of CRC is still unclear. In this study, alcohol dehydrogenase 1C(ADH1C) was first identified as a target gene closely associated with the development of CRC by the comprehensive application of transcriptomics, proteomics, metabonomics and in silico analysis. The ADH1C mRNA and protein expression in CRC cell lines and tumor tissues was lower than that in normal intestinal epithelial cell lines and healthy tissues. Overexpression of ADH1C inhibited the growth, migration, invasion and colony formation of CRC cell lines and prevented the growth of xenograft tumors in nude mice. The inhibitory effects of ADH1C on CRC cells in vitro were exerted by reducing the expression of PHGDH/PSAT1 and the serine level. This inhibition could be partially reversed by adding serine to the culture medium. These results showed that ADH1C is a potential drug target in CRC.,","container-title":"Acta Pharmacologica Sinica","DOI":"10.1038/s41401-022-00894-7","ISSN":"1671-4083","issue":"10","journalAbbreviation":"Acta Pharmacol Sin","page":"2709-2722","PMID":"35354963","PMCID":"PMC9525271","source":"PubMed Central","title":"ADH1C inhibits progression of colorectal cancer through the ADH1C/PHGDH /PSAT1/serine metabolic pathway","URL":"https://pmc.ncbi.nlm.nih.gov/articles/PMC9525271/","volume":"43","author":[{"family":"Li","given":"Sha"},{"family":"Yang","given":"Hong"},{"family":"Li","given":"Wan"},{"family":"Liu","given":"Jin-yi"},{"family":"Ren","given":"Li-wen"},{"family":"Yang","given":"Yi-hui"},{"family":"Ge","given":"Bin-bin"},{"family":"Zhang","given":"Yi-zhi"},{"family":"Fu","given":"Wei-qi"},{"family":"Zheng","given":"Xiang-jin"},{"family":"Du","given":"Guan-hua"},{"family":"Wang","given":"Jin-Hua"}],"accessed":{"date-parts":[["2026",7,20]]},"issued":{"date-parts":[["2022",10]]}}},{"id":57,"uris":["http://zotero.org/users/local/sechomLT/items/T3FSIKQS"],"itemData":{"id":57,"type":"article-journal","abstract":"While both incidence and mortality of sporadic average‐onset colorectal cancer (AO CRC, above 50 years of age) are in constant decline, sporadic early‐onset colorectal cancer (EO CRC, under 50 years of age) is rising rapidly. Yet, the causes behind this rise remain poorly understood. Epidemiological studies indicate that lifestyle and environmental exposures may result in chronic inflammation, which is known to trigger tissue fibrosis. This study tests the hypothesis that fibrotic remodeling and biomechanical stiffening of colorectal tissues represent measurable hallmarks and potential drivers of EO CRC. Using primary human tissues, this work shows that EO CRC is associated with changes in collagen microstructure, increased stiffness, and elevated viscosity of primary tumors. Spatial transcriptional profiling and immunostaining reveal pro‐fibrotic signatures in stromal cells, alongside enhanced Yes‐associated protein (YAP) mechanotransduction and proliferation in epithelial cells of EO CRC tissues. Mechanistically, increasing matrix stiffness in vitro promotes proliferation of epithelial cells in 2D and 3D colorectal cancer models. Together, these findings establish EO CRC as a disease marked by early and widespread biomechanical remodeling, suggesting that a fibrotic and stiffened tissue microenvironment may orchestrate EO CRC tumor initiation., This study identifies a unique physical signature of colorectal cancer in younger adults: their tissues are mechanically stiffer than those in older patients with the same cancer. Furthermore, stromal remodeling in early‐onset colorectal cancer promotes epithelial mechanotransduction and proliferation, showing how mechanical alterations in the tissue microenvironment may drive progression of this rising disease.","container-title":"Advanced Science","DOI":"10.1002/advs.202514693","ISSN":"2198-3844","issue":"6","journalAbbreviation":"Adv Sci (Weinh)","page":"e14693","PMID":"41324334","PMCID":"PMC12866780","source":"PubMed Central","title":"Biomechanical Phenotyping Reveals Unique Mechanobiological Signatures of Early‐Onset Colorectal Cancer","URL":"https://pmc.ncbi.nlm.nih.gov/articles/PMC12866780/","volume":"13","author":[{"family":"Huning","given":"Nicole C."},{"family":"Buhaya","given":"Munir H."},{"family":"Nguyen","given":"Victor V."},{"family":"Khazi‐Syed","given":"Afeefah"},{"family":"Ali","given":"Haider A."},{"family":"Khan","given":"Adil"},{"family":"Fan","given":"Angela"},{"family":"Fisher","given":"Robert C."},{"family":"Chi","given":"Zhikai"},{"family":"Raman","given":"Indu"},{"family":"Chen","given":"Guangchun"},{"family":"Zhu","given":"Chengsong"},{"family":"Yu","given":"Mengxi"},{"family":"Jamieson","given":"Andrew R."},{"family":"Roccabianca","given":"Sara"},{"family":"Varner","given":"Victor D."},{"family":"Lewis","given":"Cheryl M."},{"family":"Huang","given":"Emina H."},{"family":"Ferruzzi","given":"Jacopo"}],"accessed":{"date-parts":[["2026",7,12]]},"issued":{"date-parts":[["2025",12,1]]}}}],"schema":"https://github.com/citation-style-language/schema/raw/master/csl-citation.json"} </w:instrText>
      </w:r>
      <w:r w:rsidR="00CB0BD9">
        <w:fldChar w:fldCharType="separate"/>
      </w:r>
      <w:r w:rsidR="00D70B8B" w:rsidRPr="00D70B8B">
        <w:rPr>
          <w:rFonts w:ascii="Calibri" w:hAnsi="Calibri" w:cs="Calibri"/>
        </w:rPr>
        <w:t>(1–5)</w:t>
      </w:r>
      <w:r w:rsidR="00CB0BD9">
        <w:fldChar w:fldCharType="end"/>
      </w:r>
      <w:r w:rsidR="00A0019C" w:rsidRPr="00A0019C">
        <w:t>.</w:t>
      </w:r>
    </w:p>
    <w:p w14:paraId="1E23660E" w14:textId="7DB2E900" w:rsidR="003B6702" w:rsidRDefault="00A839A3" w:rsidP="003B6702">
      <w:r w:rsidRPr="00A839A3">
        <w:t xml:space="preserve">Desde una perspectiva clínica, el CRC se define como una neoplasia maligna </w:t>
      </w:r>
      <w:r>
        <w:t>caracterizada</w:t>
      </w:r>
      <w:r w:rsidRPr="00A839A3">
        <w:t xml:space="preserve"> por la proliferación celular descontrolada en los tejidos que conforman el tramo distal del tracto digestivo, específicamente en el colon y el recto</w:t>
      </w:r>
      <w:r w:rsidR="001E19BF">
        <w:fldChar w:fldCharType="begin"/>
      </w:r>
      <w:r w:rsidR="00D70B8B">
        <w:instrText xml:space="preserve"> ADDIN ZOTERO_ITEM CSL_CITATION {"citationID":"hKdcV0uo","properties":{"unsorted":false,"formattedCitation":"(6,7)","plainCitation":"(6,7)","noteIndex":0},"citationItems":[{"id":10,"uris":["http://zotero.org/users/local/sechomLT/items/PUDVKYZ9"],"itemData":{"id":10,"type":"article-journal","abstract":"Colorectal cancer (CRC) is a diverse disease entity and a leading cause of cancer-related mortality worldwide. CRC results from the accumulation of multiple genetic and epigenetic alterations. This heterogeneity of CRC underscores the significance of understanding its molecular landscape, as variations in tumor genetics can greatly influence both patient prognosis and therapeutic response. The molecular complexity of CRC is defined by three major carcinogenesis pathways: chromosomal instability (CIN), microsatellite instability (MSI), and the CpG island methylator phenotype (CIMP). These pathways contribute to the onset and progression of CRC through mutations, epigenetic modifications, and dysregulated cellular signalling networks. The heterogeneous nature of CRC continues to pose challenges in identifying universally effective treatments, highlighting the need for personalized approaches. Hence, the present review aims at unravelling the molecular complexity of CRC that is essential for improving diagnosis, prognostication, and treatment. We detail on the current understanding of the molecular framework of CRC, central signalling pathways of CRC associated with its initiation to a malignant phenotype, further invasion, progression, metastases, and response to therapy. Continued research into CRC’s pathways and biomarkers will pave the way for the development of more precise and effective therapeutic strategies, ultimately improving patient outcomes.","container-title":"Cancer Management and Research","DOI":"10.2147/CMAR.S481656","ISSN":"1179-1322","journalAbbreviation":"Cancer Manag Res","page":"1389-1403","PMID":"39403607","PMCID":"PMC11472760","source":"PubMed Central","title":"Molecular Complexity of Colorectal Cancer: Pathways, Biomarkers, and Therapeutic Strategies","title-short":"Molecular Complexity of Colorectal Cancer","URL":"https://pmc.ncbi.nlm.nih.gov/articles/PMC11472760/","volume":"16","author":[{"family":"Yang","given":"Zhengdong"},{"family":"Wang","given":"Xinyang"},{"family":"Zhou","given":"Huiying"},{"family":"Jiang","given":"Minghan"},{"family":"Wang","given":"Jinghui"},{"family":"Sui","given":"Bowen"}],"accessed":{"date-parts":[["2026",5,11]]},"issued":{"date-parts":[["2024",10,10]]}}},{"id":78,"uris":["http://zotero.org/users/local/sechomLT/items/736SCXWW"],"itemData":{"id":78,"type":"article-journal","abstract":"Collagen remodeling in the extracellular matrix drives alterations in the physical, mechanical, and optical properties of tissues, representing a fundamental biophysical hallmark of colorectal cancer (CRC) progression. These changes, reflected in variations in collagen composition, molecular orientation, and cross-linking density, transform tissue stiffness, elasticity, and anisotropy, directly influencing cancer cell behavior and mechanotransduction. Understanding these structural and physical transitions requires analytical methods capable of probing the molecular origins of biomechanical alteration in situ. Spectroscopic and optical methodologies provide high-resolution, label-free detection of the vibrational, optical, and mechanical alteration associated with collagen remodeling. These techniques capture the shifts in molecular vibrational modes, nonlinear optical responses, and scattering anisotropy that arise from collagen fibril alignment, structural disorder, and cross-link formation, thereby connecting molecular architecture to measurable macroscale biomechanics. The integration of multimodal spectroscopy and incorporation of machine learning algorithms further enhance diagnostic performance by resolving complex tissue heterogeneity and improving tumor margin detection. Overall, this review demonstrates how spectroscopic techniques can be applied in the biomedical field for cancer detection by analyzing collagen remodeling and structural alterations.","container-title":"Physics of Life Reviews","DOI":"10.1016/j.plrev.2026.01.009","ISSN":"1571-0645","journalAbbreviation":"Physics of Life Reviews","page":"239-257","source":"ScienceDirect","title":"Biophysical approaches to cancer diagnostics: Collagen biomarkers in colorectal cancer","title-short":"Biophysical approaches to cancer diagnostics","URL":"https://www.sciencedirect.com/science/article/pii/S1571064526000096","volume":"56","author":[{"family":"Biswas","given":"Shimul"},{"family":"Mahato","given":"Krishna Kishore"}],"accessed":{"date-parts":[["2026",7,14]]},"issued":{"date-parts":[["2026",3,1]]}}}],"schema":"https://github.com/citation-style-language/schema/raw/master/csl-citation.json"} </w:instrText>
      </w:r>
      <w:r w:rsidR="001E19BF">
        <w:fldChar w:fldCharType="separate"/>
      </w:r>
      <w:r w:rsidR="00D70B8B" w:rsidRPr="00D70B8B">
        <w:rPr>
          <w:rFonts w:ascii="Calibri" w:hAnsi="Calibri" w:cs="Calibri"/>
        </w:rPr>
        <w:t>(6,7)</w:t>
      </w:r>
      <w:r w:rsidR="001E19BF">
        <w:fldChar w:fldCharType="end"/>
      </w:r>
      <w:r w:rsidR="006339BA" w:rsidRPr="006339BA">
        <w:t>.</w:t>
      </w:r>
      <w:r w:rsidRPr="00A839A3">
        <w:t xml:space="preserve"> </w:t>
      </w:r>
      <w:r w:rsidR="003B6702" w:rsidRPr="003B6702">
        <w:t xml:space="preserve">No obstante, esta definición morfológica simplifica una realidad biológica mucho más compleja. Si bien los factores ambientales </w:t>
      </w:r>
      <w:r w:rsidR="00F47B28">
        <w:t xml:space="preserve">previamente </w:t>
      </w:r>
      <w:r w:rsidR="003B6702" w:rsidRPr="003B6702">
        <w:t>descritos desempeñan un papel iniciador, su desarrollo está ligado a un entramado de alteraciones moleculares altamente variables.</w:t>
      </w:r>
      <w:r w:rsidR="003B6702">
        <w:t xml:space="preserve"> </w:t>
      </w:r>
      <w:r w:rsidR="003B6702" w:rsidRPr="003B6702">
        <w:t>En este sentido, el CRC</w:t>
      </w:r>
      <w:r w:rsidR="003B6702">
        <w:t xml:space="preserve"> </w:t>
      </w:r>
      <w:r w:rsidR="003B6702" w:rsidRPr="003B6702">
        <w:t>debe entenderse como</w:t>
      </w:r>
      <w:r w:rsidR="003B6702">
        <w:t xml:space="preserve"> </w:t>
      </w:r>
      <w:r w:rsidR="003B6702" w:rsidRPr="003B6702">
        <w:t>una patología de marcada heterogeneidad</w:t>
      </w:r>
      <w:r w:rsidR="004408D1">
        <w:t xml:space="preserve"> </w:t>
      </w:r>
      <w:proofErr w:type="spellStart"/>
      <w:r w:rsidR="004408D1">
        <w:t>intertumoral</w:t>
      </w:r>
      <w:proofErr w:type="spellEnd"/>
      <w:r w:rsidR="00D70B8B">
        <w:fldChar w:fldCharType="begin"/>
      </w:r>
      <w:r w:rsidR="00D70B8B">
        <w:instrText xml:space="preserve"> ADDIN ZOTERO_ITEM CSL_CITATION {"citationID":"CgeXZzRY","properties":{"unsorted":false,"formattedCitation":"(7\\uc0\\u8211{}11)","plainCitation":"(7–11)","noteIndex":0},"citationItems":[{"id":78,"uris":["http://zotero.org/users/local/sechomLT/items/736SCXWW"],"itemData":{"id":78,"type":"article-journal","abstract":"Collagen remodeling in the extracellular matrix drives alterations in the physical, mechanical, and optical properties of tissues, representing a fundamental biophysical hallmark of colorectal cancer (CRC) progression. These changes, reflected in variations in collagen composition, molecular orientation, and cross-linking density, transform tissue stiffness, elasticity, and anisotropy, directly influencing cancer cell behavior and mechanotransduction. Understanding these structural and physical transitions requires analytical methods capable of probing the molecular origins of biomechanical alteration in situ. Spectroscopic and optical methodologies provide high-resolution, label-free detection of the vibrational, optical, and mechanical alteration associated with collagen remodeling. These techniques capture the shifts in molecular vibrational modes, nonlinear optical responses, and scattering anisotropy that arise from collagen fibril alignment, structural disorder, and cross-link formation, thereby connecting molecular architecture to measurable macroscale biomechanics. The integration of multimodal spectroscopy and incorporation of machine learning algorithms further enhance diagnostic performance by resolving complex tissue heterogeneity and improving tumor margin detection. Overall, this review demonstrates how spectroscopic techniques can be applied in the biomedical field for cancer detection by analyzing collagen remodeling and structural alterations.","container-title":"Physics of Life Reviews","DOI":"10.1016/j.plrev.2026.01.009","ISSN":"1571-0645","journalAbbreviation":"Physics of Life Reviews","page":"239-257","source":"ScienceDirect","title":"Biophysical approaches to cancer diagnostics: Collagen biomarkers in colorectal cancer","title-short":"Biophysical approaches to cancer diagnostics","URL":"https://www.sciencedirect.com/science/article/pii/S1571064526000096","volume":"56","author":[{"family":"Biswas","given":"Shimul"},{"family":"Mahato","given":"Krishna Kishore"}],"accessed":{"date-parts":[["2026",7,14]]},"issued":{"date-parts":[["2026",3,1]]}}},{"id":185,"uris":["http://zotero.org/users/local/sechomLT/items/3LBCITJV"],"itemData":{"id":185,"type":"article-journal","abstract":"Colorectal cancer (CRC) is a heterogeneous disease resulting from the combined influence of many genetic factors. This complexity has caused the molecular characterization of CRC to remain uncharacterized, with a lack of clear gene markers associated with CRC and the prognosis of this disease. Thus, highly sensitive tumor markers for the detection of CRC are the most essential determinants of survival. In this study, we examined the simultaneous downregulation of the mRNA levels of six metallothionein (MT) genes in CRC cell lines and public CRC datasets for the first time. In addition, we detected downregulation of these six MT mRNAs’ levels in 30 pairs of tumor (T) and adjacent non-tumor (N) CRC specimens. In order to understand the potential prognostic relevance of these six MT genes and CRC, we presented a four-gene signature to evaluate the prognosis of CRC patients. Further discovery suggested that the four-gene signature (MT1F, MT1G, MT1L, and MT1X) predicted survival better than any combination of two-, three-, four-, five-, or six-gene models. In conclusion, this study is the first to report that simultaneous downregulation of six MT mRNAs’ levels in CRC patients, and their aberrant expression together, accurately predicted CRC patients’ outcomes.","container-title":"International Journal of Molecular Sciences","DOI":"10.3390/ijms20163849","ISSN":"1422-0067","issue":"16","journalAbbreviation":"Int J Mol Sci","page":"3849","PMID":"31394742","PMCID":"PMC6721156","source":"PubMed Central","title":"The Expression Profile and Prognostic Significance of Metallothionein Genes in Colorectal Cancer","URL":"https://pmc.ncbi.nlm.nih.gov/articles/PMC6721156/","volume":"20","author":[{"family":"Hung","given":"Kuo-Chen"},{"family":"Huang","given":"Tsui-Chin"},{"family":"Cheng","given":"Chia-Hsiung"},{"family":"Cheng","given":"Ya-Wen"},{"family":"Lin","given":"Ding-Yen"},{"family":"Fan","given":"Jhen-Jia"},{"family":"Lee","given":"Kuen-Haur"}],"accessed":{"date-parts":[["2026",7,19]]},"issued":{"date-parts":[["2019",8,7]]}}},{"id":219,"uris":["http://zotero.org/users/local/sechomLT/items/Q3YBI9XD"],"itemData":{"id":219,"type":"article-journal","abstract":"Colorectal cancer (CRC) is a frequently lethal disease with heterogeneous outcomes and drug responses. To resolve inconsistencies among the reported gene expression–based CRC classifications and facilitate clinical translation, we formed an international consortium dedicated to large-scale data sharing and analytics across expert groups. We show marked interconnectivity between six independent classification systems coalescing into four consensus molecular subtypes (CMS) with distinguishing features: CMS1 (MSI Immune, 14%), hypermutated, microsatellite unstable, strong immune activation; CMS2 (Canonical, 37%), epithelial, chromosomally unstable, marked WNT and MYC signaling activation; CMS3 (Metabolic, 13%), epithelial, evident metabolic dysregulation; and CMS4 (Mesenchymal, 23%), prominent transforming growth factor β activation, stromal invasion, and angiogenesis. Samples with mixed features (13%) possibly represent a transition phenotype or intra-tumoral heterogeneity. We consider the CMS groups the most robust classification system currently available for CRC – with clear biological interpretability – and the basis for future clinical stratification and subtype–based targeted interventions.","container-title":"Nature medicine","DOI":"10.1038/nm.3967","ISSN":"1078-8956","issue":"11","journalAbbreviation":"Nat Med","page":"1350-1356","PMID":"26457759","PMCID":"PMC4636487","source":"PubMed Central","title":"The Consensus Molecular Subtypes of Colorectal Cancer","URL":"https://pmc.ncbi.nlm.nih.gov/articles/PMC4636487/","volume":"21","author":[{"family":"Guinney","given":"Justin"},{"family":"Dienstmann","given":"Rodrigo"},{"family":"Wang","given":"Xin"},{"family":"Reyniès","given":"Aurélien","non-dropping-particle":"de"},{"family":"Schlicker","given":"Andreas"},{"family":"Soneson","given":"Charlotte"},{"family":"Marisa","given":"Laetitia"},{"family":"Roepman","given":"Paul"},{"family":"Nyamundanda","given":"Gift"},{"family":"Angelino","given":"Paolo"},{"family":"Bot","given":"Brian M."},{"family":"Morris","given":"Jeffrey S."},{"family":"Simon","given":"Iris M."},{"family":"Gerster","given":"Sarah"},{"family":"Fessler","given":"Evelyn"},{"family":"Sousa e Melo","given":"Felipe","non-dropping-particle":"de"},{"family":"Missiaglia","given":"Edoardo"},{"family":"Ramay","given":"Hena"},{"family":"Barras","given":"David"},{"family":"Homicsko","given":"Krisztian"},{"family":"Maru","given":"Dipen"},{"family":"Manyam","given":"Ganiraju C."},{"family":"Broom","given":"Bradley"},{"family":"Boige","given":"Valerie"},{"family":"Perez-Villamil","given":"Beatriz"},{"family":"Laderas","given":"Ted"},{"family":"Salazar","given":"Ramon"},{"family":"Gray","given":"Joe W."},{"family":"Hanahan","given":"Douglas"},{"family":"Tabernero","given":"Josep"},{"family":"Bernards","given":"Rene"},{"family":"Friend","given":"Stephen H."},{"family":"Laurent-Puig","given":"Pierre"},{"family":"Medema","given":"Jan Paul"},{"family":"Sadanandam","given":"Anguraj"},{"family":"Wessels","given":"Lodewyk"},{"family":"Delorenzi","given":"Mauro"},{"family":"Kopetz","given":"Scott"},{"family":"Vermeulen","given":"Louis"},{"family":"Tejpar","given":"Sabine"}],"accessed":{"date-parts":[["2026",7,26]]},"issued":{"date-parts":[["2015",11]]}}},{"id":231,"uris":["http://zotero.org/users/local/sechomLT/items/SX3EXBZZ"],"itemData":{"id":231,"type":"article-journal","abstract":"Colorectal cancer is driven by complex genetic and molecular alterations, necessitating reliable targets for diagnosis and therapy. Single-omics studies offer limited insight. We performed a systematic in silico multi-omics integration using four public databases: GEO (differential expression), cBioPortal (genomic alterations), DisGeNET (gene–disease associations), and GeneCards (annotated/predicted CRC genes). Genes identified in ≥ 2 independent sources were curated into a high-confidence panel comprising 996 CRC-associated genes. Functional enrichment analysis of this panel revealed significant over-representation of pathways critical to CRC pathogenesis, including cell cycle regulation, apoptosis, DNA repair, and canonical signalling cascades (Wnt, MAPK, PI3K–AKT). PPI network analysis in Cytoscape using the Maximal Clique Centrality algorithm identified ten high-centrality hub genes: AKT1, STAT3, TP53, CTNNB1, BCL2, MYC, CCND1, PTEN, ESR1, and JUN. Eight of these are established CRC drivers, confirming the credibility of the approach, whereas ESR1 and JUN emerged as potentially under-investigated candidates. Hub gene relevance was independently confirmed via cBioPortal (alterations and correlations), TCGA/GEPIA2 (tumour–normal and stage-specific expression), the Human Protein Atlas (protein abundance), and TIMER2.0 (immune infiltration). This in silico multi-omics research work prioritises high-confidence therapeutic targets in CRC using publicly available data and nominates ESR1 and JUN for further investigation, while highlighting the need for experimental validation. The framework demonstrates the power of cross-platform evidence for biomarker discovery in complex diseases and is readily adaptable to other malignancies.","container-title":"Network Modeling Analysis in Health Informatics and Bioinformatics","DOI":"10.1007/s13721-025-00696-x","ISSN":"2192-6670","issue":"1","journalAbbreviation":"Netw Model Anal Health Inform Bioinforma","language":"en","page":"10","source":"Springer Link","title":"Multi-omics integration and network analysis identify therapeutic hub genes in colorectal cancer","URL":"https://doi.org/10.1007/s13721-025-00696-x","volume":"15","author":[{"family":"Mathew","given":"Emi"},{"family":"Thomas","given":"Philip Litto"},{"family":"Mathew","given":"Linu"}],"accessed":{"date-parts":[["2026",7,26]]},"issued":{"date-parts":[["2025",12,19]]}}},{"id":152,"uris":["http://zotero.org/users/local/sechomLT/items/JYY4QLR5"],"itemData":{"id":152,"type":"article-journal","abstract":"Background\nColon adenocarcinoma (COAD) is one of the most lethal cancers. It is particularly important to accurately predict prognosis and to provide individualized treatment. Several lines of evidence suggest that genetic factors and clinicopathological characteristics are related to cancer onset and progression. The aim of this study was to identify potential prognostic genes and to develop a nomogram to predict survival and recurrence of COAD.\n\nMethods\nTo identify potential prognostic genes in COAD, microarray datasets were downloaded from the Gene Expression Omnibus (GEO) database. Differentially expressed genes (DEGs) were obtained from GEO2R. Venn diagram was drawn to select those genes that were overexpressed in all datasets, and survival analyses were performed to determine the prognostic values of the selected genes. New nomograms were developed based on the genes that were significantly associated with prognosis. Clinicopathological data were obtained from The Cancer Genome Atlas (TCGA). Finally, the new nomograms were compared head-to-head comparison with the TNM nomogram.\n\nResults\nFrom GSE21510, GSE110223, GSE113513 and GSE110224, a total of 834, 218, 236 and 613 overexpressed DEGs were screened out, respectively. The Venn diagram revealed that 12 genes appeared in all four profiles. After survival analyses, only INHBA expression was associated with both overall survival (OS) and disease-free survival (DFS). Multivariate analyses revealed that age, pathological N and pathological M were significant independent risk factors for OS. Age, pathological N, pathological M and INHBA were significant independent risk factors for DFS. Two prediction models predicted the probability of 3-year survival and 5-year survival for OS and DFS, respectively. The concordance indexes were 0.785 for 3-year overall survival, 0.759 for 5-year overall survival, 0.789 for 3-year disease-free survival and 0.757 for 5-year disease-free survival. The head-to-head comparison according to time-dependent ROC curves indicated that the new models had higher predictive accuracy. Decision curve analyses (DCA) indicated that the clinical value of the new models were higher than TNM models for predicting disease-free survival.\n\nConclusion\nThe combination of INHBA expression with a clinical nomogram improves prognostic power in colon adenocarcinoma, especially for predicting recurrence.","container-title":"BMC Cancer","DOI":"10.1186/s12885-020-06743-2","ISSN":"1471-2407","journalAbbreviation":"BMC Cancer","page":"305","PMID":"32293338","PMCID":"PMC7161248","source":"PubMed Central","title":"INHBA is a prognostic predictor for patients with colon adenocarcinoma","URL":"https://pmc.ncbi.nlm.nih.gov/articles/PMC7161248/","volume":"20","author":[{"family":"Li","given":"Xueying"},{"family":"Yu","given":"Weiming"},{"family":"Liang","given":"Chao"},{"family":"Xu","given":"Yuan"},{"family":"Zhang","given":"Miaozun"},{"family":"Ding","given":"Xiaoyun"},{"family":"Cai","given":"Xianlei"}],"accessed":{"date-parts":[["2026",7,15]]},"issued":{"date-parts":[["2020",4,15]]}}}],"schema":"https://github.com/citation-style-language/schema/raw/master/csl-citation.json"} </w:instrText>
      </w:r>
      <w:r w:rsidR="00D70B8B">
        <w:fldChar w:fldCharType="separate"/>
      </w:r>
      <w:r w:rsidR="00D70B8B" w:rsidRPr="00D70B8B">
        <w:rPr>
          <w:rFonts w:ascii="Calibri" w:hAnsi="Calibri" w:cs="Calibri"/>
        </w:rPr>
        <w:t>(7–11)</w:t>
      </w:r>
      <w:r w:rsidR="00D70B8B">
        <w:fldChar w:fldCharType="end"/>
      </w:r>
      <w:r w:rsidR="003B6702" w:rsidRPr="003B6702">
        <w:t>.</w:t>
      </w:r>
    </w:p>
    <w:p w14:paraId="139DA884" w14:textId="4B0CF14A" w:rsidR="00D42CD6" w:rsidRPr="00D42CD6" w:rsidRDefault="003B6702" w:rsidP="00D42CD6">
      <w:r w:rsidRPr="003B6702">
        <w:t>Su origen reside en la acumulación progresiva de alteraciones genéticas y epigenéticas que desregulan la homeostasis del epitelio intestinal</w:t>
      </w:r>
      <w:r w:rsidR="00F47B28">
        <w:fldChar w:fldCharType="begin"/>
      </w:r>
      <w:r w:rsidR="004B4551">
        <w:instrText xml:space="preserve"> ADDIN ZOTERO_ITEM CSL_CITATION {"citationID":"8DM34wPW","properties":{"unsorted":false,"formattedCitation":"(3,6,7,12,13)","plainCitation":"(3,6,7,12,13)","noteIndex":0},"citationItems":[{"id":35,"uris":["http://zotero.org/users/local/sechomLT/items/BQ8KHV3Z"],"itemData":{"id":35,"type":"article-journal","abstract":"Colorectal cancer (CRC) constitutes a prominent global health burden, being the third most frequently diagnosed malignancy in terms of incidence and the second leading cause of cancer-associated death across the globe. Malignant transformation of colonic epithelial cells stems from the intricate dysregulation of intracellular signal transduction networks. Although targeted therapies have substantially improved patient survival relative to traditional treatments, the complexity of the molecular networks driving carcinogenesis continues to limit the overall prognosis. This review delineates the core signaling cascades governing CRC initiation and progression, with emphasis on the molecular hallmarks of the disease. Drawing on a growing body of high-quality preclinical and clinical evidence, we summarize currently available targeted agents and critically evaluate their underlying mechanisms of action and clinical curative effects, and inherent limitations within the contemporary therapeutic landscape. In addition, we discuss how recent advances in immune checkpoint inhibitors (ICIs) along with a deeper understanding of the tumor microenvironment are shaping global clinical guidelines and revealing promising new targets and combinatorial strategies. In summary, expanding insights into oncogenic signaling pathways are guiding the development of novel treatments and enabling the identification of key elements amenable to pharmacological intervention. Ultimately, this review aims to support the rational design of precise and personalized therapeutic strategies to improve CRC prognosis.","container-title":"Molecular Biomedicine","DOI":"10.1186/s43556-026-00433-4","ISSN":"2662-8651","journalAbbreviation":"Mol Biomed","page":"32","PMID":"41826571","PMCID":"PMC12988139","source":"PubMed Central","title":"Colorectal cancer pathogenesis, oncogenic signaling networks and targeted therapeutic advances","URL":"https://pmc.ncbi.nlm.nih.gov/articles/PMC12988139/","volume":"7","author":[{"family":"Chen","given":"Yue"},{"family":"Zhang","given":"Jiaqi"},{"family":"Ding","given":"Yi"},{"family":"Zhu","given":"Fang"},{"family":"Chen","given":"Yinnan"}],"accessed":{"date-parts":[["2026",5,11]]},"issued":{"date-parts":[["2026",3,14]]}}},{"id":10,"uris":["http://zotero.org/users/local/sechomLT/items/PUDVKYZ9"],"itemData":{"id":10,"type":"article-journal","abstract":"Colorectal cancer (CRC) is a diverse disease entity and a leading cause of cancer-related mortality worldwide. CRC results from the accumulation of multiple genetic and epigenetic alterations. This heterogeneity of CRC underscores the significance of understanding its molecular landscape, as variations in tumor genetics can greatly influence both patient prognosis and therapeutic response. The molecular complexity of CRC is defined by three major carcinogenesis pathways: chromosomal instability (CIN), microsatellite instability (MSI), and the CpG island methylator phenotype (CIMP). These pathways contribute to the onset and progression of CRC through mutations, epigenetic modifications, and dysregulated cellular signalling networks. The heterogeneous nature of CRC continues to pose challenges in identifying universally effective treatments, highlighting the need for personalized approaches. Hence, the present review aims at unravelling the molecular complexity of CRC that is essential for improving diagnosis, prognostication, and treatment. We detail on the current understanding of the molecular framework of CRC, central signalling pathways of CRC associated with its initiation to a malignant phenotype, further invasion, progression, metastases, and response to therapy. Continued research into CRC’s pathways and biomarkers will pave the way for the development of more precise and effective therapeutic strategies, ultimately improving patient outcomes.","container-title":"Cancer Management and Research","DOI":"10.2147/CMAR.S481656","ISSN":"1179-1322","journalAbbreviation":"Cancer Manag Res","page":"1389-1403","PMID":"39403607","PMCID":"PMC11472760","source":"PubMed Central","title":"Molecular Complexity of Colorectal Cancer: Pathways, Biomarkers, and Therapeutic Strategies","title-short":"Molecular Complexity of Colorectal Cancer","URL":"https://pmc.ncbi.nlm.nih.gov/articles/PMC11472760/","volume":"16","author":[{"family":"Yang","given":"Zhengdong"},{"family":"Wang","given":"Xinyang"},{"family":"Zhou","given":"Huiying"},{"family":"Jiang","given":"Minghan"},{"family":"Wang","given":"Jinghui"},{"family":"Sui","given":"Bowen"}],"accessed":{"date-parts":[["2026",5,11]]},"issued":{"date-parts":[["2024",10,10]]}}},{"id":78,"uris":["http://zotero.org/users/local/sechomLT/items/736SCXWW"],"itemData":{"id":78,"type":"article-journal","abstract":"Collagen remodeling in the extracellular matrix drives alterations in the physical, mechanical, and optical properties of tissues, representing a fundamental biophysical hallmark of colorectal cancer (CRC) progression. These changes, reflected in variations in collagen composition, molecular orientation, and cross-linking density, transform tissue stiffness, elasticity, and anisotropy, directly influencing cancer cell behavior and mechanotransduction. Understanding these structural and physical transitions requires analytical methods capable of probing the molecular origins of biomechanical alteration in situ. Spectroscopic and optical methodologies provide high-resolution, label-free detection of the vibrational, optical, and mechanical alteration associated with collagen remodeling. These techniques capture the shifts in molecular vibrational modes, nonlinear optical responses, and scattering anisotropy that arise from collagen fibril alignment, structural disorder, and cross-link formation, thereby connecting molecular architecture to measurable macroscale biomechanics. The integration of multimodal spectroscopy and incorporation of machine learning algorithms further enhance diagnostic performance by resolving complex tissue heterogeneity and improving tumor margin detection. Overall, this review demonstrates how spectroscopic techniques can be applied in the biomedical field for cancer detection by analyzing collagen remodeling and structural alterations.","container-title":"Physics of Life Reviews","DOI":"10.1016/j.plrev.2026.01.009","ISSN":"1571-0645","journalAbbreviation":"Physics of Life Reviews","page":"239-257","source":"ScienceDirect","title":"Biophysical approaches to cancer diagnostics: Collagen biomarkers in colorectal cancer","title-short":"Biophysical approaches to cancer diagnostics","URL":"https://www.sciencedirect.com/science/article/pii/S1571064526000096","volume":"56","author":[{"family":"Biswas","given":"Shimul"},{"family":"Mahato","given":"Krishna Kishore"}],"accessed":{"date-parts":[["2026",7,14]]},"issued":{"date-parts":[["2026",3,1]]}}},{"id":130,"uris":["http://zotero.org/users/local/sechomLT/items/U9P9CPXJ"],"itemData":{"id":130,"type":"article-journal","abstract":"Colorectal cancer (CRC) is a heterogeneous disease with changes in the genetic and epigenetic levels of various genes. The molecular assessment of CRC is gaining increasing attention, and furthermore, there is an increase in biomarker use for disease prognostication. Therefore, the identification of different gene biomarkers through messenger RNA (mRNA) abundance levels may be useful for capturing the complex effects of CRC. In this study, we demonstrate that the high mRNA levels of 10 upregulated genes (DPEP1, KRT80, FABP6, NKD2, FOXQ1, CEMIP, ETV4, TESC, FUT1, and GAS2) are observed in CRC cell lines and public CRC datasets. Moreover, we find that a high mRNA expression of DPEP1, NKD2, CEMIP, ETV4, TESC, or FUT1 is significantly correlated with a worse prognosis in CRC patients. Further investigation reveals that CTNNB1 is the key factor in the interaction of the canonical Wnt signaling pathway with 10 upregulated CRC-associated genes. In particular, we identify NKD2, FOXQ1, and CEMIP as three CTNNB1-regulated genes. Moreover, individual inhibition of the expression of three CTNNB1-regulated genes can cause the growth inhibition of CRC cells. This study reveals efficient biomarkers for the prognosis of CRC and provides a new molecular interaction network for CRC.","container-title":"Biomedicines","DOI":"10.3390/biomedicines9101331","ISSN":"2227-9059","issue":"10","journalAbbreviation":"Biomedicines","page":"1331","PMID":"34680448","PMCID":"PMC8533439","source":"PubMed Central","title":"Expression Profile and Prognostic Value of Wnt Signaling Pathway Molecules in Colorectal Cancer","URL":"https://pmc.ncbi.nlm.nih.gov/articles/PMC8533439/","volume":"9","author":[{"family":"Wu","given":"Yung-Fu"},{"family":"Wang","given":"Chih-Yang"},{"family":"Tang","given":"Wan-Chun"},{"family":"Lee","given":"Yu-Cheng"},{"family":"Ta","given":"Hoang Dang Khoa"},{"family":"Lin","given":"Li-Chia"},{"family":"Pan","given":"Syu-Ruei"},{"family":"Ni","given":"Yi-Chun"},{"family":"Anuraga","given":"Gangga"},{"family":"Lee","given":"Kuen-Haur"}],"accessed":{"date-parts":[["2026",7,15]]},"issued":{"date-parts":[["2021",9,27]]}}},{"id":85,"uris":["http://zotero.org/users/local/sechomLT/items/SAPVJ6JV"],"itemData":{"id":85,"type":"article-journal","abstract":"Colon cancer is one of the most common cancers in the world. To identify the candidate genes in the carcinogenesis and progression of colon cancer, the microarray datasets GSE10950, GSE44861 and GSE74602 were downloaded from the Gene Expression Omnibus (GEO) database. The differentially expressed genes (DEGs) were identified, and functional enrichment analyses were performed. A total of 176 DEGs were identified, consisting of 55 genes upregulated and 121 genes downregulated in colon cancer tissues compared to non-cancerous tissues. The DEGs were mainly enriched in mineral absorption, nitrogen metabolism and complement and coagulation cascades. By using STRING database analysis, we constructed a coexpression network composed of 140 nodes and 280 edges for the DEGs with a combined score &gt;0.4 and a significant interaction relation. Thirteen hub genes were identified, and poor OS of patients was only associated with high expression of Matrix Metallopeptidase 7 (MMP7), which may be involved in the carcinogenesis, invasion or recurrence of colon cancer. In conclusion, we propose that the DEGs and hub genes identified in the present study may be regarded as diagnostic biomarkers for colon cancer. Moreover, the overexpression of MMP7 may correlate with poor prognosis.","container-title":"Medicine","DOI":"10.1097/MD.0000000000024953","ISSN":"0025-7974","issue":"9","journalAbbreviation":"Medicine (Baltimore)","page":"e24953","PMID":"33655961","PMCID":"PMC7939218","source":"PubMed Central","title":"MMP7 as a potential biomarker of colon cancer and its prognostic value by bioinformatics analysis","URL":"https://pmc.ncbi.nlm.nih.gov/articles/PMC7939218/","volume":"100","author":[{"family":"Chen","given":"Li"},{"family":"Ke","given":"Xueying"}],"accessed":{"date-parts":[["2026",7,14]]},"issued":{"date-parts":[["2021",3,5]]}}}],"schema":"https://github.com/citation-style-language/schema/raw/master/csl-citation.json"} </w:instrText>
      </w:r>
      <w:r w:rsidR="00F47B28">
        <w:fldChar w:fldCharType="separate"/>
      </w:r>
      <w:r w:rsidR="004B4551" w:rsidRPr="004B4551">
        <w:rPr>
          <w:rFonts w:ascii="Calibri" w:hAnsi="Calibri" w:cs="Calibri"/>
        </w:rPr>
        <w:t>(3,6,7,12,13)</w:t>
      </w:r>
      <w:r w:rsidR="00F47B28">
        <w:fldChar w:fldCharType="end"/>
      </w:r>
      <w:r w:rsidR="00F47B28">
        <w:t>.</w:t>
      </w:r>
      <w:r w:rsidR="00F47B28" w:rsidRPr="00F47B28">
        <w:t xml:space="preserve"> </w:t>
      </w:r>
      <w:r w:rsidR="00D42CD6" w:rsidRPr="00D42CD6">
        <w:t>Estas alteraciones impulsan la transición histológica desde la mucosa sana hacia la formación de adenomas y, finalmente, el adenocarcinoma invasivo</w:t>
      </w:r>
      <w:r w:rsidR="004B4551">
        <w:fldChar w:fldCharType="begin"/>
      </w:r>
      <w:r w:rsidR="004B4551">
        <w:instrText xml:space="preserve"> ADDIN ZOTERO_ITEM CSL_CITATION {"citationID":"kbhEgrIj","properties":{"unsorted":false,"formattedCitation":"(7)","plainCitation":"(7)","noteIndex":0},"citationItems":[{"id":78,"uris":["http://zotero.org/users/local/sechomLT/items/736SCXWW"],"itemData":{"id":78,"type":"article-journal","abstract":"Collagen remodeling in the extracellular matrix drives alterations in the physical, mechanical, and optical properties of tissues, representing a fundamental biophysical hallmark of colorectal cancer (CRC) progression. These changes, reflected in variations in collagen composition, molecular orientation, and cross-linking density, transform tissue stiffness, elasticity, and anisotropy, directly influencing cancer cell behavior and mechanotransduction. Understanding these structural and physical transitions requires analytical methods capable of probing the molecular origins of biomechanical alteration in situ. Spectroscopic and optical methodologies provide high-resolution, label-free detection of the vibrational, optical, and mechanical alteration associated with collagen remodeling. These techniques capture the shifts in molecular vibrational modes, nonlinear optical responses, and scattering anisotropy that arise from collagen fibril alignment, structural disorder, and cross-link formation, thereby connecting molecular architecture to measurable macroscale biomechanics. The integration of multimodal spectroscopy and incorporation of machine learning algorithms further enhance diagnostic performance by resolving complex tissue heterogeneity and improving tumor margin detection. Overall, this review demonstrates how spectroscopic techniques can be applied in the biomedical field for cancer detection by analyzing collagen remodeling and structural alterations.","container-title":"Physics of Life Reviews","DOI":"10.1016/j.plrev.2026.01.009","ISSN":"1571-0645","journalAbbreviation":"Physics of Life Reviews","page":"239-257","source":"ScienceDirect","title":"Biophysical approaches to cancer diagnostics: Collagen biomarkers in colorectal cancer","title-short":"Biophysical approaches to cancer diagnostics","URL":"https://www.sciencedirect.com/science/article/pii/S1571064526000096","volume":"56","author":[{"family":"Biswas","given":"Shimul"},{"family":"Mahato","given":"Krishna Kishore"}],"accessed":{"date-parts":[["2026",7,14]]},"issued":{"date-parts":[["2026",3,1]]}}}],"schema":"https://github.com/citation-style-language/schema/raw/master/csl-citation.json"} </w:instrText>
      </w:r>
      <w:r w:rsidR="004B4551">
        <w:fldChar w:fldCharType="separate"/>
      </w:r>
      <w:r w:rsidR="004B4551" w:rsidRPr="004B4551">
        <w:rPr>
          <w:rFonts w:ascii="Calibri" w:hAnsi="Calibri" w:cs="Calibri"/>
        </w:rPr>
        <w:t>(7)</w:t>
      </w:r>
      <w:r w:rsidR="004B4551">
        <w:fldChar w:fldCharType="end"/>
      </w:r>
      <w:r w:rsidR="00D42CD6" w:rsidRPr="00D42CD6">
        <w:t>. Durante esta progresión, las mutaciones en</w:t>
      </w:r>
      <w:r w:rsidR="00D35881">
        <w:t xml:space="preserve"> genes</w:t>
      </w:r>
      <w:r w:rsidR="00D42CD6" w:rsidRPr="00D42CD6">
        <w:t xml:space="preserve"> </w:t>
      </w:r>
      <w:r w:rsidR="004B4551" w:rsidRPr="004B4551">
        <w:rPr>
          <w:i/>
          <w:iCs/>
        </w:rPr>
        <w:t>drivers</w:t>
      </w:r>
      <w:r w:rsidR="00D42CD6">
        <w:t xml:space="preserve"> </w:t>
      </w:r>
      <w:r w:rsidR="00D42CD6" w:rsidRPr="00D42CD6">
        <w:t>canónicos</w:t>
      </w:r>
      <w:r w:rsidR="00D42CD6">
        <w:t xml:space="preserve"> (</w:t>
      </w:r>
      <w:r w:rsidR="00D42CD6" w:rsidRPr="00D42CD6">
        <w:t xml:space="preserve">como </w:t>
      </w:r>
      <w:r w:rsidR="00D42CD6" w:rsidRPr="004B4551">
        <w:t>APC, KRAS y TP53</w:t>
      </w:r>
      <w:r w:rsidR="00D42CD6">
        <w:t xml:space="preserve">) </w:t>
      </w:r>
      <w:r w:rsidR="00D42CD6" w:rsidRPr="00D42CD6">
        <w:t xml:space="preserve">alteran críticamente el control de la proliferación, la </w:t>
      </w:r>
      <w:r w:rsidR="00D42CD6" w:rsidRPr="00D42CD6">
        <w:lastRenderedPageBreak/>
        <w:t>apoptosis y la integridad de las rutas de señalización celular</w:t>
      </w:r>
      <w:r w:rsidR="004B4551">
        <w:fldChar w:fldCharType="begin"/>
      </w:r>
      <w:r w:rsidR="004B4551">
        <w:instrText xml:space="preserve"> ADDIN ZOTERO_ITEM CSL_CITATION {"citationID":"Cg2KAEqH","properties":{"unsorted":false,"formattedCitation":"(3,6,10,13,14)","plainCitation":"(3,6,10,13,14)","noteIndex":0},"citationItems":[{"id":35,"uris":["http://zotero.org/users/local/sechomLT/items/BQ8KHV3Z"],"itemData":{"id":35,"type":"article-journal","abstract":"Colorectal cancer (CRC) constitutes a prominent global health burden, being the third most frequently diagnosed malignancy in terms of incidence and the second leading cause of cancer-associated death across the globe. Malignant transformation of colonic epithelial cells stems from the intricate dysregulation of intracellular signal transduction networks. Although targeted therapies have substantially improved patient survival relative to traditional treatments, the complexity of the molecular networks driving carcinogenesis continues to limit the overall prognosis. This review delineates the core signaling cascades governing CRC initiation and progression, with emphasis on the molecular hallmarks of the disease. Drawing on a growing body of high-quality preclinical and clinical evidence, we summarize currently available targeted agents and critically evaluate their underlying mechanisms of action and clinical curative effects, and inherent limitations within the contemporary therapeutic landscape. In addition, we discuss how recent advances in immune checkpoint inhibitors (ICIs) along with a deeper understanding of the tumor microenvironment are shaping global clinical guidelines and revealing promising new targets and combinatorial strategies. In summary, expanding insights into oncogenic signaling pathways are guiding the development of novel treatments and enabling the identification of key elements amenable to pharmacological intervention. Ultimately, this review aims to support the rational design of precise and personalized therapeutic strategies to improve CRC prognosis.","container-title":"Molecular Biomedicine","DOI":"10.1186/s43556-026-00433-4","ISSN":"2662-8651","journalAbbreviation":"Mol Biomed","page":"32","PMID":"41826571","PMCID":"PMC12988139","source":"PubMed Central","title":"Colorectal cancer pathogenesis, oncogenic signaling networks and targeted therapeutic advances","URL":"https://pmc.ncbi.nlm.nih.gov/articles/PMC12988139/","volume":"7","author":[{"family":"Chen","given":"Yue"},{"family":"Zhang","given":"Jiaqi"},{"family":"Ding","given":"Yi"},{"family":"Zhu","given":"Fang"},{"family":"Chen","given":"Yinnan"}],"accessed":{"date-parts":[["2026",5,11]]},"issued":{"date-parts":[["2026",3,14]]}}},{"id":10,"uris":["http://zotero.org/users/local/sechomLT/items/PUDVKYZ9"],"itemData":{"id":10,"type":"article-journal","abstract":"Colorectal cancer (CRC) is a diverse disease entity and a leading cause of cancer-related mortality worldwide. CRC results from the accumulation of multiple genetic and epigenetic alterations. This heterogeneity of CRC underscores the significance of understanding its molecular landscape, as variations in tumor genetics can greatly influence both patient prognosis and therapeutic response. The molecular complexity of CRC is defined by three major carcinogenesis pathways: chromosomal instability (CIN), microsatellite instability (MSI), and the CpG island methylator phenotype (CIMP). These pathways contribute to the onset and progression of CRC through mutations, epigenetic modifications, and dysregulated cellular signalling networks. The heterogeneous nature of CRC continues to pose challenges in identifying universally effective treatments, highlighting the need for personalized approaches. Hence, the present review aims at unravelling the molecular complexity of CRC that is essential for improving diagnosis, prognostication, and treatment. We detail on the current understanding of the molecular framework of CRC, central signalling pathways of CRC associated with its initiation to a malignant phenotype, further invasion, progression, metastases, and response to therapy. Continued research into CRC’s pathways and biomarkers will pave the way for the development of more precise and effective therapeutic strategies, ultimately improving patient outcomes.","container-title":"Cancer Management and Research","DOI":"10.2147/CMAR.S481656","ISSN":"1179-1322","journalAbbreviation":"Cancer Manag Res","page":"1389-1403","PMID":"39403607","PMCID":"PMC11472760","source":"PubMed Central","title":"Molecular Complexity of Colorectal Cancer: Pathways, Biomarkers, and Therapeutic Strategies","title-short":"Molecular Complexity of Colorectal Cancer","URL":"https://pmc.ncbi.nlm.nih.gov/articles/PMC11472760/","volume":"16","author":[{"family":"Yang","given":"Zhengdong"},{"family":"Wang","given":"Xinyang"},{"family":"Zhou","given":"Huiying"},{"family":"Jiang","given":"Minghan"},{"family":"Wang","given":"Jinghui"},{"family":"Sui","given":"Bowen"}],"accessed":{"date-parts":[["2026",5,11]]},"issued":{"date-parts":[["2024",10,10]]}}},{"id":231,"uris":["http://zotero.org/users/local/sechomLT/items/SX3EXBZZ"],"itemData":{"id":231,"type":"article-journal","abstract":"Colorectal cancer is driven by complex genetic and molecular alterations, necessitating reliable targets for diagnosis and therapy. Single-omics studies offer limited insight. We performed a systematic in silico multi-omics integration using four public databases: GEO (differential expression), cBioPortal (genomic alterations), DisGeNET (gene–disease associations), and GeneCards (annotated/predicted CRC genes). Genes identified in ≥ 2 independent sources were curated into a high-confidence panel comprising 996 CRC-associated genes. Functional enrichment analysis of this panel revealed significant over-representation of pathways critical to CRC pathogenesis, including cell cycle regulation, apoptosis, DNA repair, and canonical signalling cascades (Wnt, MAPK, PI3K–AKT). PPI network analysis in Cytoscape using the Maximal Clique Centrality algorithm identified ten high-centrality hub genes: AKT1, STAT3, TP53, CTNNB1, BCL2, MYC, CCND1, PTEN, ESR1, and JUN. Eight of these are established CRC drivers, confirming the credibility of the approach, whereas ESR1 and JUN emerged as potentially under-investigated candidates. Hub gene relevance was independently confirmed via cBioPortal (alterations and correlations), TCGA/GEPIA2 (tumour–normal and stage-specific expression), the Human Protein Atlas (protein abundance), and TIMER2.0 (immune infiltration). This in silico multi-omics research work prioritises high-confidence therapeutic targets in CRC using publicly available data and nominates ESR1 and JUN for further investigation, while highlighting the need for experimental validation. The framework demonstrates the power of cross-platform evidence for biomarker discovery in complex diseases and is readily adaptable to other malignancies.","container-title":"Network Modeling Analysis in Health Informatics and Bioinformatics","DOI":"10.1007/s13721-025-00696-x","ISSN":"2192-6670","issue":"1","journalAbbreviation":"Netw Model Anal Health Inform Bioinforma","language":"en","page":"10","source":"Springer Link","title":"Multi-omics integration and network analysis identify therapeutic hub genes in colorectal cancer","URL":"https://doi.org/10.1007/s13721-025-00696-x","volume":"15","author":[{"family":"Mathew","given":"Emi"},{"family":"Thomas","given":"Philip Litto"},{"family":"Mathew","given":"Linu"}],"accessed":{"date-parts":[["2026",7,26]]},"issued":{"date-parts":[["2025",12,19]]}}},{"id":85,"uris":["http://zotero.org/users/local/sechomLT/items/SAPVJ6JV"],"itemData":{"id":85,"type":"article-journal","abstract":"Colon cancer is one of the most common cancers in the world. To identify the candidate genes in the carcinogenesis and progression of colon cancer, the microarray datasets GSE10950, GSE44861 and GSE74602 were downloaded from the Gene Expression Omnibus (GEO) database. The differentially expressed genes (DEGs) were identified, and functional enrichment analyses were performed. A total of 176 DEGs were identified, consisting of 55 genes upregulated and 121 genes downregulated in colon cancer tissues compared to non-cancerous tissues. The DEGs were mainly enriched in mineral absorption, nitrogen metabolism and complement and coagulation cascades. By using STRING database analysis, we constructed a coexpression network composed of 140 nodes and 280 edges for the DEGs with a combined score &gt;0.4 and a significant interaction relation. Thirteen hub genes were identified, and poor OS of patients was only associated with high expression of Matrix Metallopeptidase 7 (MMP7), which may be involved in the carcinogenesis, invasion or recurrence of colon cancer. In conclusion, we propose that the DEGs and hub genes identified in the present study may be regarded as diagnostic biomarkers for colon cancer. Moreover, the overexpression of MMP7 may correlate with poor prognosis.","container-title":"Medicine","DOI":"10.1097/MD.0000000000024953","ISSN":"0025-7974","issue":"9","journalAbbreviation":"Medicine (Baltimore)","page":"e24953","PMID":"33655961","PMCID":"PMC7939218","source":"PubMed Central","title":"MMP7 as a potential biomarker of colon cancer and its prognostic value by bioinformatics analysis","URL":"https://pmc.ncbi.nlm.nih.gov/articles/PMC7939218/","volume":"100","author":[{"family":"Chen","given":"Li"},{"family":"Ke","given":"Xueying"}],"accessed":{"date-parts":[["2026",7,14]]},"issued":{"date-parts":[["2021",3,5]]}}},{"id":136,"uris":["http://zotero.org/users/local/sechomLT/items/I8FJEX9X"],"itemData":{"id":136,"type":"article-journal","abstract":"Background:\nThe KIAA1199 transcript is upregulated in colon adenomas and downregulated upon β-catenin knockdown.\n\nMethods:\nTranscript profiling was performed on &gt;500 colon biopsies, methylation profiling data were compared with transcript data. Immunohistochemistry assessed KIAA1199 protein expression in 270 stage II/III tumours (&gt;3 years follow-up). The effects of stable KIAA1199 knockdown in SW480 cells (three different constructs) were studied using transcriptional profiling, proliferation and protein analysis.\n\nResults:\nThe KIAA1199 transcript was strongly upregulated in 95% of adenocarcinomas. Absent expression in normal mucosa correlated with KIAA1199 promotor methylation. Nuclear and cytoplasmic KIAA1199 protein expression was identified in colon adenocarcinomas and other types of cancers. A subpopulation of patients with tumours strongly expressing KIAA1199 in the nucleus showed a better outcome with regard to recurrence as lung or liver metastases. The KIAA1199 knockdown affected the cell cycle and the Wnt-signalling pathway. Reduced cellular proliferation and decreased KI67, phosphorylated retinoblastoma, β-catenin and ASCL2 protein expression supported these findings. Eighteen Wnt-signalling genes differentially expressed upon KIAA1199 knockdown correlated with the KIAA1199 expression profile in clinical specimens.\n\nConclusion:\nThe KIAA1199 knockdown attenuates the effects of the Wnt/β-catenin signalling and it may thus be regarded as a regulatory part of this pathway.","container-title":"British Journal of Cancer","DOI":"10.1038/bjc.2011.268","ISSN":"0007-0920","issue":"4","journalAbbreviation":"Br J Cancer","page":"552-561","PMID":"21772334","PMCID":"PMC3170968","source":"PubMed Central","title":"Repression of KIAA1199 attenuates Wnt-signalling and decreases the proliferation of colon cancer cells","URL":"https://pmc.ncbi.nlm.nih.gov/articles/PMC3170968/","volume":"105","author":[{"family":"Birkenkamp-Demtroder","given":"K"},{"family":"Maghnouj","given":"A"},{"family":"Mansilla","given":"F"},{"family":"Thorsen","given":"K"},{"family":"Andersen","given":"C L"},{"family":"Øster","given":"B"},{"family":"Hahn","given":"S"},{"family":"Ørntoft","given":"T F"}],"accessed":{"date-parts":[["2026",7,15]]},"issued":{"date-parts":[["2011",8,9]]}}}],"schema":"https://github.com/citation-style-language/schema/raw/master/csl-citation.json"} </w:instrText>
      </w:r>
      <w:r w:rsidR="004B4551">
        <w:fldChar w:fldCharType="separate"/>
      </w:r>
      <w:r w:rsidR="004B4551" w:rsidRPr="004B4551">
        <w:rPr>
          <w:rFonts w:ascii="Calibri" w:hAnsi="Calibri" w:cs="Calibri"/>
        </w:rPr>
        <w:t>(3,6,10,13,14)</w:t>
      </w:r>
      <w:r w:rsidR="004B4551">
        <w:fldChar w:fldCharType="end"/>
      </w:r>
      <w:r w:rsidR="00D42CD6" w:rsidRPr="00D42CD6">
        <w:t>. Sin embargo, la variabilidad en la combinación y expresión de estos perfiles moleculares deriva en un desarrollo neoplásico muy diferente en cada paciente.</w:t>
      </w:r>
    </w:p>
    <w:p w14:paraId="541D234D" w14:textId="78C97233" w:rsidR="00FC4778" w:rsidRPr="00FC4778" w:rsidRDefault="00FC4778" w:rsidP="00FC4778">
      <w:r w:rsidRPr="00FC4778">
        <w:t xml:space="preserve">Con el fin de estructurar la marcada heterogeneidad biológica del </w:t>
      </w:r>
      <w:r>
        <w:t>CRC</w:t>
      </w:r>
      <w:r w:rsidRPr="00FC4778">
        <w:t xml:space="preserve">, el </w:t>
      </w:r>
      <w:proofErr w:type="spellStart"/>
      <w:r w:rsidRPr="00FC4778">
        <w:rPr>
          <w:i/>
          <w:iCs/>
        </w:rPr>
        <w:t>Colorectal</w:t>
      </w:r>
      <w:proofErr w:type="spellEnd"/>
      <w:r w:rsidRPr="00FC4778">
        <w:rPr>
          <w:i/>
          <w:iCs/>
        </w:rPr>
        <w:t xml:space="preserve"> </w:t>
      </w:r>
      <w:proofErr w:type="spellStart"/>
      <w:r w:rsidRPr="00FC4778">
        <w:rPr>
          <w:i/>
          <w:iCs/>
        </w:rPr>
        <w:t>Cancer</w:t>
      </w:r>
      <w:proofErr w:type="spellEnd"/>
      <w:r w:rsidRPr="00FC4778">
        <w:rPr>
          <w:i/>
          <w:iCs/>
        </w:rPr>
        <w:t xml:space="preserve"> </w:t>
      </w:r>
      <w:proofErr w:type="spellStart"/>
      <w:r w:rsidRPr="00FC4778">
        <w:rPr>
          <w:i/>
          <w:iCs/>
        </w:rPr>
        <w:t>Subtyping</w:t>
      </w:r>
      <w:proofErr w:type="spellEnd"/>
      <w:r w:rsidRPr="00FC4778">
        <w:rPr>
          <w:i/>
          <w:iCs/>
        </w:rPr>
        <w:t xml:space="preserve"> </w:t>
      </w:r>
      <w:proofErr w:type="spellStart"/>
      <w:r w:rsidRPr="00FC4778">
        <w:rPr>
          <w:i/>
          <w:iCs/>
        </w:rPr>
        <w:t>Consortium</w:t>
      </w:r>
      <w:proofErr w:type="spellEnd"/>
      <w:r w:rsidRPr="00FC4778">
        <w:t xml:space="preserve"> definió la clasificación basada en Subtipos Moleculares de Consenso (CMS)</w:t>
      </w:r>
      <w:r>
        <w:fldChar w:fldCharType="begin"/>
      </w:r>
      <w:r>
        <w:instrText xml:space="preserve"> ADDIN ZOTERO_ITEM CSL_CITATION {"citationID":"fgCEtDrJ","properties":{"unsorted":false,"formattedCitation":"(9)","plainCitation":"(9)","noteIndex":0},"citationItems":[{"id":219,"uris":["http://zotero.org/users/local/sechomLT/items/Q3YBI9XD"],"itemData":{"id":219,"type":"article-journal","abstract":"Colorectal cancer (CRC) is a frequently lethal disease with heterogeneous outcomes and drug responses. To resolve inconsistencies among the reported gene expression–based CRC classifications and facilitate clinical translation, we formed an international consortium dedicated to large-scale data sharing and analytics across expert groups. We show marked interconnectivity between six independent classification systems coalescing into four consensus molecular subtypes (CMS) with distinguishing features: CMS1 (MSI Immune, 14%), hypermutated, microsatellite unstable, strong immune activation; CMS2 (Canonical, 37%), epithelial, chromosomally unstable, marked WNT and MYC signaling activation; CMS3 (Metabolic, 13%), epithelial, evident metabolic dysregulation; and CMS4 (Mesenchymal, 23%), prominent transforming growth factor β activation, stromal invasion, and angiogenesis. Samples with mixed features (13%) possibly represent a transition phenotype or intra-tumoral heterogeneity. We consider the CMS groups the most robust classification system currently available for CRC – with clear biological interpretability – and the basis for future clinical stratification and subtype–based targeted interventions.","container-title":"Nature medicine","DOI":"10.1038/nm.3967","ISSN":"1078-8956","issue":"11","journalAbbreviation":"Nat Med","page":"1350-1356","PMID":"26457759","PMCID":"PMC4636487","source":"PubMed Central","title":"The Consensus Molecular Subtypes of Colorectal Cancer","URL":"https://pmc.ncbi.nlm.nih.gov/articles/PMC4636487/","volume":"21","author":[{"family":"Guinney","given":"Justin"},{"family":"Dienstmann","given":"Rodrigo"},{"family":"Wang","given":"Xin"},{"family":"Reyniès","given":"Aurélien","non-dropping-particle":"de"},{"family":"Schlicker","given":"Andreas"},{"family":"Soneson","given":"Charlotte"},{"family":"Marisa","given":"Laetitia"},{"family":"Roepman","given":"Paul"},{"family":"Nyamundanda","given":"Gift"},{"family":"Angelino","given":"Paolo"},{"family":"Bot","given":"Brian M."},{"family":"Morris","given":"Jeffrey S."},{"family":"Simon","given":"Iris M."},{"family":"Gerster","given":"Sarah"},{"family":"Fessler","given":"Evelyn"},{"family":"Sousa e Melo","given":"Felipe","non-dropping-particle":"de"},{"family":"Missiaglia","given":"Edoardo"},{"family":"Ramay","given":"Hena"},{"family":"Barras","given":"David"},{"family":"Homicsko","given":"Krisztian"},{"family":"Maru","given":"Dipen"},{"family":"Manyam","given":"Ganiraju C."},{"family":"Broom","given":"Bradley"},{"family":"Boige","given":"Valerie"},{"family":"Perez-Villamil","given":"Beatriz"},{"family":"Laderas","given":"Ted"},{"family":"Salazar","given":"Ramon"},{"family":"Gray","given":"Joe W."},{"family":"Hanahan","given":"Douglas"},{"family":"Tabernero","given":"Josep"},{"family":"Bernards","given":"Rene"},{"family":"Friend","given":"Stephen H."},{"family":"Laurent-Puig","given":"Pierre"},{"family":"Medema","given":"Jan Paul"},{"family":"Sadanandam","given":"Anguraj"},{"family":"Wessels","given":"Lodewyk"},{"family":"Delorenzi","given":"Mauro"},{"family":"Kopetz","given":"Scott"},{"family":"Vermeulen","given":"Louis"},{"family":"Tejpar","given":"Sabine"}],"accessed":{"date-parts":[["2026",7,26]]},"issued":{"date-parts":[["2015",11]]}}}],"schema":"https://github.com/citation-style-language/schema/raw/master/csl-citation.json"} </w:instrText>
      </w:r>
      <w:r>
        <w:fldChar w:fldCharType="separate"/>
      </w:r>
      <w:r w:rsidRPr="00FC4778">
        <w:rPr>
          <w:rFonts w:ascii="Calibri" w:hAnsi="Calibri" w:cs="Calibri"/>
        </w:rPr>
        <w:t>(9)</w:t>
      </w:r>
      <w:r>
        <w:fldChar w:fldCharType="end"/>
      </w:r>
      <w:r w:rsidRPr="00FC4778">
        <w:t>. En su trabajo, los autores dividieron la enfermedad</w:t>
      </w:r>
      <w:r>
        <w:t xml:space="preserve"> </w:t>
      </w:r>
      <w:r w:rsidRPr="00FC4778">
        <w:t>en cuatro grupos diferenciados según sus perfiles globales de expresión génica. El grupo CMS1 (Inmune) se caracteriza por hipermutación y fuerte infiltración inmunitaria, mientras que el CMS2 (Canónico) es de estirpe epitelial y muestra una marcada actividad proliferativa</w:t>
      </w:r>
      <w:r w:rsidR="00C21ADF">
        <w:fldChar w:fldCharType="begin"/>
      </w:r>
      <w:r w:rsidR="00C21ADF">
        <w:instrText xml:space="preserve"> ADDIN ZOTERO_ITEM CSL_CITATION {"citationID":"ohTxYGAo","properties":{"unsorted":false,"formattedCitation":"(9)","plainCitation":"(9)","noteIndex":0},"citationItems":[{"id":219,"uris":["http://zotero.org/users/local/sechomLT/items/Q3YBI9XD"],"itemData":{"id":219,"type":"article-journal","abstract":"Colorectal cancer (CRC) is a frequently lethal disease with heterogeneous outcomes and drug responses. To resolve inconsistencies among the reported gene expression–based CRC classifications and facilitate clinical translation, we formed an international consortium dedicated to large-scale data sharing and analytics across expert groups. We show marked interconnectivity between six independent classification systems coalescing into four consensus molecular subtypes (CMS) with distinguishing features: CMS1 (MSI Immune, 14%), hypermutated, microsatellite unstable, strong immune activation; CMS2 (Canonical, 37%), epithelial, chromosomally unstable, marked WNT and MYC signaling activation; CMS3 (Metabolic, 13%), epithelial, evident metabolic dysregulation; and CMS4 (Mesenchymal, 23%), prominent transforming growth factor β activation, stromal invasion, and angiogenesis. Samples with mixed features (13%) possibly represent a transition phenotype or intra-tumoral heterogeneity. We consider the CMS groups the most robust classification system currently available for CRC – with clear biological interpretability – and the basis for future clinical stratification and subtype–based targeted interventions.","container-title":"Nature medicine","DOI":"10.1038/nm.3967","ISSN":"1078-8956","issue":"11","journalAbbreviation":"Nat Med","page":"1350-1356","PMID":"26457759","PMCID":"PMC4636487","source":"PubMed Central","title":"The Consensus Molecular Subtypes of Colorectal Cancer","URL":"https://pmc.ncbi.nlm.nih.gov/articles/PMC4636487/","volume":"21","author":[{"family":"Guinney","given":"Justin"},{"family":"Dienstmann","given":"Rodrigo"},{"family":"Wang","given":"Xin"},{"family":"Reyniès","given":"Aurélien","non-dropping-particle":"de"},{"family":"Schlicker","given":"Andreas"},{"family":"Soneson","given":"Charlotte"},{"family":"Marisa","given":"Laetitia"},{"family":"Roepman","given":"Paul"},{"family":"Nyamundanda","given":"Gift"},{"family":"Angelino","given":"Paolo"},{"family":"Bot","given":"Brian M."},{"family":"Morris","given":"Jeffrey S."},{"family":"Simon","given":"Iris M."},{"family":"Gerster","given":"Sarah"},{"family":"Fessler","given":"Evelyn"},{"family":"Sousa e Melo","given":"Felipe","non-dropping-particle":"de"},{"family":"Missiaglia","given":"Edoardo"},{"family":"Ramay","given":"Hena"},{"family":"Barras","given":"David"},{"family":"Homicsko","given":"Krisztian"},{"family":"Maru","given":"Dipen"},{"family":"Manyam","given":"Ganiraju C."},{"family":"Broom","given":"Bradley"},{"family":"Boige","given":"Valerie"},{"family":"Perez-Villamil","given":"Beatriz"},{"family":"Laderas","given":"Ted"},{"family":"Salazar","given":"Ramon"},{"family":"Gray","given":"Joe W."},{"family":"Hanahan","given":"Douglas"},{"family":"Tabernero","given":"Josep"},{"family":"Bernards","given":"Rene"},{"family":"Friend","given":"Stephen H."},{"family":"Laurent-Puig","given":"Pierre"},{"family":"Medema","given":"Jan Paul"},{"family":"Sadanandam","given":"Anguraj"},{"family":"Wessels","given":"Lodewyk"},{"family":"Delorenzi","given":"Mauro"},{"family":"Kopetz","given":"Scott"},{"family":"Vermeulen","given":"Louis"},{"family":"Tejpar","given":"Sabine"}],"accessed":{"date-parts":[["2026",7,26]]},"issued":{"date-parts":[["2015",11]]}}}],"schema":"https://github.com/citation-style-language/schema/raw/master/csl-citation.json"} </w:instrText>
      </w:r>
      <w:r w:rsidR="00C21ADF">
        <w:fldChar w:fldCharType="separate"/>
      </w:r>
      <w:r w:rsidR="00C21ADF" w:rsidRPr="00C21ADF">
        <w:rPr>
          <w:rFonts w:ascii="Calibri" w:hAnsi="Calibri" w:cs="Calibri"/>
        </w:rPr>
        <w:t>(9)</w:t>
      </w:r>
      <w:r w:rsidR="00C21ADF">
        <w:fldChar w:fldCharType="end"/>
      </w:r>
      <w:r w:rsidRPr="00FC4778">
        <w:t>. Por su parte, el CMS3 (Metabólico) refleja una clara desregulación de las rutas metabólicas celulares, y el CMS4 (Mesenquimal) destaca por su elevada infiltración estromal y su peor pronóstico clínico</w:t>
      </w:r>
      <w:r w:rsidR="00C21ADF">
        <w:fldChar w:fldCharType="begin"/>
      </w:r>
      <w:r w:rsidR="00C21ADF">
        <w:instrText xml:space="preserve"> ADDIN ZOTERO_ITEM CSL_CITATION {"citationID":"gqblEUsn","properties":{"unsorted":false,"formattedCitation":"(9)","plainCitation":"(9)","noteIndex":0},"citationItems":[{"id":219,"uris":["http://zotero.org/users/local/sechomLT/items/Q3YBI9XD"],"itemData":{"id":219,"type":"article-journal","abstract":"Colorectal cancer (CRC) is a frequently lethal disease with heterogeneous outcomes and drug responses. To resolve inconsistencies among the reported gene expression–based CRC classifications and facilitate clinical translation, we formed an international consortium dedicated to large-scale data sharing and analytics across expert groups. We show marked interconnectivity between six independent classification systems coalescing into four consensus molecular subtypes (CMS) with distinguishing features: CMS1 (MSI Immune, 14%), hypermutated, microsatellite unstable, strong immune activation; CMS2 (Canonical, 37%), epithelial, chromosomally unstable, marked WNT and MYC signaling activation; CMS3 (Metabolic, 13%), epithelial, evident metabolic dysregulation; and CMS4 (Mesenchymal, 23%), prominent transforming growth factor β activation, stromal invasion, and angiogenesis. Samples with mixed features (13%) possibly represent a transition phenotype or intra-tumoral heterogeneity. We consider the CMS groups the most robust classification system currently available for CRC – with clear biological interpretability – and the basis for future clinical stratification and subtype–based targeted interventions.","container-title":"Nature medicine","DOI":"10.1038/nm.3967","ISSN":"1078-8956","issue":"11","journalAbbreviation":"Nat Med","page":"1350-1356","PMID":"26457759","PMCID":"PMC4636487","source":"PubMed Central","title":"The Consensus Molecular Subtypes of Colorectal Cancer","URL":"https://pmc.ncbi.nlm.nih.gov/articles/PMC4636487/","volume":"21","author":[{"family":"Guinney","given":"Justin"},{"family":"Dienstmann","given":"Rodrigo"},{"family":"Wang","given":"Xin"},{"family":"Reyniès","given":"Aurélien","non-dropping-particle":"de"},{"family":"Schlicker","given":"Andreas"},{"family":"Soneson","given":"Charlotte"},{"family":"Marisa","given":"Laetitia"},{"family":"Roepman","given":"Paul"},{"family":"Nyamundanda","given":"Gift"},{"family":"Angelino","given":"Paolo"},{"family":"Bot","given":"Brian M."},{"family":"Morris","given":"Jeffrey S."},{"family":"Simon","given":"Iris M."},{"family":"Gerster","given":"Sarah"},{"family":"Fessler","given":"Evelyn"},{"family":"Sousa e Melo","given":"Felipe","non-dropping-particle":"de"},{"family":"Missiaglia","given":"Edoardo"},{"family":"Ramay","given":"Hena"},{"family":"Barras","given":"David"},{"family":"Homicsko","given":"Krisztian"},{"family":"Maru","given":"Dipen"},{"family":"Manyam","given":"Ganiraju C."},{"family":"Broom","given":"Bradley"},{"family":"Boige","given":"Valerie"},{"family":"Perez-Villamil","given":"Beatriz"},{"family":"Laderas","given":"Ted"},{"family":"Salazar","given":"Ramon"},{"family":"Gray","given":"Joe W."},{"family":"Hanahan","given":"Douglas"},{"family":"Tabernero","given":"Josep"},{"family":"Bernards","given":"Rene"},{"family":"Friend","given":"Stephen H."},{"family":"Laurent-Puig","given":"Pierre"},{"family":"Medema","given":"Jan Paul"},{"family":"Sadanandam","given":"Anguraj"},{"family":"Wessels","given":"Lodewyk"},{"family":"Delorenzi","given":"Mauro"},{"family":"Kopetz","given":"Scott"},{"family":"Vermeulen","given":"Louis"},{"family":"Tejpar","given":"Sabine"}],"accessed":{"date-parts":[["2026",7,26]]},"issued":{"date-parts":[["2015",11]]}}}],"schema":"https://github.com/citation-style-language/schema/raw/master/csl-citation.json"} </w:instrText>
      </w:r>
      <w:r w:rsidR="00C21ADF">
        <w:fldChar w:fldCharType="separate"/>
      </w:r>
      <w:r w:rsidR="00C21ADF" w:rsidRPr="00C21ADF">
        <w:rPr>
          <w:rFonts w:ascii="Calibri" w:hAnsi="Calibri" w:cs="Calibri"/>
        </w:rPr>
        <w:t>(9)</w:t>
      </w:r>
      <w:r w:rsidR="00C21ADF">
        <w:fldChar w:fldCharType="end"/>
      </w:r>
      <w:r w:rsidRPr="00FC4778">
        <w:t>.</w:t>
      </w:r>
    </w:p>
    <w:p w14:paraId="1A45C017" w14:textId="303BD7D1" w:rsidR="00E54804" w:rsidRPr="00E54804" w:rsidRDefault="00FC4778" w:rsidP="00E54804">
      <w:r w:rsidRPr="00FC4778">
        <w:t xml:space="preserve">A pesar de su utilidad para categorizar la patología, la estratificación en subtipos CMS presenta limitaciones biológicas y clínicas significativas. </w:t>
      </w:r>
      <w:r w:rsidR="00E54804" w:rsidRPr="00E54804">
        <w:t>La presencia de fenotipos mixtos y la alta variabilidad dentro de un mismo grupo dificultan la asignación clínica de los pacientes</w:t>
      </w:r>
      <w:r w:rsidR="00F1792A">
        <w:fldChar w:fldCharType="begin"/>
      </w:r>
      <w:r w:rsidR="00F1792A">
        <w:instrText xml:space="preserve"> ADDIN ZOTERO_ITEM CSL_CITATION {"citationID":"IY9pSjcs","properties":{"unsorted":false,"formattedCitation":"(9)","plainCitation":"(9)","noteIndex":0},"citationItems":[{"id":219,"uris":["http://zotero.org/users/local/sechomLT/items/Q3YBI9XD"],"itemData":{"id":219,"type":"article-journal","abstract":"Colorectal cancer (CRC) is a frequently lethal disease with heterogeneous outcomes and drug responses. To resolve inconsistencies among the reported gene expression–based CRC classifications and facilitate clinical translation, we formed an international consortium dedicated to large-scale data sharing and analytics across expert groups. We show marked interconnectivity between six independent classification systems coalescing into four consensus molecular subtypes (CMS) with distinguishing features: CMS1 (MSI Immune, 14%), hypermutated, microsatellite unstable, strong immune activation; CMS2 (Canonical, 37%), epithelial, chromosomally unstable, marked WNT and MYC signaling activation; CMS3 (Metabolic, 13%), epithelial, evident metabolic dysregulation; and CMS4 (Mesenchymal, 23%), prominent transforming growth factor β activation, stromal invasion, and angiogenesis. Samples with mixed features (13%) possibly represent a transition phenotype or intra-tumoral heterogeneity. We consider the CMS groups the most robust classification system currently available for CRC – with clear biological interpretability – and the basis for future clinical stratification and subtype–based targeted interventions.","container-title":"Nature medicine","DOI":"10.1038/nm.3967","ISSN":"1078-8956","issue":"11","journalAbbreviation":"Nat Med","page":"1350-1356","PMID":"26457759","PMCID":"PMC4636487","source":"PubMed Central","title":"The Consensus Molecular Subtypes of Colorectal Cancer","URL":"https://pmc.ncbi.nlm.nih.gov/articles/PMC4636487/","volume":"21","author":[{"family":"Guinney","given":"Justin"},{"family":"Dienstmann","given":"Rodrigo"},{"family":"Wang","given":"Xin"},{"family":"Reyniès","given":"Aurélien","non-dropping-particle":"de"},{"family":"Schlicker","given":"Andreas"},{"family":"Soneson","given":"Charlotte"},{"family":"Marisa","given":"Laetitia"},{"family":"Roepman","given":"Paul"},{"family":"Nyamundanda","given":"Gift"},{"family":"Angelino","given":"Paolo"},{"family":"Bot","given":"Brian M."},{"family":"Morris","given":"Jeffrey S."},{"family":"Simon","given":"Iris M."},{"family":"Gerster","given":"Sarah"},{"family":"Fessler","given":"Evelyn"},{"family":"Sousa e Melo","given":"Felipe","non-dropping-particle":"de"},{"family":"Missiaglia","given":"Edoardo"},{"family":"Ramay","given":"Hena"},{"family":"Barras","given":"David"},{"family":"Homicsko","given":"Krisztian"},{"family":"Maru","given":"Dipen"},{"family":"Manyam","given":"Ganiraju C."},{"family":"Broom","given":"Bradley"},{"family":"Boige","given":"Valerie"},{"family":"Perez-Villamil","given":"Beatriz"},{"family":"Laderas","given":"Ted"},{"family":"Salazar","given":"Ramon"},{"family":"Gray","given":"Joe W."},{"family":"Hanahan","given":"Douglas"},{"family":"Tabernero","given":"Josep"},{"family":"Bernards","given":"Rene"},{"family":"Friend","given":"Stephen H."},{"family":"Laurent-Puig","given":"Pierre"},{"family":"Medema","given":"Jan Paul"},{"family":"Sadanandam","given":"Anguraj"},{"family":"Wessels","given":"Lodewyk"},{"family":"Delorenzi","given":"Mauro"},{"family":"Kopetz","given":"Scott"},{"family":"Vermeulen","given":"Louis"},{"family":"Tejpar","given":"Sabine"}],"accessed":{"date-parts":[["2026",7,26]]},"issued":{"date-parts":[["2015",11]]}}}],"schema":"https://github.com/citation-style-language/schema/raw/master/csl-citation.json"} </w:instrText>
      </w:r>
      <w:r w:rsidR="00F1792A">
        <w:fldChar w:fldCharType="separate"/>
      </w:r>
      <w:r w:rsidR="00F1792A" w:rsidRPr="00F1792A">
        <w:rPr>
          <w:rFonts w:ascii="Calibri" w:hAnsi="Calibri" w:cs="Calibri"/>
        </w:rPr>
        <w:t>(9)</w:t>
      </w:r>
      <w:r w:rsidR="00F1792A">
        <w:fldChar w:fldCharType="end"/>
      </w:r>
      <w:r w:rsidRPr="00FC4778">
        <w:t xml:space="preserve">. Esta </w:t>
      </w:r>
      <w:r w:rsidR="00E54804">
        <w:t>heterogeneidad</w:t>
      </w:r>
      <w:r w:rsidRPr="00FC4778">
        <w:t xml:space="preserve"> </w:t>
      </w:r>
      <w:r w:rsidR="00E54804" w:rsidRPr="00E54804">
        <w:t>limita el desarrollo de herramientas diagnósticas y terapéuticas aplicables a la totalidad de los casos</w:t>
      </w:r>
      <w:r w:rsidRPr="00FC4778">
        <w:t xml:space="preserve">. </w:t>
      </w:r>
      <w:r w:rsidR="00E54804" w:rsidRPr="00E54804">
        <w:t xml:space="preserve">Por esta razón, resulta imprescindible definir una </w:t>
      </w:r>
      <w:r w:rsidR="00F1792A" w:rsidRPr="00F1792A">
        <w:t>firma transcriptómica consenso</w:t>
      </w:r>
      <w:r w:rsidR="00F1792A">
        <w:t xml:space="preserve"> </w:t>
      </w:r>
      <w:r w:rsidR="00F1792A" w:rsidRPr="00F1792A">
        <w:t>que sea representativa de todo el tejido tumoral</w:t>
      </w:r>
      <w:r w:rsidR="00E54804" w:rsidRPr="00E54804">
        <w:t>, independientemente del subtipo asignado al paciente.</w:t>
      </w:r>
    </w:p>
    <w:p w14:paraId="640E43FA" w14:textId="28552B24" w:rsidR="00F3241D" w:rsidRDefault="00F3241D" w:rsidP="00F3241D">
      <w:pPr>
        <w:pStyle w:val="Ttulo2"/>
        <w:rPr>
          <w:caps w:val="0"/>
        </w:rPr>
      </w:pPr>
      <w:bookmarkStart w:id="7" w:name="_Toc239417035"/>
      <w:r>
        <w:rPr>
          <w:caps w:val="0"/>
        </w:rPr>
        <w:t>Bioinformática y Transcriptómica</w:t>
      </w:r>
      <w:bookmarkEnd w:id="7"/>
    </w:p>
    <w:p w14:paraId="48EAEB2E" w14:textId="59A1B4C7" w:rsidR="00156396" w:rsidRPr="00156396" w:rsidRDefault="00156396" w:rsidP="00156396">
      <w:r w:rsidRPr="00156396">
        <w:t xml:space="preserve">La bioinformática ha desempeñado un papel esencial en la comprensión e investigación de numerosas patologías al proporcionar las herramientas necesarias para procesar, integrar e interpretar grandes volúmenes de datos biológicos. En el ámbito de la oncología, </w:t>
      </w:r>
      <w:r w:rsidR="00DE4E64" w:rsidRPr="00DE4E64">
        <w:t xml:space="preserve">el auge de las ciencias </w:t>
      </w:r>
      <w:proofErr w:type="spellStart"/>
      <w:r w:rsidR="00DE4E64" w:rsidRPr="00DE4E64">
        <w:t>ómicas</w:t>
      </w:r>
      <w:proofErr w:type="spellEnd"/>
      <w:r w:rsidR="00DE4E64" w:rsidRPr="00DE4E64">
        <w:t xml:space="preserve"> ha </w:t>
      </w:r>
      <w:r w:rsidR="00DE4E64">
        <w:t>transformado</w:t>
      </w:r>
      <w:r w:rsidR="00DE4E64" w:rsidRPr="00DE4E64">
        <w:t xml:space="preserve"> la caracterización tumoral, permitiendo evolucionar desde el análisis de genes aislados hacia una visión sistémica del cáncer</w:t>
      </w:r>
      <w:r w:rsidR="00980B70">
        <w:fldChar w:fldCharType="begin"/>
      </w:r>
      <w:r w:rsidR="00980B70">
        <w:instrText xml:space="preserve"> ADDIN ZOTERO_ITEM CSL_CITATION {"citationID":"Oildf9qw","properties":{"unsorted":false,"formattedCitation":"(10)","plainCitation":"(10)","noteIndex":0},"citationItems":[{"id":231,"uris":["http://zotero.org/users/local/sechomLT/items/SX3EXBZZ"],"itemData":{"id":231,"type":"article-journal","abstract":"Colorectal cancer is driven by complex genetic and molecular alterations, necessitating reliable targets for diagnosis and therapy. Single-omics studies offer limited insight. We performed a systematic in silico multi-omics integration using four public databases: GEO (differential expression), cBioPortal (genomic alterations), DisGeNET (gene–disease associations), and GeneCards (annotated/predicted CRC genes). Genes identified in ≥ 2 independent sources were curated into a high-confidence panel comprising 996 CRC-associated genes. Functional enrichment analysis of this panel revealed significant over-representation of pathways critical to CRC pathogenesis, including cell cycle regulation, apoptosis, DNA repair, and canonical signalling cascades (Wnt, MAPK, PI3K–AKT). PPI network analysis in Cytoscape using the Maximal Clique Centrality algorithm identified ten high-centrality hub genes: AKT1, STAT3, TP53, CTNNB1, BCL2, MYC, CCND1, PTEN, ESR1, and JUN. Eight of these are established CRC drivers, confirming the credibility of the approach, whereas ESR1 and JUN emerged as potentially under-investigated candidates. Hub gene relevance was independently confirmed via cBioPortal (alterations and correlations), TCGA/GEPIA2 (tumour–normal and stage-specific expression), the Human Protein Atlas (protein abundance), and TIMER2.0 (immune infiltration). This in silico multi-omics research work prioritises high-confidence therapeutic targets in CRC using publicly available data and nominates ESR1 and JUN for further investigation, while highlighting the need for experimental validation. The framework demonstrates the power of cross-platform evidence for biomarker discovery in complex diseases and is readily adaptable to other malignancies.","container-title":"Network Modeling Analysis in Health Informatics and Bioinformatics","DOI":"10.1007/s13721-025-00696-x","ISSN":"2192-6670","issue":"1","journalAbbreviation":"Netw Model Anal Health Inform Bioinforma","language":"en","page":"10","source":"Springer Link","title":"Multi-omics integration and network analysis identify therapeutic hub genes in colorectal cancer","URL":"https://doi.org/10.1007/s13721-025-00696-x","volume":"15","author":[{"family":"Mathew","given":"Emi"},{"family":"Thomas","given":"Philip Litto"},{"family":"Mathew","given":"Linu"}],"accessed":{"date-parts":[["2026",7,26]]},"issued":{"date-parts":[["2025",12,19]]}}}],"schema":"https://github.com/citation-style-language/schema/raw/master/csl-citation.json"} </w:instrText>
      </w:r>
      <w:r w:rsidR="00980B70">
        <w:fldChar w:fldCharType="separate"/>
      </w:r>
      <w:r w:rsidR="00980B70" w:rsidRPr="00980B70">
        <w:rPr>
          <w:rFonts w:ascii="Calibri" w:hAnsi="Calibri" w:cs="Calibri"/>
        </w:rPr>
        <w:t>(10)</w:t>
      </w:r>
      <w:r w:rsidR="00980B70">
        <w:fldChar w:fldCharType="end"/>
      </w:r>
      <w:r w:rsidRPr="00156396">
        <w:t>. Esta aproximación multidisciplinar abarca desde la evaluación de las alteraciones del ADN mediante la genómica</w:t>
      </w:r>
      <w:r w:rsidR="00DE4E64" w:rsidRPr="00DE4E64">
        <w:t xml:space="preserve"> hasta el estudio de la dinámica funcional del tejido a través de la transcriptómica</w:t>
      </w:r>
      <w:r w:rsidR="00980B70">
        <w:fldChar w:fldCharType="begin"/>
      </w:r>
      <w:r w:rsidR="00980B70">
        <w:instrText xml:space="preserve"> ADDIN ZOTERO_ITEM CSL_CITATION {"citationID":"DpukCpZ2","properties":{"unsorted":false,"formattedCitation":"(10)","plainCitation":"(10)","noteIndex":0},"citationItems":[{"id":231,"uris":["http://zotero.org/users/local/sechomLT/items/SX3EXBZZ"],"itemData":{"id":231,"type":"article-journal","abstract":"Colorectal cancer is driven by complex genetic and molecular alterations, necessitating reliable targets for diagnosis and therapy. Single-omics studies offer limited insight. We performed a systematic in silico multi-omics integration using four public databases: GEO (differential expression), cBioPortal (genomic alterations), DisGeNET (gene–disease associations), and GeneCards (annotated/predicted CRC genes). Genes identified in ≥ 2 independent sources were curated into a high-confidence panel comprising 996 CRC-associated genes. Functional enrichment analysis of this panel revealed significant over-representation of pathways critical to CRC pathogenesis, including cell cycle regulation, apoptosis, DNA repair, and canonical signalling cascades (Wnt, MAPK, PI3K–AKT). PPI network analysis in Cytoscape using the Maximal Clique Centrality algorithm identified ten high-centrality hub genes: AKT1, STAT3, TP53, CTNNB1, BCL2, MYC, CCND1, PTEN, ESR1, and JUN. Eight of these are established CRC drivers, confirming the credibility of the approach, whereas ESR1 and JUN emerged as potentially under-investigated candidates. Hub gene relevance was independently confirmed via cBioPortal (alterations and correlations), TCGA/GEPIA2 (tumour–normal and stage-specific expression), the Human Protein Atlas (protein abundance), and TIMER2.0 (immune infiltration). This in silico multi-omics research work prioritises high-confidence therapeutic targets in CRC using publicly available data and nominates ESR1 and JUN for further investigation, while highlighting the need for experimental validation. The framework demonstrates the power of cross-platform evidence for biomarker discovery in complex diseases and is readily adaptable to other malignancies.","container-title":"Network Modeling Analysis in Health Informatics and Bioinformatics","DOI":"10.1007/s13721-025-00696-x","ISSN":"2192-6670","issue":"1","journalAbbreviation":"Netw Model Anal Health Inform Bioinforma","language":"en","page":"10","source":"Springer Link","title":"Multi-omics integration and network analysis identify therapeutic hub genes in colorectal cancer","URL":"https://doi.org/10.1007/s13721-025-00696-x","volume":"15","author":[{"family":"Mathew","given":"Emi"},{"family":"Thomas","given":"Philip Litto"},{"family":"Mathew","given":"Linu"}],"accessed":{"date-parts":[["2026",7,26]]},"issued":{"date-parts":[["2025",12,19]]}}}],"schema":"https://github.com/citation-style-language/schema/raw/master/csl-citation.json"} </w:instrText>
      </w:r>
      <w:r w:rsidR="00980B70">
        <w:fldChar w:fldCharType="separate"/>
      </w:r>
      <w:r w:rsidR="00980B70" w:rsidRPr="00980B70">
        <w:rPr>
          <w:rFonts w:ascii="Calibri" w:hAnsi="Calibri" w:cs="Calibri"/>
        </w:rPr>
        <w:t>(10)</w:t>
      </w:r>
      <w:r w:rsidR="00980B70">
        <w:fldChar w:fldCharType="end"/>
      </w:r>
      <w:r w:rsidRPr="00156396">
        <w:t>. En este contexto, la transcriptómica destaca como la disciplina capaz de capturar de forma directa el estado funcional y metabólico de la célula tumoral, actuando como un puente entre el código genético y el fenotipo de la enfermedad</w:t>
      </w:r>
      <w:r w:rsidR="00980B70">
        <w:fldChar w:fldCharType="begin"/>
      </w:r>
      <w:r w:rsidR="00980B70">
        <w:instrText xml:space="preserve"> ADDIN ZOTERO_ITEM CSL_CITATION {"citationID":"XR0PORg1","properties":{"unsorted":false,"formattedCitation":"(9)","plainCitation":"(9)","noteIndex":0},"citationItems":[{"id":219,"uris":["http://zotero.org/users/local/sechomLT/items/Q3YBI9XD"],"itemData":{"id":219,"type":"article-journal","abstract":"Colorectal cancer (CRC) is a frequently lethal disease with heterogeneous outcomes and drug responses. To resolve inconsistencies among the reported gene expression–based CRC classifications and facilitate clinical translation, we formed an international consortium dedicated to large-scale data sharing and analytics across expert groups. We show marked interconnectivity between six independent classification systems coalescing into four consensus molecular subtypes (CMS) with distinguishing features: CMS1 (MSI Immune, 14%), hypermutated, microsatellite unstable, strong immune activation; CMS2 (Canonical, 37%), epithelial, chromosomally unstable, marked WNT and MYC signaling activation; CMS3 (Metabolic, 13%), epithelial, evident metabolic dysregulation; and CMS4 (Mesenchymal, 23%), prominent transforming growth factor β activation, stromal invasion, and angiogenesis. Samples with mixed features (13%) possibly represent a transition phenotype or intra-tumoral heterogeneity. We consider the CMS groups the most robust classification system currently available for CRC – with clear biological interpretability – and the basis for future clinical stratification and subtype–based targeted interventions.","container-title":"Nature medicine","DOI":"10.1038/nm.3967","ISSN":"1078-8956","issue":"11","journalAbbreviation":"Nat Med","page":"1350-1356","PMID":"26457759","PMCID":"PMC4636487","source":"PubMed Central","title":"The Consensus Molecular Subtypes of Colorectal Cancer","URL":"https://pmc.ncbi.nlm.nih.gov/articles/PMC4636487/","volume":"21","author":[{"family":"Guinney","given":"Justin"},{"family":"Dienstmann","given":"Rodrigo"},{"family":"Wang","given":"Xin"},{"family":"Reyniès","given":"Aurélien","non-dropping-particle":"de"},{"family":"Schlicker","given":"Andreas"},{"family":"Soneson","given":"Charlotte"},{"family":"Marisa","given":"Laetitia"},{"family":"Roepman","given":"Paul"},{"family":"Nyamundanda","given":"Gift"},{"family":"Angelino","given":"Paolo"},{"family":"Bot","given":"Brian M."},{"family":"Morris","given":"Jeffrey S."},{"family":"Simon","given":"Iris M."},{"family":"Gerster","given":"Sarah"},{"family":"Fessler","given":"Evelyn"},{"family":"Sousa e Melo","given":"Felipe","non-dropping-particle":"de"},{"family":"Missiaglia","given":"Edoardo"},{"family":"Ramay","given":"Hena"},{"family":"Barras","given":"David"},{"family":"Homicsko","given":"Krisztian"},{"family":"Maru","given":"Dipen"},{"family":"Manyam","given":"Ganiraju C."},{"family":"Broom","given":"Bradley"},{"family":"Boige","given":"Valerie"},{"family":"Perez-Villamil","given":"Beatriz"},{"family":"Laderas","given":"Ted"},{"family":"Salazar","given":"Ramon"},{"family":"Gray","given":"Joe W."},{"family":"Hanahan","given":"Douglas"},{"family":"Tabernero","given":"Josep"},{"family":"Bernards","given":"Rene"},{"family":"Friend","given":"Stephen H."},{"family":"Laurent-Puig","given":"Pierre"},{"family":"Medema","given":"Jan Paul"},{"family":"Sadanandam","given":"Anguraj"},{"family":"Wessels","given":"Lodewyk"},{"family":"Delorenzi","given":"Mauro"},{"family":"Kopetz","given":"Scott"},{"family":"Vermeulen","given":"Louis"},{"family":"Tejpar","given":"Sabine"}],"accessed":{"date-parts":[["2026",7,26]]},"issued":{"date-parts":[["2015",11]]}}}],"schema":"https://github.com/citation-style-language/schema/raw/master/csl-citation.json"} </w:instrText>
      </w:r>
      <w:r w:rsidR="00980B70">
        <w:fldChar w:fldCharType="separate"/>
      </w:r>
      <w:r w:rsidR="00980B70" w:rsidRPr="00980B70">
        <w:rPr>
          <w:rFonts w:ascii="Calibri" w:hAnsi="Calibri" w:cs="Calibri"/>
        </w:rPr>
        <w:t>(9)</w:t>
      </w:r>
      <w:r w:rsidR="00980B70">
        <w:fldChar w:fldCharType="end"/>
      </w:r>
      <w:r w:rsidRPr="00156396">
        <w:t>.</w:t>
      </w:r>
    </w:p>
    <w:p w14:paraId="75FE1E4A" w14:textId="5FA97ADB" w:rsidR="006008F9" w:rsidRDefault="006008F9" w:rsidP="006008F9">
      <w:r w:rsidRPr="006008F9">
        <w:lastRenderedPageBreak/>
        <w:t xml:space="preserve">Históricamente, el análisis del transcriptoma estuvo dominado por la tecnología de </w:t>
      </w:r>
      <w:proofErr w:type="spellStart"/>
      <w:r w:rsidRPr="006008F9">
        <w:rPr>
          <w:i/>
          <w:iCs/>
        </w:rPr>
        <w:t>microarrays</w:t>
      </w:r>
      <w:proofErr w:type="spellEnd"/>
      <w:r w:rsidRPr="006008F9">
        <w:t>, la cual permitió evaluar miles de genes de manera simultánea mediante la hibridación con sondas prediseñadas</w:t>
      </w:r>
      <w:r w:rsidR="00FE1266">
        <w:fldChar w:fldCharType="begin"/>
      </w:r>
      <w:r w:rsidR="00FE1266">
        <w:instrText xml:space="preserve"> ADDIN ZOTERO_ITEM CSL_CITATION {"citationID":"rKIEncdP","properties":{"unsorted":false,"formattedCitation":"(15)","plainCitation":"(15)","noteIndex":0},"citationItems":[{"id":236,"uris":["http://zotero.org/users/local/sechomLT/items/9G7U6TW7"],"itemData":{"id":236,"type":"article-journal","abstract":"RNA-Seq is a recently developed approach to transcriptome profiling that uses deep-sequencing technologies. Studies using this method have already altered our view of the extent and complexity of eukaryotic transcriptomes. RNA-Seq also provides a far more precise measurement of levels of transcripts and their isoforms than other methods. This article describes the RNA-Seq approach, the challenges associated with its application, and the advances made so far in characterizing several eukaryote transcriptomes.","container-title":"Nature reviews. Genetics","DOI":"10.1038/nrg2484","ISSN":"1471-0056","issue":"1","journalAbbreviation":"Nat Rev Genet","page":"57-63","PMID":"19015660","PMCID":"PMC2949280","source":"PubMed Central","title":"RNA-Seq: a revolutionary tool for transcriptomics","title-short":"RNA-Seq","URL":"https://pmc.ncbi.nlm.nih.gov/articles/PMC2949280/","volume":"10","author":[{"family":"Wang","given":"Zhong"},{"family":"Gerstein","given":"Mark"},{"family":"Snyder","given":"Michael"}],"accessed":{"date-parts":[["2026",8,9]]},"issued":{"date-parts":[["2009",1]]}}}],"schema":"https://github.com/citation-style-language/schema/raw/master/csl-citation.json"} </w:instrText>
      </w:r>
      <w:r w:rsidR="00FE1266">
        <w:fldChar w:fldCharType="separate"/>
      </w:r>
      <w:r w:rsidR="00FE1266" w:rsidRPr="00FE1266">
        <w:rPr>
          <w:rFonts w:ascii="Calibri" w:hAnsi="Calibri" w:cs="Calibri"/>
        </w:rPr>
        <w:t>(15)</w:t>
      </w:r>
      <w:r w:rsidR="00FE1266">
        <w:fldChar w:fldCharType="end"/>
      </w:r>
      <w:r w:rsidRPr="006008F9">
        <w:t>. Sin embargo, esta aproximación presenta limitaciones técnicas relevantes, como un rango dinámico reducido, problemas de saturación de la señal y la incapacidad de detectar transcritos no catalogados</w:t>
      </w:r>
      <w:r w:rsidR="00FE1266">
        <w:fldChar w:fldCharType="begin"/>
      </w:r>
      <w:r w:rsidR="00FE1266">
        <w:instrText xml:space="preserve"> ADDIN ZOTERO_ITEM CSL_CITATION {"citationID":"Bvf5SWrV","properties":{"unsorted":false,"formattedCitation":"(15)","plainCitation":"(15)","noteIndex":0},"citationItems":[{"id":236,"uris":["http://zotero.org/users/local/sechomLT/items/9G7U6TW7"],"itemData":{"id":236,"type":"article-journal","abstract":"RNA-Seq is a recently developed approach to transcriptome profiling that uses deep-sequencing technologies. Studies using this method have already altered our view of the extent and complexity of eukaryotic transcriptomes. RNA-Seq also provides a far more precise measurement of levels of transcripts and their isoforms than other methods. This article describes the RNA-Seq approach, the challenges associated with its application, and the advances made so far in characterizing several eukaryote transcriptomes.","container-title":"Nature reviews. Genetics","DOI":"10.1038/nrg2484","ISSN":"1471-0056","issue":"1","journalAbbreviation":"Nat Rev Genet","page":"57-63","PMID":"19015660","PMCID":"PMC2949280","source":"PubMed Central","title":"RNA-Seq: a revolutionary tool for transcriptomics","title-short":"RNA-Seq","URL":"https://pmc.ncbi.nlm.nih.gov/articles/PMC2949280/","volume":"10","author":[{"family":"Wang","given":"Zhong"},{"family":"Gerstein","given":"Mark"},{"family":"Snyder","given":"Michael"}],"accessed":{"date-parts":[["2026",8,9]]},"issued":{"date-parts":[["2009",1]]}}}],"schema":"https://github.com/citation-style-language/schema/raw/master/csl-citation.json"} </w:instrText>
      </w:r>
      <w:r w:rsidR="00FE1266">
        <w:fldChar w:fldCharType="separate"/>
      </w:r>
      <w:r w:rsidR="00FE1266" w:rsidRPr="00FE1266">
        <w:rPr>
          <w:rFonts w:ascii="Calibri" w:hAnsi="Calibri" w:cs="Calibri"/>
        </w:rPr>
        <w:t>(15)</w:t>
      </w:r>
      <w:r w:rsidR="00FE1266">
        <w:fldChar w:fldCharType="end"/>
      </w:r>
      <w:r w:rsidRPr="006008F9">
        <w:t xml:space="preserve">. Para superar estos obstáculos, la consolidación de la secuenciación </w:t>
      </w:r>
      <w:proofErr w:type="spellStart"/>
      <w:r w:rsidRPr="006008F9">
        <w:rPr>
          <w:i/>
          <w:iCs/>
        </w:rPr>
        <w:t>bulk</w:t>
      </w:r>
      <w:proofErr w:type="spellEnd"/>
      <w:r w:rsidRPr="006008F9">
        <w:rPr>
          <w:i/>
          <w:iCs/>
        </w:rPr>
        <w:t xml:space="preserve"> RNA-</w:t>
      </w:r>
      <w:proofErr w:type="spellStart"/>
      <w:r w:rsidRPr="006008F9">
        <w:rPr>
          <w:i/>
          <w:iCs/>
        </w:rPr>
        <w:t>seq</w:t>
      </w:r>
      <w:proofErr w:type="spellEnd"/>
      <w:r w:rsidRPr="006008F9">
        <w:t xml:space="preserve"> ha supuesto un cambio de paradigma en el análisis de expresión</w:t>
      </w:r>
      <w:r w:rsidR="00FE1266">
        <w:fldChar w:fldCharType="begin"/>
      </w:r>
      <w:r w:rsidR="00495DF1">
        <w:instrText xml:space="preserve"> ADDIN ZOTERO_ITEM CSL_CITATION {"citationID":"nHnjufOE","properties":{"unsorted":false,"formattedCitation":"(15,16)","plainCitation":"(15,16)","noteIndex":0},"citationItems":[{"id":236,"uris":["http://zotero.org/users/local/sechomLT/items/9G7U6TW7"],"itemData":{"id":236,"type":"article-journal","abstract":"RNA-Seq is a recently developed approach to transcriptome profiling that uses deep-sequencing technologies. Studies using this method have already altered our view of the extent and complexity of eukaryotic transcriptomes. RNA-Seq also provides a far more precise measurement of levels of transcripts and their isoforms than other methods. This article describes the RNA-Seq approach, the challenges associated with its application, and the advances made so far in characterizing several eukaryote transcriptomes.","container-title":"Nature reviews. Genetics","DOI":"10.1038/nrg2484","ISSN":"1471-0056","issue":"1","journalAbbreviation":"Nat Rev Genet","page":"57-63","PMID":"19015660","PMCID":"PMC2949280","source":"PubMed Central","title":"RNA-Seq: a revolutionary tool for transcriptomics","title-short":"RNA-Seq","URL":"https://pmc.ncbi.nlm.nih.gov/articles/PMC2949280/","volume":"10","author":[{"family":"Wang","given":"Zhong"},{"family":"Gerstein","given":"Mark"},{"family":"Snyder","given":"Michael"}],"accessed":{"date-parts":[["2026",8,9]]},"issued":{"date-parts":[["2009",1]]}}},{"id":243,"uris":["http://zotero.org/users/local/sechomLT/items/ZACTH8WR"],"itemData":{"id":243,"type":"article-journal","abstract":"Over the past decade, RNA sequencing (RNA-seq) has become an indispensable tool for transcriptome-wide analysis of differential gene expression and differential splicing of mRNAs. However, as next-generation sequencing technologies have developed, so too has RNA-seq. Now, RNA-seq methods are available for studying many different aspects of RNA biology, including single-cell gene expression, translation (the translatome) and RNA structure (the structurome). Exciting new applications are being explored, such as spatial transcriptomics (spatialomics). Together with new long-read and direct RNA-seq technologies and better computational tools for data analysis, innovations in RNA-seq are contributing to a fuller understanding of RNA biology, from questions such as when and where transcription occurs to the folding and intermolecular interactions that govern RNA function.","container-title":"Nature Reviews Genetics","DOI":"10.1038/s41576-019-0150-2","ISSN":"1471-0064","issue":"11","journalAbbreviation":"Nat Rev Genet","language":"en","license":"2019 Springer Nature Limited","page":"631-656","publisher":"Nature Publishing Group","source":"www.nature.com","title":"RNA sequencing: the teenage years","title-short":"RNA sequencing","URL":"https://www.nature.com/articles/s41576-019-0150-2","volume":"20","author":[{"family":"Stark","given":"Rory"},{"family":"Grzelak","given":"Marta"},{"family":"Hadfield","given":"James"}],"accessed":{"date-parts":[["2026",8,9]]},"issued":{"date-parts":[["2019",11]]}}}],"schema":"https://github.com/citation-style-language/schema/raw/master/csl-citation.json"} </w:instrText>
      </w:r>
      <w:r w:rsidR="00FE1266">
        <w:fldChar w:fldCharType="separate"/>
      </w:r>
      <w:r w:rsidR="00495DF1" w:rsidRPr="00495DF1">
        <w:rPr>
          <w:rFonts w:ascii="Calibri" w:hAnsi="Calibri" w:cs="Calibri"/>
        </w:rPr>
        <w:t>(15,16)</w:t>
      </w:r>
      <w:r w:rsidR="00FE1266">
        <w:fldChar w:fldCharType="end"/>
      </w:r>
      <w:r w:rsidRPr="006008F9">
        <w:t xml:space="preserve">. Al prescindir de </w:t>
      </w:r>
      <w:r w:rsidR="00FE1266">
        <w:t xml:space="preserve">las </w:t>
      </w:r>
      <w:r w:rsidRPr="006008F9">
        <w:t xml:space="preserve">sondas y cuantificar directamente las lecturas, el </w:t>
      </w:r>
      <w:r w:rsidRPr="006008F9">
        <w:rPr>
          <w:i/>
          <w:iCs/>
        </w:rPr>
        <w:t>RNA-</w:t>
      </w:r>
      <w:proofErr w:type="spellStart"/>
      <w:r w:rsidRPr="006008F9">
        <w:rPr>
          <w:i/>
          <w:iCs/>
        </w:rPr>
        <w:t>seq</w:t>
      </w:r>
      <w:proofErr w:type="spellEnd"/>
      <w:r w:rsidRPr="006008F9">
        <w:t xml:space="preserve"> ofrece una </w:t>
      </w:r>
      <w:r>
        <w:t xml:space="preserve">mayor </w:t>
      </w:r>
      <w:r w:rsidRPr="006008F9">
        <w:t>resolución, un bajo ruido de fondo y una elevada precisión para detectar tanto genes altamente expresados como transcritos de baja abundancia</w:t>
      </w:r>
      <w:r w:rsidR="00FE1266">
        <w:fldChar w:fldCharType="begin"/>
      </w:r>
      <w:r w:rsidR="00495DF1">
        <w:instrText xml:space="preserve"> ADDIN ZOTERO_ITEM CSL_CITATION {"citationID":"d647ms2I","properties":{"unsorted":false,"formattedCitation":"(15,16)","plainCitation":"(15,16)","noteIndex":0},"citationItems":[{"id":236,"uris":["http://zotero.org/users/local/sechomLT/items/9G7U6TW7"],"itemData":{"id":236,"type":"article-journal","abstract":"RNA-Seq is a recently developed approach to transcriptome profiling that uses deep-sequencing technologies. Studies using this method have already altered our view of the extent and complexity of eukaryotic transcriptomes. RNA-Seq also provides a far more precise measurement of levels of transcripts and their isoforms than other methods. This article describes the RNA-Seq approach, the challenges associated with its application, and the advances made so far in characterizing several eukaryote transcriptomes.","container-title":"Nature reviews. Genetics","DOI":"10.1038/nrg2484","ISSN":"1471-0056","issue":"1","journalAbbreviation":"Nat Rev Genet","page":"57-63","PMID":"19015660","PMCID":"PMC2949280","source":"PubMed Central","title":"RNA-Seq: a revolutionary tool for transcriptomics","title-short":"RNA-Seq","URL":"https://pmc.ncbi.nlm.nih.gov/articles/PMC2949280/","volume":"10","author":[{"family":"Wang","given":"Zhong"},{"family":"Gerstein","given":"Mark"},{"family":"Snyder","given":"Michael"}],"accessed":{"date-parts":[["2026",8,9]]},"issued":{"date-parts":[["2009",1]]}}},{"id":243,"uris":["http://zotero.org/users/local/sechomLT/items/ZACTH8WR"],"itemData":{"id":243,"type":"article-journal","abstract":"Over the past decade, RNA sequencing (RNA-seq) has become an indispensable tool for transcriptome-wide analysis of differential gene expression and differential splicing of mRNAs. However, as next-generation sequencing technologies have developed, so too has RNA-seq. Now, RNA-seq methods are available for studying many different aspects of RNA biology, including single-cell gene expression, translation (the translatome) and RNA structure (the structurome). Exciting new applications are being explored, such as spatial transcriptomics (spatialomics). Together with new long-read and direct RNA-seq technologies and better computational tools for data analysis, innovations in RNA-seq are contributing to a fuller understanding of RNA biology, from questions such as when and where transcription occurs to the folding and intermolecular interactions that govern RNA function.","container-title":"Nature Reviews Genetics","DOI":"10.1038/s41576-019-0150-2","ISSN":"1471-0064","issue":"11","journalAbbreviation":"Nat Rev Genet","language":"en","license":"2019 Springer Nature Limited","page":"631-656","publisher":"Nature Publishing Group","source":"www.nature.com","title":"RNA sequencing: the teenage years","title-short":"RNA sequencing","URL":"https://www.nature.com/articles/s41576-019-0150-2","volume":"20","author":[{"family":"Stark","given":"Rory"},{"family":"Grzelak","given":"Marta"},{"family":"Hadfield","given":"James"}],"accessed":{"date-parts":[["2026",8,9]]},"issued":{"date-parts":[["2019",11]]}}}],"schema":"https://github.com/citation-style-language/schema/raw/master/csl-citation.json"} </w:instrText>
      </w:r>
      <w:r w:rsidR="00FE1266">
        <w:fldChar w:fldCharType="separate"/>
      </w:r>
      <w:r w:rsidR="00495DF1" w:rsidRPr="00495DF1">
        <w:rPr>
          <w:rFonts w:ascii="Calibri" w:hAnsi="Calibri" w:cs="Calibri"/>
        </w:rPr>
        <w:t>(15,16)</w:t>
      </w:r>
      <w:r w:rsidR="00FE1266">
        <w:fldChar w:fldCharType="end"/>
      </w:r>
      <w:r w:rsidRPr="006008F9">
        <w:t>.</w:t>
      </w:r>
    </w:p>
    <w:p w14:paraId="3EC6F186" w14:textId="4F30E668" w:rsidR="00FE1749" w:rsidRPr="00FE1749" w:rsidRDefault="009872E3" w:rsidP="00FE1749">
      <w:r w:rsidRPr="009872E3">
        <w:t xml:space="preserve">El procesamiento de los datos de </w:t>
      </w:r>
      <w:proofErr w:type="spellStart"/>
      <w:r w:rsidRPr="009872E3">
        <w:rPr>
          <w:i/>
          <w:iCs/>
        </w:rPr>
        <w:t>bulk</w:t>
      </w:r>
      <w:proofErr w:type="spellEnd"/>
      <w:r w:rsidRPr="009872E3">
        <w:rPr>
          <w:i/>
          <w:iCs/>
        </w:rPr>
        <w:t xml:space="preserve"> RNA-</w:t>
      </w:r>
      <w:proofErr w:type="spellStart"/>
      <w:r w:rsidRPr="009872E3">
        <w:rPr>
          <w:i/>
          <w:iCs/>
        </w:rPr>
        <w:t>seq</w:t>
      </w:r>
      <w:proofErr w:type="spellEnd"/>
      <w:r w:rsidRPr="009872E3">
        <w:t xml:space="preserve"> comienza con la preparación del material biológico, donde las muestras de tejido se homogenizan y trituran </w:t>
      </w:r>
      <w:r w:rsidR="001716B0" w:rsidRPr="001716B0">
        <w:t xml:space="preserve">para </w:t>
      </w:r>
      <w:r w:rsidR="001716B0">
        <w:t xml:space="preserve">así </w:t>
      </w:r>
      <w:r w:rsidR="001716B0" w:rsidRPr="001716B0">
        <w:t>extraer y purificar</w:t>
      </w:r>
      <w:r w:rsidR="001716B0">
        <w:t xml:space="preserve"> e</w:t>
      </w:r>
      <w:r w:rsidRPr="009872E3">
        <w:t>l ARN total</w:t>
      </w:r>
      <w:r w:rsidR="005E6EA4">
        <w:fldChar w:fldCharType="begin"/>
      </w:r>
      <w:r w:rsidR="005E6EA4">
        <w:instrText xml:space="preserve"> ADDIN ZOTERO_ITEM CSL_CITATION {"citationID":"9wJToMqs","properties":{"unsorted":false,"formattedCitation":"(16,17)","plainCitation":"(16,17)","noteIndex":0},"citationItems":[{"id":241,"uris":["http://zotero.org/users/local/sechomLT/items/4I38JXMT"],"itemData":{"id":241,"type":"article-journal","abstract":"RNA-sequencing (RNA-seq) has a wide variety of applications, but no single analysis pipeline can be used in all cases. We review all of the major steps in RNA-seq data analysis, including experimental design, quality control, read alignment, quantification of gene and transcript levels, visualization, differential gene expression, alternative splicing, functional analysis, gene fusion detection and eQTL mapping. We highlight the challenges associated with each step. We discuss the analysis of small RNAs and the integration of RNA-seq with other functional genomics techniques. Finally, we discuss the outlook for novel technologies that are changing the state of the art in transcriptomics.","container-title":"Genome Biology","DOI":"10.1186/s13059-016-0881-8","ISSN":"1474-760X","issue":"1","journalAbbreviation":"Genome Biol","language":"en","page":"13","source":"Springer Link","title":"A survey of best practices for RNA-seq data analysis","URL":"https://doi.org/10.1186/s13059-016-0881-8","volume":"17","author":[{"family":"Conesa","given":"Ana"},{"family":"Madrigal","given":"Pedro"},{"family":"Tarazona","given":"Sonia"},{"family":"Gomez-Cabrero","given":"David"},{"family":"Cervera","given":"Alejandra"},{"family":"McPherson","given":"Andrew"},{"family":"Szcześniak","given":"Michał Wojciech"},{"family":"Gaffney","given":"Daniel J."},{"family":"Elo","given":"Laura L."},{"family":"Zhang","given":"Xuegong"},{"family":"Mortazavi","given":"Ali"}],"accessed":{"date-parts":[["2026",8,9]]},"issued":{"date-parts":[["2016",1,26]]}}},{"id":243,"uris":["http://zotero.org/users/local/sechomLT/items/ZACTH8WR"],"itemData":{"id":243,"type":"article-journal","abstract":"Over the past decade, RNA sequencing (RNA-seq) has become an indispensable tool for transcriptome-wide analysis of differential gene expression and differential splicing of mRNAs. However, as next-generation sequencing technologies have developed, so too has RNA-seq. Now, RNA-seq methods are available for studying many different aspects of RNA biology, including single-cell gene expression, translation (the translatome) and RNA structure (the structurome). Exciting new applications are being explored, such as spatial transcriptomics (spatialomics). Together with new long-read and direct RNA-seq technologies and better computational tools for data analysis, innovations in RNA-seq are contributing to a fuller understanding of RNA biology, from questions such as when and where transcription occurs to the folding and intermolecular interactions that govern RNA function.","container-title":"Nature Reviews Genetics","DOI":"10.1038/s41576-019-0150-2","ISSN":"1471-0064","issue":"11","journalAbbreviation":"Nat Rev Genet","language":"en","license":"2019 Springer Nature Limited","page":"631-656","publisher":"Nature Publishing Group","source":"www.nature.com","title":"RNA sequencing: the teenage years","title-short":"RNA sequencing","URL":"https://www.nature.com/articles/s41576-019-0150-2","volume":"20","author":[{"family":"Stark","given":"Rory"},{"family":"Grzelak","given":"Marta"},{"family":"Hadfield","given":"James"}],"accessed":{"date-parts":[["2026",8,9]]},"issued":{"date-parts":[["2019",11]]}}}],"schema":"https://github.com/citation-style-language/schema/raw/master/csl-citation.json"} </w:instrText>
      </w:r>
      <w:r w:rsidR="005E6EA4">
        <w:fldChar w:fldCharType="separate"/>
      </w:r>
      <w:r w:rsidR="005E6EA4" w:rsidRPr="005E6EA4">
        <w:rPr>
          <w:rFonts w:ascii="Calibri" w:hAnsi="Calibri" w:cs="Calibri"/>
        </w:rPr>
        <w:t>(16,17)</w:t>
      </w:r>
      <w:r w:rsidR="005E6EA4">
        <w:fldChar w:fldCharType="end"/>
      </w:r>
      <w:r w:rsidRPr="009872E3">
        <w:t xml:space="preserve">. Tras la preparación de las librerías </w:t>
      </w:r>
      <w:r>
        <w:t xml:space="preserve">de secuenciación, etapa en la que se lleva a cabo el enriquecimiento o depleción, la </w:t>
      </w:r>
      <w:proofErr w:type="spellStart"/>
      <w:r>
        <w:t>retrotranscripción</w:t>
      </w:r>
      <w:proofErr w:type="spellEnd"/>
      <w:r>
        <w:t>, la fragmentación, la unión de adaptadores y finalmente la ampli</w:t>
      </w:r>
      <w:r w:rsidR="001716B0">
        <w:t>fi</w:t>
      </w:r>
      <w:r>
        <w:t xml:space="preserve">cación mediante PCR, se procede con la secuenciación </w:t>
      </w:r>
      <w:r w:rsidR="001716B0" w:rsidRPr="001716B0">
        <w:rPr>
          <w:i/>
          <w:iCs/>
        </w:rPr>
        <w:t>per se</w:t>
      </w:r>
      <w:r w:rsidR="005E6EA4">
        <w:rPr>
          <w:i/>
          <w:iCs/>
        </w:rPr>
        <w:fldChar w:fldCharType="begin"/>
      </w:r>
      <w:r w:rsidR="00637E89">
        <w:rPr>
          <w:i/>
          <w:iCs/>
        </w:rPr>
        <w:instrText xml:space="preserve"> ADDIN ZOTERO_ITEM CSL_CITATION {"citationID":"kDeF8et1","properties":{"unsorted":false,"formattedCitation":"(16,17)","plainCitation":"(16,17)","noteIndex":0},"citationItems":[{"id":241,"uris":["http://zotero.org/users/local/sechomLT/items/4I38JXMT"],"itemData":{"id":241,"type":"article-journal","abstract":"RNA-sequencing (RNA-seq) has a wide variety of applications, but no single analysis pipeline can be used in all cases. We review all of the major steps in RNA-seq data analysis, including experimental design, quality control, read alignment, quantification of gene and transcript levels, visualization, differential gene expression, alternative splicing, functional analysis, gene fusion detection and eQTL mapping. We highlight the challenges associated with each step. We discuss the analysis of small RNAs and the integration of RNA-seq with other functional genomics techniques. Finally, we discuss the outlook for novel technologies that are changing the state of the art in transcriptomics.","container-title":"Genome Biology","DOI":"10.1186/s13059-016-0881-8","ISSN":"1474-760X","issue":"1","journalAbbreviation":"Genome Biol","language":"en","page":"13","source":"Springer Link","title":"A survey of best practices for RNA-seq data analysis","URL":"https://doi.org/10.1186/s13059-016-0881-8","volume":"17","author":[{"family":"Conesa","given":"Ana"},{"family":"Madrigal","given":"Pedro"},{"family":"Tarazona","given":"Sonia"},{"family":"Gomez-Cabrero","given":"David"},{"family":"Cervera","given":"Alejandra"},{"family":"McPherson","given":"Andrew"},{"family":"Szcześniak","given":"Michał Wojciech"},{"family":"Gaffney","given":"Daniel J."},{"family":"Elo","given":"Laura L."},{"family":"Zhang","given":"Xuegong"},{"family":"Mortazavi","given":"Ali"}],"accessed":{"date-parts":[["2026",8,9]]},"issued":{"date-parts":[["2016",1,26]]}}},{"id":243,"uris":["http://zotero.org/users/local/sechomLT/items/ZACTH8WR"],"itemData":{"id":243,"type":"article-journal","abstract":"Over the past decade, RNA sequencing (RNA-seq) has become an indispensable tool for transcriptome-wide analysis of differential gene expression and differential splicing of mRNAs. However, as next-generation sequencing technologies have developed, so too has RNA-seq. Now, RNA-seq methods are available for studying many different aspects of RNA biology, including single-cell gene expression, translation (the translatome) and RNA structure (the structurome). Exciting new applications are being explored, such as spatial transcriptomics (spatialomics). Together with new long-read and direct RNA-seq technologies and better computational tools for data analysis, innovations in RNA-seq are contributing to a fuller understanding of RNA biology, from questions such as when and where transcription occurs to the folding and intermolecular interactions that govern RNA function.","container-title":"Nature Reviews Genetics","DOI":"10.1038/s41576-019-0150-2","ISSN":"1471-0064","issue":"11","journalAbbreviation":"Nat Rev Genet","language":"en","license":"2019 Springer Nature Limited","page":"631-656","publisher":"Nature Publishing Group","source":"www.nature.com","title":"RNA sequencing: the teenage years","title-short":"RNA sequencing","URL":"https://www.nature.com/articles/s41576-019-0150-2","volume":"20","author":[{"family":"Stark","given":"Rory"},{"family":"Grzelak","given":"Marta"},{"family":"Hadfield","given":"James"}],"accessed":{"date-parts":[["2026",8,9]]},"issued":{"date-parts":[["2019",11]]}}}],"schema":"https://github.com/citation-style-language/schema/raw/master/csl-citation.json"} </w:instrText>
      </w:r>
      <w:r w:rsidR="005E6EA4">
        <w:rPr>
          <w:i/>
          <w:iCs/>
        </w:rPr>
        <w:fldChar w:fldCharType="separate"/>
      </w:r>
      <w:r w:rsidR="00637E89" w:rsidRPr="00637E89">
        <w:rPr>
          <w:rFonts w:ascii="Calibri" w:hAnsi="Calibri" w:cs="Calibri"/>
        </w:rPr>
        <w:t>(16,17)</w:t>
      </w:r>
      <w:r w:rsidR="005E6EA4">
        <w:rPr>
          <w:i/>
          <w:iCs/>
        </w:rPr>
        <w:fldChar w:fldCharType="end"/>
      </w:r>
      <w:r>
        <w:t>. L</w:t>
      </w:r>
      <w:r w:rsidRPr="009872E3">
        <w:t xml:space="preserve">a información generada se almacena en archivos de formato </w:t>
      </w:r>
      <w:r w:rsidRPr="009872E3">
        <w:rPr>
          <w:i/>
          <w:iCs/>
        </w:rPr>
        <w:t>FASTQ</w:t>
      </w:r>
      <w:r w:rsidRPr="009872E3">
        <w:t xml:space="preserve"> que contienen las lecturas brutas</w:t>
      </w:r>
      <w:r>
        <w:t xml:space="preserve"> </w:t>
      </w:r>
      <w:r w:rsidR="001716B0" w:rsidRPr="001716B0">
        <w:t>junto con la puntuación de calidad por base</w:t>
      </w:r>
      <w:r w:rsidR="00637E89">
        <w:fldChar w:fldCharType="begin"/>
      </w:r>
      <w:r w:rsidR="00495DF1">
        <w:instrText xml:space="preserve"> ADDIN ZOTERO_ITEM CSL_CITATION {"citationID":"n6GDWtJ4","properties":{"unsorted":false,"formattedCitation":"(16)","plainCitation":"(16)","noteIndex":0},"citationItems":[{"id":243,"uris":["http://zotero.org/users/local/sechomLT/items/ZACTH8WR"],"itemData":{"id":243,"type":"article-journal","abstract":"Over the past decade, RNA sequencing (RNA-seq) has become an indispensable tool for transcriptome-wide analysis of differential gene expression and differential splicing of mRNAs. However, as next-generation sequencing technologies have developed, so too has RNA-seq. Now, RNA-seq methods are available for studying many different aspects of RNA biology, including single-cell gene expression, translation (the translatome) and RNA structure (the structurome). Exciting new applications are being explored, such as spatial transcriptomics (spatialomics). Together with new long-read and direct RNA-seq technologies and better computational tools for data analysis, innovations in RNA-seq are contributing to a fuller understanding of RNA biology, from questions such as when and where transcription occurs to the folding and intermolecular interactions that govern RNA function.","container-title":"Nature Reviews Genetics","DOI":"10.1038/s41576-019-0150-2","ISSN":"1471-0064","issue":"11","journalAbbreviation":"Nat Rev Genet","language":"en","license":"2019 Springer Nature Limited","page":"631-656","publisher":"Nature Publishing Group","source":"www.nature.com","title":"RNA sequencing: the teenage years","title-short":"RNA sequencing","URL":"https://www.nature.com/articles/s41576-019-0150-2","volume":"20","author":[{"family":"Stark","given":"Rory"},{"family":"Grzelak","given":"Marta"},{"family":"Hadfield","given":"James"}],"accessed":{"date-parts":[["2026",8,9]]},"issued":{"date-parts":[["2019",11]]}}}],"schema":"https://github.com/citation-style-language/schema/raw/master/csl-citation.json"} </w:instrText>
      </w:r>
      <w:r w:rsidR="00637E89">
        <w:fldChar w:fldCharType="separate"/>
      </w:r>
      <w:r w:rsidR="00495DF1" w:rsidRPr="00495DF1">
        <w:rPr>
          <w:rFonts w:ascii="Calibri" w:hAnsi="Calibri" w:cs="Calibri"/>
        </w:rPr>
        <w:t>(16)</w:t>
      </w:r>
      <w:r w:rsidR="00637E89">
        <w:fldChar w:fldCharType="end"/>
      </w:r>
      <w:r w:rsidRPr="009872E3">
        <w:t xml:space="preserve">. Sobre </w:t>
      </w:r>
      <w:r w:rsidR="001716B0" w:rsidRPr="009B0116">
        <w:t xml:space="preserve">estas lecturas iniciales </w:t>
      </w:r>
      <w:r w:rsidRPr="009872E3">
        <w:t xml:space="preserve">se aplica un control de calidad preliminar mediante herramientas como </w:t>
      </w:r>
      <w:proofErr w:type="spellStart"/>
      <w:r w:rsidRPr="009872E3">
        <w:rPr>
          <w:i/>
          <w:iCs/>
        </w:rPr>
        <w:t>FastQC</w:t>
      </w:r>
      <w:proofErr w:type="spellEnd"/>
      <w:r w:rsidRPr="009872E3">
        <w:t>, evaluando parámetros clave como la calidad por base, el contenido de GC</w:t>
      </w:r>
      <w:r w:rsidR="001716B0">
        <w:t xml:space="preserve"> (Guanina-Citosina)</w:t>
      </w:r>
      <w:r w:rsidRPr="009872E3">
        <w:t>, la presencia de adaptadores y los duplicados de PCR</w:t>
      </w:r>
      <w:r w:rsidR="00EE4AC7">
        <w:fldChar w:fldCharType="begin"/>
      </w:r>
      <w:r w:rsidR="00EE4AC7">
        <w:instrText xml:space="preserve"> ADDIN ZOTERO_ITEM CSL_CITATION {"citationID":"7NDBP210","properties":{"unsorted":false,"formattedCitation":"(16,17)","plainCitation":"(16,17)","noteIndex":0},"citationItems":[{"id":241,"uris":["http://zotero.org/users/local/sechomLT/items/4I38JXMT"],"itemData":{"id":241,"type":"article-journal","abstract":"RNA-sequencing (RNA-seq) has a wide variety of applications, but no single analysis pipeline can be used in all cases. We review all of the major steps in RNA-seq data analysis, including experimental design, quality control, read alignment, quantification of gene and transcript levels, visualization, differential gene expression, alternative splicing, functional analysis, gene fusion detection and eQTL mapping. We highlight the challenges associated with each step. We discuss the analysis of small RNAs and the integration of RNA-seq with other functional genomics techniques. Finally, we discuss the outlook for novel technologies that are changing the state of the art in transcriptomics.","container-title":"Genome Biology","DOI":"10.1186/s13059-016-0881-8","ISSN":"1474-760X","issue":"1","journalAbbreviation":"Genome Biol","language":"en","page":"13","source":"Springer Link","title":"A survey of best practices for RNA-seq data analysis","URL":"https://doi.org/10.1186/s13059-016-0881-8","volume":"17","author":[{"family":"Conesa","given":"Ana"},{"family":"Madrigal","given":"Pedro"},{"family":"Tarazona","given":"Sonia"},{"family":"Gomez-Cabrero","given":"David"},{"family":"Cervera","given":"Alejandra"},{"family":"McPherson","given":"Andrew"},{"family":"Szcześniak","given":"Michał Wojciech"},{"family":"Gaffney","given":"Daniel J."},{"family":"Elo","given":"Laura L."},{"family":"Zhang","given":"Xuegong"},{"family":"Mortazavi","given":"Ali"}],"accessed":{"date-parts":[["2026",8,9]]},"issued":{"date-parts":[["2016",1,26]]}}},{"id":243,"uris":["http://zotero.org/users/local/sechomLT/items/ZACTH8WR"],"itemData":{"id":243,"type":"article-journal","abstract":"Over the past decade, RNA sequencing (RNA-seq) has become an indispensable tool for transcriptome-wide analysis of differential gene expression and differential splicing of mRNAs. However, as next-generation sequencing technologies have developed, so too has RNA-seq. Now, RNA-seq methods are available for studying many different aspects of RNA biology, including single-cell gene expression, translation (the translatome) and RNA structure (the structurome). Exciting new applications are being explored, such as spatial transcriptomics (spatialomics). Together with new long-read and direct RNA-seq technologies and better computational tools for data analysis, innovations in RNA-seq are contributing to a fuller understanding of RNA biology, from questions such as when and where transcription occurs to the folding and intermolecular interactions that govern RNA function.","container-title":"Nature Reviews Genetics","DOI":"10.1038/s41576-019-0150-2","ISSN":"1471-0064","issue":"11","journalAbbreviation":"Nat Rev Genet","language":"en","license":"2019 Springer Nature Limited","page":"631-656","publisher":"Nature Publishing Group","source":"www.nature.com","title":"RNA sequencing: the teenage years","title-short":"RNA sequencing","URL":"https://www.nature.com/articles/s41576-019-0150-2","volume":"20","author":[{"family":"Stark","given":"Rory"},{"family":"Grzelak","given":"Marta"},{"family":"Hadfield","given":"James"}],"accessed":{"date-parts":[["2026",8,9]]},"issued":{"date-parts":[["2019",11]]}}}],"schema":"https://github.com/citation-style-language/schema/raw/master/csl-citation.json"} </w:instrText>
      </w:r>
      <w:r w:rsidR="00EE4AC7">
        <w:fldChar w:fldCharType="separate"/>
      </w:r>
      <w:r w:rsidR="00EE4AC7" w:rsidRPr="00EE4AC7">
        <w:rPr>
          <w:rFonts w:ascii="Calibri" w:hAnsi="Calibri" w:cs="Calibri"/>
        </w:rPr>
        <w:t>(16,17)</w:t>
      </w:r>
      <w:r w:rsidR="00EE4AC7">
        <w:fldChar w:fldCharType="end"/>
      </w:r>
      <w:r w:rsidRPr="009872E3">
        <w:t>.</w:t>
      </w:r>
      <w:r w:rsidR="00FE1749" w:rsidRPr="00FE1749">
        <w:t xml:space="preserve"> Tras realizar el filtrado y recortado (</w:t>
      </w:r>
      <w:proofErr w:type="spellStart"/>
      <w:r w:rsidR="00FE1749" w:rsidRPr="00FE1749">
        <w:rPr>
          <w:i/>
          <w:iCs/>
        </w:rPr>
        <w:t>trimming</w:t>
      </w:r>
      <w:proofErr w:type="spellEnd"/>
      <w:r w:rsidR="00FE1749" w:rsidRPr="00FE1749">
        <w:t>) de secuencias deficientes, se ejecuta un segundo control de calidad para validar que el dato depurado cumple los estándares óptimos</w:t>
      </w:r>
      <w:r w:rsidR="00FE1749">
        <w:t>;</w:t>
      </w:r>
      <w:r w:rsidR="00FE1749" w:rsidRPr="00FE1749">
        <w:t xml:space="preserve"> garantizando la fiabilidad analítica requerida en los estudios ómicos</w:t>
      </w:r>
      <w:r w:rsidR="00EE4AC7">
        <w:fldChar w:fldCharType="begin"/>
      </w:r>
      <w:r w:rsidR="00495DF1">
        <w:instrText xml:space="preserve"> ADDIN ZOTERO_ITEM CSL_CITATION {"citationID":"dsyn1Y3D","properties":{"unsorted":false,"formattedCitation":"(17)","plainCitation":"(17)","noteIndex":0},"citationItems":[{"id":241,"uris":["http://zotero.org/users/local/sechomLT/items/4I38JXMT"],"itemData":{"id":241,"type":"article-journal","abstract":"RNA-sequencing (RNA-seq) has a wide variety of applications, but no single analysis pipeline can be used in all cases. We review all of the major steps in RNA-seq data analysis, including experimental design, quality control, read alignment, quantification of gene and transcript levels, visualization, differential gene expression, alternative splicing, functional analysis, gene fusion detection and eQTL mapping. We highlight the challenges associated with each step. We discuss the analysis of small RNAs and the integration of RNA-seq with other functional genomics techniques. Finally, we discuss the outlook for novel technologies that are changing the state of the art in transcriptomics.","container-title":"Genome Biology","DOI":"10.1186/s13059-016-0881-8","ISSN":"1474-760X","issue":"1","journalAbbreviation":"Genome Biol","language":"en","page":"13","source":"Springer Link","title":"A survey of best practices for RNA-seq data analysis","URL":"https://doi.org/10.1186/s13059-016-0881-8","volume":"17","author":[{"family":"Conesa","given":"Ana"},{"family":"Madrigal","given":"Pedro"},{"family":"Tarazona","given":"Sonia"},{"family":"Gomez-Cabrero","given":"David"},{"family":"Cervera","given":"Alejandra"},{"family":"McPherson","given":"Andrew"},{"family":"Szcześniak","given":"Michał Wojciech"},{"family":"Gaffney","given":"Daniel J."},{"family":"Elo","given":"Laura L."},{"family":"Zhang","given":"Xuegong"},{"family":"Mortazavi","given":"Ali"}],"accessed":{"date-parts":[["2026",8,9]]},"issued":{"date-parts":[["2016",1,26]]}}}],"schema":"https://github.com/citation-style-language/schema/raw/master/csl-citation.json"} </w:instrText>
      </w:r>
      <w:r w:rsidR="00EE4AC7">
        <w:fldChar w:fldCharType="separate"/>
      </w:r>
      <w:r w:rsidR="00495DF1" w:rsidRPr="00495DF1">
        <w:rPr>
          <w:rFonts w:ascii="Calibri" w:hAnsi="Calibri" w:cs="Calibri"/>
        </w:rPr>
        <w:t>(17)</w:t>
      </w:r>
      <w:r w:rsidR="00EE4AC7">
        <w:fldChar w:fldCharType="end"/>
      </w:r>
      <w:r w:rsidR="00FE1749" w:rsidRPr="00FE1749">
        <w:t>. Una vez verificada la calidad de las lecturas, se procede a su mapeo mediante dos estrategias principales: el alineamiento directo contra el genoma de referencia humano (</w:t>
      </w:r>
      <w:r w:rsidR="00FE1749" w:rsidRPr="009B0116">
        <w:t xml:space="preserve">como la versión </w:t>
      </w:r>
      <w:r w:rsidR="00FE1749">
        <w:t xml:space="preserve">actual, </w:t>
      </w:r>
      <w:r w:rsidR="00FE1749" w:rsidRPr="00FE1749">
        <w:t xml:space="preserve">GRCh38) utilizando alineadores de lectura corta como </w:t>
      </w:r>
      <w:r w:rsidR="00FE1749" w:rsidRPr="00FE1749">
        <w:rPr>
          <w:i/>
          <w:iCs/>
        </w:rPr>
        <w:t>STAR</w:t>
      </w:r>
      <w:r w:rsidR="00FE1749" w:rsidRPr="00FE1749">
        <w:t xml:space="preserve"> o </w:t>
      </w:r>
      <w:r w:rsidR="00FE1749" w:rsidRPr="00FE1749">
        <w:rPr>
          <w:i/>
          <w:iCs/>
        </w:rPr>
        <w:t>HISAT2</w:t>
      </w:r>
      <w:r w:rsidR="00FE1749" w:rsidRPr="00FE1749">
        <w:t xml:space="preserve">, o bien la estimación rápida mediante </w:t>
      </w:r>
      <w:proofErr w:type="spellStart"/>
      <w:r w:rsidR="00FE1749" w:rsidRPr="00FE1749">
        <w:t>pseudoalineadores</w:t>
      </w:r>
      <w:proofErr w:type="spellEnd"/>
      <w:r w:rsidR="00FE1749" w:rsidRPr="00FE1749">
        <w:t xml:space="preserve"> como </w:t>
      </w:r>
      <w:r w:rsidR="00FE1749" w:rsidRPr="00FE1749">
        <w:rPr>
          <w:i/>
          <w:iCs/>
        </w:rPr>
        <w:t>Salmon</w:t>
      </w:r>
      <w:r w:rsidR="00FE1749" w:rsidRPr="00FE1749">
        <w:t xml:space="preserve"> o </w:t>
      </w:r>
      <w:r w:rsidR="00FE1749" w:rsidRPr="00FE1749">
        <w:rPr>
          <w:i/>
          <w:iCs/>
        </w:rPr>
        <w:t>Kallisto</w:t>
      </w:r>
      <w:r w:rsidR="001158D7">
        <w:rPr>
          <w:i/>
          <w:iCs/>
        </w:rPr>
        <w:fldChar w:fldCharType="begin"/>
      </w:r>
      <w:r w:rsidR="001158D7">
        <w:rPr>
          <w:i/>
          <w:iCs/>
        </w:rPr>
        <w:instrText xml:space="preserve"> ADDIN ZOTERO_ITEM CSL_CITATION {"citationID":"S8yM4oRP","properties":{"unsorted":false,"formattedCitation":"(15\\uc0\\u8211{}17)","plainCitation":"(15–17)","noteIndex":0},"citationItems":[{"id":236,"uris":["http://zotero.org/users/local/sechomLT/items/9G7U6TW7"],"itemData":{"id":236,"type":"article-journal","abstract":"RNA-Seq is a recently developed approach to transcriptome profiling that uses deep-sequencing technologies. Studies using this method have already altered our view of the extent and complexity of eukaryotic transcriptomes. RNA-Seq also provides a far more precise measurement of levels of transcripts and their isoforms than other methods. This article describes the RNA-Seq approach, the challenges associated with its application, and the advances made so far in characterizing several eukaryote transcriptomes.","container-title":"Nature reviews. Genetics","DOI":"10.1038/nrg2484","ISSN":"1471-0056","issue":"1","journalAbbreviation":"Nat Rev Genet","page":"57-63","PMID":"19015660","PMCID":"PMC2949280","source":"PubMed Central","title":"RNA-Seq: a revolutionary tool for transcriptomics","title-short":"RNA-Seq","URL":"https://pmc.ncbi.nlm.nih.gov/articles/PMC2949280/","volume":"10","author":[{"family":"Wang","given":"Zhong"},{"family":"Gerstein","given":"Mark"},{"family":"Snyder","given":"Michael"}],"accessed":{"date-parts":[["2026",8,9]]},"issued":{"date-parts":[["2009",1]]}}},{"id":241,"uris":["http://zotero.org/users/local/sechomLT/items/4I38JXMT"],"itemData":{"id":241,"type":"article-journal","abstract":"RNA-sequencing (RNA-seq) has a wide variety of applications, but no single analysis pipeline can be used in all cases. We review all of the major steps in RNA-seq data analysis, including experimental design, quality control, read alignment, quantification of gene and transcript levels, visualization, differential gene expression, alternative splicing, functional analysis, gene fusion detection and eQTL mapping. We highlight the challenges associated with each step. We discuss the analysis of small RNAs and the integration of RNA-seq with other functional genomics techniques. Finally, we discuss the outlook for novel technologies that are changing the state of the art in transcriptomics.","container-title":"Genome Biology","DOI":"10.1186/s13059-016-0881-8","ISSN":"1474-760X","issue":"1","journalAbbreviation":"Genome Biol","language":"en","page":"13","source":"Springer Link","title":"A survey of best practices for RNA-seq data analysis","URL":"https://doi.org/10.1186/s13059-016-0881-8","volume":"17","author":[{"family":"Conesa","given":"Ana"},{"family":"Madrigal","given":"Pedro"},{"family":"Tarazona","given":"Sonia"},{"family":"Gomez-Cabrero","given":"David"},{"family":"Cervera","given":"Alejandra"},{"family":"McPherson","given":"Andrew"},{"family":"Szcześniak","given":"Michał Wojciech"},{"family":"Gaffney","given":"Daniel J."},{"family":"Elo","given":"Laura L."},{"family":"Zhang","given":"Xuegong"},{"family":"Mortazavi","given":"Ali"}],"accessed":{"date-parts":[["2026",8,9]]},"issued":{"date-parts":[["2016",1,26]]}}},{"id":243,"uris":["http://zotero.org/users/local/sechomLT/items/ZACTH8WR"],"itemData":{"id":243,"type":"article-journal","abstract":"Over the past decade, RNA sequencing (RNA-seq) has become an indispensable tool for transcriptome-wide analysis of differential gene expression and differential splicing of mRNAs. However, as next-generation sequencing technologies have developed, so too has RNA-seq. Now, RNA-seq methods are available for studying many different aspects of RNA biology, including single-cell gene expression, translation (the translatome) and RNA structure (the structurome). Exciting new applications are being explored, such as spatial transcriptomics (spatialomics). Together with new long-read and direct RNA-seq technologies and better computational tools for data analysis, innovations in RNA-seq are contributing to a fuller understanding of RNA biology, from questions such as when and where transcription occurs to the folding and intermolecular interactions that govern RNA function.","container-title":"Nature Reviews Genetics","DOI":"10.1038/s41576-019-0150-2","ISSN":"1471-0064","issue":"11","journalAbbreviation":"Nat Rev Genet","language":"en","license":"2019 Springer Nature Limited","page":"631-656","publisher":"Nature Publishing Group","source":"www.nature.com","title":"RNA sequencing: the teenage years","title-short":"RNA sequencing","URL":"https://www.nature.com/articles/s41576-019-0150-2","volume":"20","author":[{"family":"Stark","given":"Rory"},{"family":"Grzelak","given":"Marta"},{"family":"Hadfield","given":"James"}],"accessed":{"date-parts":[["2026",8,9]]},"issued":{"date-parts":[["2019",11]]}}}],"schema":"https://github.com/citation-style-language/schema/raw/master/csl-citation.json"} </w:instrText>
      </w:r>
      <w:r w:rsidR="001158D7">
        <w:rPr>
          <w:i/>
          <w:iCs/>
        </w:rPr>
        <w:fldChar w:fldCharType="separate"/>
      </w:r>
      <w:r w:rsidR="001158D7" w:rsidRPr="001158D7">
        <w:rPr>
          <w:rFonts w:ascii="Calibri" w:hAnsi="Calibri" w:cs="Calibri"/>
        </w:rPr>
        <w:t>(15–17)</w:t>
      </w:r>
      <w:r w:rsidR="001158D7">
        <w:rPr>
          <w:i/>
          <w:iCs/>
        </w:rPr>
        <w:fldChar w:fldCharType="end"/>
      </w:r>
      <w:r w:rsidR="00FE1749" w:rsidRPr="00FE1749">
        <w:t>.</w:t>
      </w:r>
      <w:r w:rsidR="0025091C" w:rsidRPr="0025091C">
        <w:t xml:space="preserve"> </w:t>
      </w:r>
      <w:r w:rsidR="0025091C">
        <w:t>Por último</w:t>
      </w:r>
      <w:r w:rsidR="0025091C" w:rsidRPr="0025091C">
        <w:t>, las lecturas mapeadas se cuantifican sumando cuántas pertenecen a cada gen para construir la matriz de recuentos brutos (</w:t>
      </w:r>
      <w:r w:rsidR="0025091C" w:rsidRPr="0025091C">
        <w:rPr>
          <w:i/>
          <w:iCs/>
        </w:rPr>
        <w:t xml:space="preserve">raw </w:t>
      </w:r>
      <w:proofErr w:type="spellStart"/>
      <w:r w:rsidR="0025091C" w:rsidRPr="0025091C">
        <w:rPr>
          <w:i/>
          <w:iCs/>
        </w:rPr>
        <w:t>counts</w:t>
      </w:r>
      <w:proofErr w:type="spellEnd"/>
      <w:r w:rsidR="0025091C" w:rsidRPr="0025091C">
        <w:t>)</w:t>
      </w:r>
      <w:r w:rsidR="001158D7">
        <w:fldChar w:fldCharType="begin"/>
      </w:r>
      <w:r w:rsidR="001158D7">
        <w:instrText xml:space="preserve"> ADDIN ZOTERO_ITEM CSL_CITATION {"citationID":"XdGuXnTr","properties":{"unsorted":false,"formattedCitation":"(16,17)","plainCitation":"(16,17)","noteIndex":0},"citationItems":[{"id":241,"uris":["http://zotero.org/users/local/sechomLT/items/4I38JXMT"],"itemData":{"id":241,"type":"article-journal","abstract":"RNA-sequencing (RNA-seq) has a wide variety of applications, but no single analysis pipeline can be used in all cases. We review all of the major steps in RNA-seq data analysis, including experimental design, quality control, read alignment, quantification of gene and transcript levels, visualization, differential gene expression, alternative splicing, functional analysis, gene fusion detection and eQTL mapping. We highlight the challenges associated with each step. We discuss the analysis of small RNAs and the integration of RNA-seq with other functional genomics techniques. Finally, we discuss the outlook for novel technologies that are changing the state of the art in transcriptomics.","container-title":"Genome Biology","DOI":"10.1186/s13059-016-0881-8","ISSN":"1474-760X","issue":"1","journalAbbreviation":"Genome Biol","language":"en","page":"13","source":"Springer Link","title":"A survey of best practices for RNA-seq data analysis","URL":"https://doi.org/10.1186/s13059-016-0881-8","volume":"17","author":[{"family":"Conesa","given":"Ana"},{"family":"Madrigal","given":"Pedro"},{"family":"Tarazona","given":"Sonia"},{"family":"Gomez-Cabrero","given":"David"},{"family":"Cervera","given":"Alejandra"},{"family":"McPherson","given":"Andrew"},{"family":"Szcześniak","given":"Michał Wojciech"},{"family":"Gaffney","given":"Daniel J."},{"family":"Elo","given":"Laura L."},{"family":"Zhang","given":"Xuegong"},{"family":"Mortazavi","given":"Ali"}],"accessed":{"date-parts":[["2026",8,9]]},"issued":{"date-parts":[["2016",1,26]]}}},{"id":243,"uris":["http://zotero.org/users/local/sechomLT/items/ZACTH8WR"],"itemData":{"id":243,"type":"article-journal","abstract":"Over the past decade, RNA sequencing (RNA-seq) has become an indispensable tool for transcriptome-wide analysis of differential gene expression and differential splicing of mRNAs. However, as next-generation sequencing technologies have developed, so too has RNA-seq. Now, RNA-seq methods are available for studying many different aspects of RNA biology, including single-cell gene expression, translation (the translatome) and RNA structure (the structurome). Exciting new applications are being explored, such as spatial transcriptomics (spatialomics). Together with new long-read and direct RNA-seq technologies and better computational tools for data analysis, innovations in RNA-seq are contributing to a fuller understanding of RNA biology, from questions such as when and where transcription occurs to the folding and intermolecular interactions that govern RNA function.","container-title":"Nature Reviews Genetics","DOI":"10.1038/s41576-019-0150-2","ISSN":"1471-0064","issue":"11","journalAbbreviation":"Nat Rev Genet","language":"en","license":"2019 Springer Nature Limited","page":"631-656","publisher":"Nature Publishing Group","source":"www.nature.com","title":"RNA sequencing: the teenage years","title-short":"RNA sequencing","URL":"https://www.nature.com/articles/s41576-019-0150-2","volume":"20","author":[{"family":"Stark","given":"Rory"},{"family":"Grzelak","given":"Marta"},{"family":"Hadfield","given":"James"}],"accessed":{"date-parts":[["2026",8,9]]},"issued":{"date-parts":[["2019",11]]}}}],"schema":"https://github.com/citation-style-language/schema/raw/master/csl-citation.json"} </w:instrText>
      </w:r>
      <w:r w:rsidR="001158D7">
        <w:fldChar w:fldCharType="separate"/>
      </w:r>
      <w:r w:rsidR="001158D7" w:rsidRPr="001158D7">
        <w:rPr>
          <w:rFonts w:ascii="Calibri" w:hAnsi="Calibri" w:cs="Calibri"/>
        </w:rPr>
        <w:t>(16,17)</w:t>
      </w:r>
      <w:r w:rsidR="001158D7">
        <w:fldChar w:fldCharType="end"/>
      </w:r>
      <w:r w:rsidR="0025091C" w:rsidRPr="0025091C">
        <w:t xml:space="preserve">. Este recuento se realiza mediante herramientas como </w:t>
      </w:r>
      <w:proofErr w:type="spellStart"/>
      <w:r w:rsidR="0025091C" w:rsidRPr="0025091C">
        <w:rPr>
          <w:i/>
          <w:iCs/>
        </w:rPr>
        <w:t>featureCounts</w:t>
      </w:r>
      <w:proofErr w:type="spellEnd"/>
      <w:r w:rsidR="0025091C" w:rsidRPr="0025091C">
        <w:t xml:space="preserve"> o </w:t>
      </w:r>
      <w:proofErr w:type="spellStart"/>
      <w:r w:rsidR="0025091C" w:rsidRPr="0025091C">
        <w:rPr>
          <w:i/>
          <w:iCs/>
        </w:rPr>
        <w:t>HTSeq-count</w:t>
      </w:r>
      <w:proofErr w:type="spellEnd"/>
      <w:r w:rsidR="0025091C" w:rsidRPr="0025091C">
        <w:t xml:space="preserve">, o bien con paquetes como </w:t>
      </w:r>
      <w:proofErr w:type="spellStart"/>
      <w:r w:rsidR="0025091C" w:rsidRPr="0025091C">
        <w:rPr>
          <w:i/>
          <w:iCs/>
        </w:rPr>
        <w:t>tximport</w:t>
      </w:r>
      <w:proofErr w:type="spellEnd"/>
      <w:r w:rsidR="0025091C" w:rsidRPr="0025091C">
        <w:t xml:space="preserve"> en el caso de usar </w:t>
      </w:r>
      <w:proofErr w:type="spellStart"/>
      <w:r w:rsidR="0025091C" w:rsidRPr="0025091C">
        <w:t>pseudoalineadores</w:t>
      </w:r>
      <w:proofErr w:type="spellEnd"/>
      <w:r w:rsidR="001158D7">
        <w:fldChar w:fldCharType="begin"/>
      </w:r>
      <w:r w:rsidR="001158D7">
        <w:instrText xml:space="preserve"> ADDIN ZOTERO_ITEM CSL_CITATION {"citationID":"Jrmqockb","properties":{"unsorted":false,"formattedCitation":"(16,17)","plainCitation":"(16,17)","noteIndex":0},"citationItems":[{"id":241,"uris":["http://zotero.org/users/local/sechomLT/items/4I38JXMT"],"itemData":{"id":241,"type":"article-journal","abstract":"RNA-sequencing (RNA-seq) has a wide variety of applications, but no single analysis pipeline can be used in all cases. We review all of the major steps in RNA-seq data analysis, including experimental design, quality control, read alignment, quantification of gene and transcript levels, visualization, differential gene expression, alternative splicing, functional analysis, gene fusion detection and eQTL mapping. We highlight the challenges associated with each step. We discuss the analysis of small RNAs and the integration of RNA-seq with other functional genomics techniques. Finally, we discuss the outlook for novel technologies that are changing the state of the art in transcriptomics.","container-title":"Genome Biology","DOI":"10.1186/s13059-016-0881-8","ISSN":"1474-760X","issue":"1","journalAbbreviation":"Genome Biol","language":"en","page":"13","source":"Springer Link","title":"A survey of best practices for RNA-seq data analysis","URL":"https://doi.org/10.1186/s13059-016-0881-8","volume":"17","author":[{"family":"Conesa","given":"Ana"},{"family":"Madrigal","given":"Pedro"},{"family":"Tarazona","given":"Sonia"},{"family":"Gomez-Cabrero","given":"David"},{"family":"Cervera","given":"Alejandra"},{"family":"McPherson","given":"Andrew"},{"family":"Szcześniak","given":"Michał Wojciech"},{"family":"Gaffney","given":"Daniel J."},{"family":"Elo","given":"Laura L."},{"family":"Zhang","given":"Xuegong"},{"family":"Mortazavi","given":"Ali"}],"accessed":{"date-parts":[["2026",8,9]]},"issued":{"date-parts":[["2016",1,26]]}}},{"id":243,"uris":["http://zotero.org/users/local/sechomLT/items/ZACTH8WR"],"itemData":{"id":243,"type":"article-journal","abstract":"Over the past decade, RNA sequencing (RNA-seq) has become an indispensable tool for transcriptome-wide analysis of differential gene expression and differential splicing of mRNAs. However, as next-generation sequencing technologies have developed, so too has RNA-seq. Now, RNA-seq methods are available for studying many different aspects of RNA biology, including single-cell gene expression, translation (the translatome) and RNA structure (the structurome). Exciting new applications are being explored, such as spatial transcriptomics (spatialomics). Together with new long-read and direct RNA-seq technologies and better computational tools for data analysis, innovations in RNA-seq are contributing to a fuller understanding of RNA biology, from questions such as when and where transcription occurs to the folding and intermolecular interactions that govern RNA function.","container-title":"Nature Reviews Genetics","DOI":"10.1038/s41576-019-0150-2","ISSN":"1471-0064","issue":"11","journalAbbreviation":"Nat Rev Genet","language":"en","license":"2019 Springer Nature Limited","page":"631-656","publisher":"Nature Publishing Group","source":"www.nature.com","title":"RNA sequencing: the teenage years","title-short":"RNA sequencing","URL":"https://www.nature.com/articles/s41576-019-0150-2","volume":"20","author":[{"family":"Stark","given":"Rory"},{"family":"Grzelak","given":"Marta"},{"family":"Hadfield","given":"James"}],"accessed":{"date-parts":[["2026",8,9]]},"issued":{"date-parts":[["2019",11]]}}}],"schema":"https://github.com/citation-style-language/schema/raw/master/csl-citation.json"} </w:instrText>
      </w:r>
      <w:r w:rsidR="001158D7">
        <w:fldChar w:fldCharType="separate"/>
      </w:r>
      <w:r w:rsidR="001158D7" w:rsidRPr="001158D7">
        <w:rPr>
          <w:rFonts w:ascii="Calibri" w:hAnsi="Calibri" w:cs="Calibri"/>
        </w:rPr>
        <w:t>(16,17)</w:t>
      </w:r>
      <w:r w:rsidR="001158D7">
        <w:fldChar w:fldCharType="end"/>
      </w:r>
      <w:r w:rsidR="0025091C" w:rsidRPr="0025091C">
        <w:t>.</w:t>
      </w:r>
      <w:r w:rsidR="0025091C">
        <w:t xml:space="preserve"> </w:t>
      </w:r>
      <w:r w:rsidR="00FE1749" w:rsidRPr="00FE1749">
        <w:t xml:space="preserve">En </w:t>
      </w:r>
      <w:r w:rsidR="00FE1749" w:rsidRPr="00FE1749">
        <w:lastRenderedPageBreak/>
        <w:t xml:space="preserve">conjunto, este flujo </w:t>
      </w:r>
      <w:r w:rsidR="00FE1749">
        <w:t>de trabajo</w:t>
      </w:r>
      <w:r w:rsidR="00FE1749" w:rsidRPr="00FE1749">
        <w:t xml:space="preserve"> permite transformar una muestra de tejido biológico en una matriz de datos cuantitativos </w:t>
      </w:r>
      <w:r w:rsidR="00FE1749">
        <w:t>lista</w:t>
      </w:r>
      <w:r w:rsidR="00FE1749" w:rsidRPr="00FE1749">
        <w:t xml:space="preserve"> para su análisis bioinformático.</w:t>
      </w:r>
    </w:p>
    <w:p w14:paraId="625BA03E" w14:textId="0A5D2CA3" w:rsidR="000952B8" w:rsidRPr="00EB4C60" w:rsidRDefault="00EB4C60" w:rsidP="00EB4C60">
      <w:r w:rsidRPr="00EB4C60">
        <w:t>Aunque la generación de datos procedentes del laboratorio (</w:t>
      </w:r>
      <w:proofErr w:type="spellStart"/>
      <w:r w:rsidRPr="00EB4C60">
        <w:rPr>
          <w:i/>
          <w:iCs/>
        </w:rPr>
        <w:t>wet</w:t>
      </w:r>
      <w:proofErr w:type="spellEnd"/>
      <w:r w:rsidRPr="00EB4C60">
        <w:rPr>
          <w:i/>
          <w:iCs/>
        </w:rPr>
        <w:t xml:space="preserve"> </w:t>
      </w:r>
      <w:proofErr w:type="spellStart"/>
      <w:r w:rsidRPr="00EB4C60">
        <w:rPr>
          <w:i/>
          <w:iCs/>
        </w:rPr>
        <w:t>lab</w:t>
      </w:r>
      <w:proofErr w:type="spellEnd"/>
      <w:r w:rsidRPr="00EB4C60">
        <w:t>) constituye la vía tradicional de obtención de información, la investigación oncológica actual se beneficia</w:t>
      </w:r>
      <w:r w:rsidR="008C3271">
        <w:t xml:space="preserve"> enormemente</w:t>
      </w:r>
      <w:r w:rsidRPr="00EB4C60">
        <w:t xml:space="preserve"> del crecimiento exponencial de los repositorios públicos. Bajo los principios de la ciencia abierta y las directrices de gestión de datos FAIR (</w:t>
      </w:r>
      <w:proofErr w:type="spellStart"/>
      <w:r w:rsidRPr="00EB4C60">
        <w:rPr>
          <w:i/>
          <w:iCs/>
        </w:rPr>
        <w:t>Findable</w:t>
      </w:r>
      <w:proofErr w:type="spellEnd"/>
      <w:r w:rsidRPr="00EB4C60">
        <w:rPr>
          <w:i/>
          <w:iCs/>
        </w:rPr>
        <w:t xml:space="preserve">, </w:t>
      </w:r>
      <w:proofErr w:type="spellStart"/>
      <w:r w:rsidRPr="00EB4C60">
        <w:rPr>
          <w:i/>
          <w:iCs/>
        </w:rPr>
        <w:t>Accessible</w:t>
      </w:r>
      <w:proofErr w:type="spellEnd"/>
      <w:r w:rsidRPr="00EB4C60">
        <w:rPr>
          <w:i/>
          <w:iCs/>
        </w:rPr>
        <w:t>, Interoperable, Reusable</w:t>
      </w:r>
      <w:r w:rsidRPr="00EB4C60">
        <w:t xml:space="preserve">), plataformas internacionales como </w:t>
      </w:r>
      <w:r w:rsidRPr="00EB4C60">
        <w:rPr>
          <w:i/>
          <w:iCs/>
        </w:rPr>
        <w:t xml:space="preserve">Gene </w:t>
      </w:r>
      <w:proofErr w:type="spellStart"/>
      <w:r w:rsidRPr="00EB4C60">
        <w:rPr>
          <w:i/>
          <w:iCs/>
        </w:rPr>
        <w:t>Expression</w:t>
      </w:r>
      <w:proofErr w:type="spellEnd"/>
      <w:r w:rsidRPr="00EB4C60">
        <w:rPr>
          <w:i/>
          <w:iCs/>
        </w:rPr>
        <w:t xml:space="preserve"> </w:t>
      </w:r>
      <w:proofErr w:type="spellStart"/>
      <w:r w:rsidRPr="00EB4C60">
        <w:rPr>
          <w:i/>
          <w:iCs/>
        </w:rPr>
        <w:t>Omnibus</w:t>
      </w:r>
      <w:proofErr w:type="spellEnd"/>
      <w:r w:rsidRPr="00EB4C60">
        <w:t xml:space="preserve"> (GEO) y el </w:t>
      </w:r>
      <w:proofErr w:type="spellStart"/>
      <w:r w:rsidRPr="00EB4C60">
        <w:rPr>
          <w:i/>
          <w:iCs/>
        </w:rPr>
        <w:t>Genomic</w:t>
      </w:r>
      <w:proofErr w:type="spellEnd"/>
      <w:r w:rsidRPr="00EB4C60">
        <w:rPr>
          <w:i/>
          <w:iCs/>
        </w:rPr>
        <w:t xml:space="preserve"> Data Commons</w:t>
      </w:r>
      <w:r w:rsidRPr="00EB4C60">
        <w:t xml:space="preserve"> </w:t>
      </w:r>
      <w:r w:rsidR="008528E2" w:rsidRPr="008528E2">
        <w:t xml:space="preserve">(GDC, el cual centraliza el proyecto </w:t>
      </w:r>
      <w:r w:rsidR="008528E2" w:rsidRPr="008528E2">
        <w:rPr>
          <w:i/>
          <w:iCs/>
        </w:rPr>
        <w:t xml:space="preserve">The </w:t>
      </w:r>
      <w:proofErr w:type="spellStart"/>
      <w:r w:rsidR="008528E2" w:rsidRPr="008528E2">
        <w:rPr>
          <w:i/>
          <w:iCs/>
        </w:rPr>
        <w:t>Cancer</w:t>
      </w:r>
      <w:proofErr w:type="spellEnd"/>
      <w:r w:rsidR="008528E2" w:rsidRPr="008528E2">
        <w:rPr>
          <w:i/>
          <w:iCs/>
        </w:rPr>
        <w:t xml:space="preserve"> Genome Atlas</w:t>
      </w:r>
      <w:r w:rsidR="008528E2" w:rsidRPr="008528E2">
        <w:t>, TCGA)</w:t>
      </w:r>
      <w:r w:rsidR="008528E2">
        <w:t xml:space="preserve"> </w:t>
      </w:r>
      <w:r w:rsidRPr="00EB4C60">
        <w:t>ofrecen conjuntos de datos transcriptómicos de acceso libre</w:t>
      </w:r>
      <w:r w:rsidR="008C3271">
        <w:fldChar w:fldCharType="begin"/>
      </w:r>
      <w:r w:rsidR="008C3271">
        <w:instrText xml:space="preserve"> ADDIN ZOTERO_ITEM CSL_CITATION {"citationID":"7jRXH0Wv","properties":{"unsorted":false,"formattedCitation":"(18,19)","plainCitation":"(18,19)","noteIndex":0},"citationItems":[{"id":247,"uris":["http://zotero.org/users/local/sechomLT/items/99XGZYP5"],"itemData":{"id":247,"type":"article-journal","abstract":"The Gene Expression Omnibus (GEO) is an international public repository that archives gene expression and epigenomics data sets generated by next-generation sequencing and microarray technologies. Data are typically submitted to GEO by researchers in compliance with widespread journal and funder mandates to make generated data publicly accessible. The resource handles raw data files, processed data files and descriptive metadata for over 200 000 studies and 6.5 million samples, all of which are indexed, searchable and downloadable. Additionally, GEO offers web-based tools that facilitate analysis and visualization of differential gene expression. This article presents the current status and recent advancements in GEO, including the generation of consistently computed gene expression count matrices for thousands of RNA-seq studies, and new interactive graphical plots in GEO2R that help users identify differentially expressed genes and assess data set quality. The GEO repository is built and maintained by the National Center for Biotechnology Information (NCBI), a division of the National Library of Medicine (NLM), and is publicly accessible at https://www.ncbi.nlm.nih.gov/geo/., \nGraphical Abstract","container-title":"Nucleic Acids Research","DOI":"10.1093/nar/gkad965","ISSN":"0305-1048","issue":"D1","journalAbbreviation":"Nucleic Acids Res","page":"D138-D144","PMID":"37933855","PMCID":"PMC10767856","source":"PubMed Central","title":"NCBI GEO: archive for gene expression and epigenomics data sets: 23-year update","title-short":"NCBI GEO","URL":"https://pmc.ncbi.nlm.nih.gov/articles/PMC10767856/","volume":"52","author":[{"family":"Clough","given":"Emily"},{"family":"Barrett","given":"Tanya"},{"family":"Wilhite","given":"Stephen E"},{"family":"Ledoux","given":"Pierre"},{"family":"Evangelista","given":"Carlos"},{"family":"Kim","given":"Irene F"},{"family":"Tomashevsky","given":"Maxim"},{"family":"Marshall","given":"Kimberly A"},{"family":"Phillippy","given":"Katherine H"},{"family":"Sherman","given":"Patti M"},{"family":"Lee","given":"Hyeseung"},{"family":"Zhang","given":"Naigong"},{"family":"Serova","given":"Nadezhda"},{"family":"Wagner","given":"Lukas"},{"family":"Zalunin","given":"Vadim"},{"family":"Kochergin","given":"Andrey"},{"family":"Soboleva","given":"Alexandra"}],"accessed":{"date-parts":[["2026",8,11]]},"issued":{"date-parts":[["2023",11,2]]}}},{"id":245,"uris":["http://zotero.org/users/local/sechomLT/items/ELAR5M4W"],"itemData":{"id":245,"type":"article-journal","abstract":"The National Cancer Institute (NCI) Genomic Data Commons (GDC) contains more than 2.9 petabytes of genomic and associated clinical data from more than 60 NCI-funded and other contributed cancer genomics research projects. The GDC consists of five applications over a common data model and a common application programming interface.","container-title":"Nature Genetics","DOI":"10.1038/s41588-021-00791-5","ISSN":"1546-1718","issue":"3","journalAbbreviation":"Nat Genet","language":"en","license":"2021 Springer Nature America, Inc.","page":"257-262","publisher":"Nature Publishing Group","source":"www.nature.com","title":"The NCI Genomic Data Commons","URL":"https://www.nature.com/articles/s41588-021-00791-5","volume":"53","author":[{"family":"Heath","given":"Allison P."},{"family":"Ferretti","given":"Vincent"},{"family":"Agrawal","given":"Stuti"},{"family":"An","given":"Maksim"},{"family":"Angelakos","given":"James C."},{"family":"Arya","given":"Renuka"},{"family":"Bajari","given":"Rosita"},{"family":"Baqar","given":"Bilal"},{"family":"Barnowski","given":"Justin H. B."},{"family":"Burt","given":"Jeffrey"},{"family":"Catton","given":"Ann"},{"family":"Chan","given":"Brandon F."},{"family":"Chu","given":"Fay"},{"family":"Cullion","given":"Kim"},{"family":"Davidsen","given":"Tanja"},{"family":"Do","given":"Phuong-My"},{"family":"Dompierre","given":"Christian"},{"family":"Ferguson","given":"Martin L."},{"family":"Fitzsimons","given":"Michael S."},{"family":"Ford","given":"Michael"},{"family":"Fukuma","given":"Miyuki"},{"family":"Gaheen","given":"Sharon"},{"family":"Ganji","given":"Gajanan L."},{"family":"Garcia","given":"Tzintzuni I."},{"family":"George","given":"Sameera S."},{"family":"Gerhard","given":"Daniela S."},{"family":"Gerthoffert","given":"Francois"},{"family":"Gomez","given":"Fauzi"},{"family":"Han","given":"Kang"},{"family":"Hernandez","given":"Kyle M."},{"family":"Issac","given":"Biju"},{"family":"Jackson","given":"Richard"},{"family":"Jensen","given":"Mark A."},{"family":"Joshi","given":"Sid"},{"family":"Kadam","given":"Ajinkya"},{"family":"Khurana","given":"Aishmit"},{"family":"Kim","given":"Kyle M. J."},{"family":"Kraft","given":"Victoria E."},{"family":"Li","given":"Shenglai"},{"family":"Lichtenberg","given":"Tara M."},{"family":"Lodato","given":"Janice"},{"family":"Lolla","given":"Laxmi"},{"family":"Martinov","given":"Plamen"},{"family":"Mazzone","given":"Jeffrey A."},{"family":"Miller","given":"Daniel P."},{"family":"Miller","given":"Ian"},{"family":"Miller","given":"Joshua S."},{"family":"Miyauchi","given":"Koji"},{"family":"Murphy","given":"Mark W."},{"family":"Nullet","given":"Thomas"},{"family":"Ogwara","given":"Rowland O."},{"family":"Ortuño","given":"Francisco M."},{"family":"Pedrosa","given":"Jesús"},{"family":"Pham","given":"Phuong L."},{"family":"Popov","given":"Maxim Y."},{"family":"Porter","given":"James J."},{"family":"Powell","given":"Raymond"},{"family":"Rademacher","given":"Karl"},{"family":"Reid","given":"Colin P."},{"family":"Rich","given":"Samantha"},{"family":"Rogel","given":"Bessie"},{"family":"Sahni","given":"Himanso"},{"family":"Savage","given":"Jeremiah H."},{"family":"Schmitt","given":"Kyle A."},{"family":"Simmons","given":"Trevar J."},{"family":"Sislow","given":"Joseph"},{"family":"Spring","given":"Jonathan"},{"family":"Stein","given":"Lincoln"},{"family":"Sullivan","given":"Sean"},{"family":"Tang","given":"Yajing"},{"family":"Thiagarajan","given":"Mathangi"},{"family":"Troyer","given":"Heather D."},{"family":"Wang","given":"Chang"},{"family":"Wang","given":"Zhining"},{"family":"West","given":"Bedford L."},{"family":"Wilmer","given":"Alex"},{"family":"Wilson","given":"Shane"},{"family":"Wu","given":"Kaman"},{"family":"Wysocki","given":"William P."},{"family":"Xiang","given":"Linda"},{"family":"Yamada","given":"Joseph T."},{"family":"Yang","given":"Liming"},{"family":"Yu","given":"Christine"},{"family":"Yung","given":"Christina K."},{"family":"Zenklusen","given":"Jean Claude"},{"family":"Zhang","given":"Junjun"},{"family":"Zhang","given":"Zhenyu"},{"family":"Zhao","given":"Yuanheng"},{"family":"Zubair","given":"Ariz"},{"family":"Staudt","given":"Louis M."},{"family":"Grossman","given":"Robert L."}],"accessed":{"date-parts":[["2026",8,11]]},"issued":{"date-parts":[["2021",3]]}}}],"schema":"https://github.com/citation-style-language/schema/raw/master/csl-citation.json"} </w:instrText>
      </w:r>
      <w:r w:rsidR="008C3271">
        <w:fldChar w:fldCharType="separate"/>
      </w:r>
      <w:r w:rsidR="008C3271" w:rsidRPr="008C3271">
        <w:rPr>
          <w:rFonts w:ascii="Calibri" w:hAnsi="Calibri" w:cs="Calibri"/>
        </w:rPr>
        <w:t>(18,19)</w:t>
      </w:r>
      <w:r w:rsidR="008C3271">
        <w:fldChar w:fldCharType="end"/>
      </w:r>
      <w:r w:rsidRPr="00EB4C60">
        <w:t xml:space="preserve">. Mientras que GEO alberga más de 6,5 millones de muestras de </w:t>
      </w:r>
      <w:r w:rsidR="008C3271">
        <w:t>más de</w:t>
      </w:r>
      <w:r w:rsidRPr="00EB4C60">
        <w:t xml:space="preserve"> 200.000 estudios</w:t>
      </w:r>
      <w:r w:rsidR="008528E2">
        <w:t xml:space="preserve"> (en 2023)</w:t>
      </w:r>
      <w:r w:rsidR="008C3271">
        <w:fldChar w:fldCharType="begin"/>
      </w:r>
      <w:r w:rsidR="008C3271">
        <w:instrText xml:space="preserve"> ADDIN ZOTERO_ITEM CSL_CITATION {"citationID":"bA9UDbRi","properties":{"unsorted":false,"formattedCitation":"(18)","plainCitation":"(18)","noteIndex":0},"citationItems":[{"id":247,"uris":["http://zotero.org/users/local/sechomLT/items/99XGZYP5"],"itemData":{"id":247,"type":"article-journal","abstract":"The Gene Expression Omnibus (GEO) is an international public repository that archives gene expression and epigenomics data sets generated by next-generation sequencing and microarray technologies. Data are typically submitted to GEO by researchers in compliance with widespread journal and funder mandates to make generated data publicly accessible. The resource handles raw data files, processed data files and descriptive metadata for over 200 000 studies and 6.5 million samples, all of which are indexed, searchable and downloadable. Additionally, GEO offers web-based tools that facilitate analysis and visualization of differential gene expression. This article presents the current status and recent advancements in GEO, including the generation of consistently computed gene expression count matrices for thousands of RNA-seq studies, and new interactive graphical plots in GEO2R that help users identify differentially expressed genes and assess data set quality. The GEO repository is built and maintained by the National Center for Biotechnology Information (NCBI), a division of the National Library of Medicine (NLM), and is publicly accessible at https://www.ncbi.nlm.nih.gov/geo/., \nGraphical Abstract","container-title":"Nucleic Acids Research","DOI":"10.1093/nar/gkad965","ISSN":"0305-1048","issue":"D1","journalAbbreviation":"Nucleic Acids Res","page":"D138-D144","PMID":"37933855","PMCID":"PMC10767856","source":"PubMed Central","title":"NCBI GEO: archive for gene expression and epigenomics data sets: 23-year update","title-short":"NCBI GEO","URL":"https://pmc.ncbi.nlm.nih.gov/articles/PMC10767856/","volume":"52","author":[{"family":"Clough","given":"Emily"},{"family":"Barrett","given":"Tanya"},{"family":"Wilhite","given":"Stephen E"},{"family":"Ledoux","given":"Pierre"},{"family":"Evangelista","given":"Carlos"},{"family":"Kim","given":"Irene F"},{"family":"Tomashevsky","given":"Maxim"},{"family":"Marshall","given":"Kimberly A"},{"family":"Phillippy","given":"Katherine H"},{"family":"Sherman","given":"Patti M"},{"family":"Lee","given":"Hyeseung"},{"family":"Zhang","given":"Naigong"},{"family":"Serova","given":"Nadezhda"},{"family":"Wagner","given":"Lukas"},{"family":"Zalunin","given":"Vadim"},{"family":"Kochergin","given":"Andrey"},{"family":"Soboleva","given":"Alexandra"}],"accessed":{"date-parts":[["2026",8,11]]},"issued":{"date-parts":[["2023",11,2]]}}}],"schema":"https://github.com/citation-style-language/schema/raw/master/csl-citation.json"} </w:instrText>
      </w:r>
      <w:r w:rsidR="008C3271">
        <w:fldChar w:fldCharType="separate"/>
      </w:r>
      <w:r w:rsidR="008C3271" w:rsidRPr="008C3271">
        <w:rPr>
          <w:rFonts w:ascii="Calibri" w:hAnsi="Calibri" w:cs="Calibri"/>
        </w:rPr>
        <w:t>(18)</w:t>
      </w:r>
      <w:r w:rsidR="008C3271">
        <w:fldChar w:fldCharType="end"/>
      </w:r>
      <w:r w:rsidRPr="00EB4C60">
        <w:t xml:space="preserve">, el GDC integra más de 2,9 </w:t>
      </w:r>
      <w:proofErr w:type="spellStart"/>
      <w:r w:rsidRPr="00EB4C60">
        <w:t>petabytes</w:t>
      </w:r>
      <w:proofErr w:type="spellEnd"/>
      <w:r w:rsidRPr="00EB4C60">
        <w:t xml:space="preserve"> de datos genómicos y clínicos de decenas de miles de casos</w:t>
      </w:r>
      <w:r w:rsidR="008528E2">
        <w:t xml:space="preserve"> (en 2021)</w:t>
      </w:r>
      <w:r w:rsidR="008528E2">
        <w:fldChar w:fldCharType="begin"/>
      </w:r>
      <w:r w:rsidR="008C3271">
        <w:instrText xml:space="preserve"> ADDIN ZOTERO_ITEM CSL_CITATION {"citationID":"0fzd3Q7T","properties":{"unsorted":false,"formattedCitation":"(19)","plainCitation":"(19)","noteIndex":0},"citationItems":[{"id":245,"uris":["http://zotero.org/users/local/sechomLT/items/ELAR5M4W"],"itemData":{"id":245,"type":"article-journal","abstract":"The National Cancer Institute (NCI) Genomic Data Commons (GDC) contains more than 2.9 petabytes of genomic and associated clinical data from more than 60 NCI-funded and other contributed cancer genomics research projects. The GDC consists of five applications over a common data model and a common application programming interface.","container-title":"Nature Genetics","DOI":"10.1038/s41588-021-00791-5","ISSN":"1546-1718","issue":"3","journalAbbreviation":"Nat Genet","language":"en","license":"2021 Springer Nature America, Inc.","page":"257-262","publisher":"Nature Publishing Group","source":"www.nature.com","title":"The NCI Genomic Data Commons","URL":"https://www.nature.com/articles/s41588-021-00791-5","volume":"53","author":[{"family":"Heath","given":"Allison P."},{"family":"Ferretti","given":"Vincent"},{"family":"Agrawal","given":"Stuti"},{"family":"An","given":"Maksim"},{"family":"Angelakos","given":"James C."},{"family":"Arya","given":"Renuka"},{"family":"Bajari","given":"Rosita"},{"family":"Baqar","given":"Bilal"},{"family":"Barnowski","given":"Justin H. B."},{"family":"Burt","given":"Jeffrey"},{"family":"Catton","given":"Ann"},{"family":"Chan","given":"Brandon F."},{"family":"Chu","given":"Fay"},{"family":"Cullion","given":"Kim"},{"family":"Davidsen","given":"Tanja"},{"family":"Do","given":"Phuong-My"},{"family":"Dompierre","given":"Christian"},{"family":"Ferguson","given":"Martin L."},{"family":"Fitzsimons","given":"Michael S."},{"family":"Ford","given":"Michael"},{"family":"Fukuma","given":"Miyuki"},{"family":"Gaheen","given":"Sharon"},{"family":"Ganji","given":"Gajanan L."},{"family":"Garcia","given":"Tzintzuni I."},{"family":"George","given":"Sameera S."},{"family":"Gerhard","given":"Daniela S."},{"family":"Gerthoffert","given":"Francois"},{"family":"Gomez","given":"Fauzi"},{"family":"Han","given":"Kang"},{"family":"Hernandez","given":"Kyle M."},{"family":"Issac","given":"Biju"},{"family":"Jackson","given":"Richard"},{"family":"Jensen","given":"Mark A."},{"family":"Joshi","given":"Sid"},{"family":"Kadam","given":"Ajinkya"},{"family":"Khurana","given":"Aishmit"},{"family":"Kim","given":"Kyle M. J."},{"family":"Kraft","given":"Victoria E."},{"family":"Li","given":"Shenglai"},{"family":"Lichtenberg","given":"Tara M."},{"family":"Lodato","given":"Janice"},{"family":"Lolla","given":"Laxmi"},{"family":"Martinov","given":"Plamen"},{"family":"Mazzone","given":"Jeffrey A."},{"family":"Miller","given":"Daniel P."},{"family":"Miller","given":"Ian"},{"family":"Miller","given":"Joshua S."},{"family":"Miyauchi","given":"Koji"},{"family":"Murphy","given":"Mark W."},{"family":"Nullet","given":"Thomas"},{"family":"Ogwara","given":"Rowland O."},{"family":"Ortuño","given":"Francisco M."},{"family":"Pedrosa","given":"Jesús"},{"family":"Pham","given":"Phuong L."},{"family":"Popov","given":"Maxim Y."},{"family":"Porter","given":"James J."},{"family":"Powell","given":"Raymond"},{"family":"Rademacher","given":"Karl"},{"family":"Reid","given":"Colin P."},{"family":"Rich","given":"Samantha"},{"family":"Rogel","given":"Bessie"},{"family":"Sahni","given":"Himanso"},{"family":"Savage","given":"Jeremiah H."},{"family":"Schmitt","given":"Kyle A."},{"family":"Simmons","given":"Trevar J."},{"family":"Sislow","given":"Joseph"},{"family":"Spring","given":"Jonathan"},{"family":"Stein","given":"Lincoln"},{"family":"Sullivan","given":"Sean"},{"family":"Tang","given":"Yajing"},{"family":"Thiagarajan","given":"Mathangi"},{"family":"Troyer","given":"Heather D."},{"family":"Wang","given":"Chang"},{"family":"Wang","given":"Zhining"},{"family":"West","given":"Bedford L."},{"family":"Wilmer","given":"Alex"},{"family":"Wilson","given":"Shane"},{"family":"Wu","given":"Kaman"},{"family":"Wysocki","given":"William P."},{"family":"Xiang","given":"Linda"},{"family":"Yamada","given":"Joseph T."},{"family":"Yang","given":"Liming"},{"family":"Yu","given":"Christine"},{"family":"Yung","given":"Christina K."},{"family":"Zenklusen","given":"Jean Claude"},{"family":"Zhang","given":"Junjun"},{"family":"Zhang","given":"Zhenyu"},{"family":"Zhao","given":"Yuanheng"},{"family":"Zubair","given":"Ariz"},{"family":"Staudt","given":"Louis M."},{"family":"Grossman","given":"Robert L."}],"accessed":{"date-parts":[["2026",8,11]]},"issued":{"date-parts":[["2021",3]]}}}],"schema":"https://github.com/citation-style-language/schema/raw/master/csl-citation.json"} </w:instrText>
      </w:r>
      <w:r w:rsidR="008528E2">
        <w:fldChar w:fldCharType="separate"/>
      </w:r>
      <w:r w:rsidR="008C3271" w:rsidRPr="008C3271">
        <w:rPr>
          <w:rFonts w:ascii="Calibri" w:hAnsi="Calibri" w:cs="Calibri"/>
        </w:rPr>
        <w:t>(19)</w:t>
      </w:r>
      <w:r w:rsidR="008528E2">
        <w:fldChar w:fldCharType="end"/>
      </w:r>
      <w:r w:rsidRPr="00EB4C60">
        <w:t xml:space="preserve">. La reutilización de este volumen masivo de datos permite diseñar estudios </w:t>
      </w:r>
      <w:proofErr w:type="spellStart"/>
      <w:r w:rsidRPr="00EB4C60">
        <w:t>multicohorte</w:t>
      </w:r>
      <w:proofErr w:type="spellEnd"/>
      <w:r w:rsidRPr="00EB4C60">
        <w:t xml:space="preserve"> con elevada potencia estadística, reduciendo los costes económicos y el tiempo asociado a la secuenciación </w:t>
      </w:r>
      <w:r w:rsidRPr="00EB4C60">
        <w:rPr>
          <w:i/>
          <w:iCs/>
        </w:rPr>
        <w:t xml:space="preserve">de </w:t>
      </w:r>
      <w:proofErr w:type="spellStart"/>
      <w:r w:rsidRPr="00EB4C60">
        <w:rPr>
          <w:i/>
          <w:iCs/>
        </w:rPr>
        <w:t>novo</w:t>
      </w:r>
      <w:proofErr w:type="spellEnd"/>
      <w:r w:rsidR="008C3271">
        <w:rPr>
          <w:i/>
          <w:iCs/>
        </w:rPr>
        <w:fldChar w:fldCharType="begin"/>
      </w:r>
      <w:r w:rsidR="008C3271">
        <w:rPr>
          <w:i/>
          <w:iCs/>
        </w:rPr>
        <w:instrText xml:space="preserve"> ADDIN ZOTERO_ITEM CSL_CITATION {"citationID":"YNpFkCBi","properties":{"unsorted":false,"formattedCitation":"(18,19)","plainCitation":"(18,19)","noteIndex":0},"citationItems":[{"id":247,"uris":["http://zotero.org/users/local/sechomLT/items/99XGZYP5"],"itemData":{"id":247,"type":"article-journal","abstract":"The Gene Expression Omnibus (GEO) is an international public repository that archives gene expression and epigenomics data sets generated by next-generation sequencing and microarray technologies. Data are typically submitted to GEO by researchers in compliance with widespread journal and funder mandates to make generated data publicly accessible. The resource handles raw data files, processed data files and descriptive metadata for over 200 000 studies and 6.5 million samples, all of which are indexed, searchable and downloadable. Additionally, GEO offers web-based tools that facilitate analysis and visualization of differential gene expression. This article presents the current status and recent advancements in GEO, including the generation of consistently computed gene expression count matrices for thousands of RNA-seq studies, and new interactive graphical plots in GEO2R that help users identify differentially expressed genes and assess data set quality. The GEO repository is built and maintained by the National Center for Biotechnology Information (NCBI), a division of the National Library of Medicine (NLM), and is publicly accessible at https://www.ncbi.nlm.nih.gov/geo/., \nGraphical Abstract","container-title":"Nucleic Acids Research","DOI":"10.1093/nar/gkad965","ISSN":"0305-1048","issue":"D1","journalAbbreviation":"Nucleic Acids Res","page":"D138-D144","PMID":"37933855","PMCID":"PMC10767856","source":"PubMed Central","title":"NCBI GEO: archive for gene expression and epigenomics data sets: 23-year update","title-short":"NCBI GEO","URL":"https://pmc.ncbi.nlm.nih.gov/articles/PMC10767856/","volume":"52","author":[{"family":"Clough","given":"Emily"},{"family":"Barrett","given":"Tanya"},{"family":"Wilhite","given":"Stephen E"},{"family":"Ledoux","given":"Pierre"},{"family":"Evangelista","given":"Carlos"},{"family":"Kim","given":"Irene F"},{"family":"Tomashevsky","given":"Maxim"},{"family":"Marshall","given":"Kimberly A"},{"family":"Phillippy","given":"Katherine H"},{"family":"Sherman","given":"Patti M"},{"family":"Lee","given":"Hyeseung"},{"family":"Zhang","given":"Naigong"},{"family":"Serova","given":"Nadezhda"},{"family":"Wagner","given":"Lukas"},{"family":"Zalunin","given":"Vadim"},{"family":"Kochergin","given":"Andrey"},{"family":"Soboleva","given":"Alexandra"}],"accessed":{"date-parts":[["2026",8,11]]},"issued":{"date-parts":[["2023",11,2]]}}},{"id":245,"uris":["http://zotero.org/users/local/sechomLT/items/ELAR5M4W"],"itemData":{"id":245,"type":"article-journal","abstract":"The National Cancer Institute (NCI) Genomic Data Commons (GDC) contains more than 2.9 petabytes of genomic and associated clinical data from more than 60 NCI-funded and other contributed cancer genomics research projects. The GDC consists of five applications over a common data model and a common application programming interface.","container-title":"Nature Genetics","DOI":"10.1038/s41588-021-00791-5","ISSN":"1546-1718","issue":"3","journalAbbreviation":"Nat Genet","language":"en","license":"2021 Springer Nature America, Inc.","page":"257-262","publisher":"Nature Publishing Group","source":"www.nature.com","title":"The NCI Genomic Data Commons","URL":"https://www.nature.com/articles/s41588-021-00791-5","volume":"53","author":[{"family":"Heath","given":"Allison P."},{"family":"Ferretti","given":"Vincent"},{"family":"Agrawal","given":"Stuti"},{"family":"An","given":"Maksim"},{"family":"Angelakos","given":"James C."},{"family":"Arya","given":"Renuka"},{"family":"Bajari","given":"Rosita"},{"family":"Baqar","given":"Bilal"},{"family":"Barnowski","given":"Justin H. B."},{"family":"Burt","given":"Jeffrey"},{"family":"Catton","given":"Ann"},{"family":"Chan","given":"Brandon F."},{"family":"Chu","given":"Fay"},{"family":"Cullion","given":"Kim"},{"family":"Davidsen","given":"Tanja"},{"family":"Do","given":"Phuong-My"},{"family":"Dompierre","given":"Christian"},{"family":"Ferguson","given":"Martin L."},{"family":"Fitzsimons","given":"Michael S."},{"family":"Ford","given":"Michael"},{"family":"Fukuma","given":"Miyuki"},{"family":"Gaheen","given":"Sharon"},{"family":"Ganji","given":"Gajanan L."},{"family":"Garcia","given":"Tzintzuni I."},{"family":"George","given":"Sameera S."},{"family":"Gerhard","given":"Daniela S."},{"family":"Gerthoffert","given":"Francois"},{"family":"Gomez","given":"Fauzi"},{"family":"Han","given":"Kang"},{"family":"Hernandez","given":"Kyle M."},{"family":"Issac","given":"Biju"},{"family":"Jackson","given":"Richard"},{"family":"Jensen","given":"Mark A."},{"family":"Joshi","given":"Sid"},{"family":"Kadam","given":"Ajinkya"},{"family":"Khurana","given":"Aishmit"},{"family":"Kim","given":"Kyle M. J."},{"family":"Kraft","given":"Victoria E."},{"family":"Li","given":"Shenglai"},{"family":"Lichtenberg","given":"Tara M."},{"family":"Lodato","given":"Janice"},{"family":"Lolla","given":"Laxmi"},{"family":"Martinov","given":"Plamen"},{"family":"Mazzone","given":"Jeffrey A."},{"family":"Miller","given":"Daniel P."},{"family":"Miller","given":"Ian"},{"family":"Miller","given":"Joshua S."},{"family":"Miyauchi","given":"Koji"},{"family":"Murphy","given":"Mark W."},{"family":"Nullet","given":"Thomas"},{"family":"Ogwara","given":"Rowland O."},{"family":"Ortuño","given":"Francisco M."},{"family":"Pedrosa","given":"Jesús"},{"family":"Pham","given":"Phuong L."},{"family":"Popov","given":"Maxim Y."},{"family":"Porter","given":"James J."},{"family":"Powell","given":"Raymond"},{"family":"Rademacher","given":"Karl"},{"family":"Reid","given":"Colin P."},{"family":"Rich","given":"Samantha"},{"family":"Rogel","given":"Bessie"},{"family":"Sahni","given":"Himanso"},{"family":"Savage","given":"Jeremiah H."},{"family":"Schmitt","given":"Kyle A."},{"family":"Simmons","given":"Trevar J."},{"family":"Sislow","given":"Joseph"},{"family":"Spring","given":"Jonathan"},{"family":"Stein","given":"Lincoln"},{"family":"Sullivan","given":"Sean"},{"family":"Tang","given":"Yajing"},{"family":"Thiagarajan","given":"Mathangi"},{"family":"Troyer","given":"Heather D."},{"family":"Wang","given":"Chang"},{"family":"Wang","given":"Zhining"},{"family":"West","given":"Bedford L."},{"family":"Wilmer","given":"Alex"},{"family":"Wilson","given":"Shane"},{"family":"Wu","given":"Kaman"},{"family":"Wysocki","given":"William P."},{"family":"Xiang","given":"Linda"},{"family":"Yamada","given":"Joseph T."},{"family":"Yang","given":"Liming"},{"family":"Yu","given":"Christine"},{"family":"Yung","given":"Christina K."},{"family":"Zenklusen","given":"Jean Claude"},{"family":"Zhang","given":"Junjun"},{"family":"Zhang","given":"Zhenyu"},{"family":"Zhao","given":"Yuanheng"},{"family":"Zubair","given":"Ariz"},{"family":"Staudt","given":"Louis M."},{"family":"Grossman","given":"Robert L."}],"accessed":{"date-parts":[["2026",8,11]]},"issued":{"date-parts":[["2021",3]]}}}],"schema":"https://github.com/citation-style-language/schema/raw/master/csl-citation.json"} </w:instrText>
      </w:r>
      <w:r w:rsidR="008C3271">
        <w:rPr>
          <w:i/>
          <w:iCs/>
        </w:rPr>
        <w:fldChar w:fldCharType="separate"/>
      </w:r>
      <w:r w:rsidR="008C3271" w:rsidRPr="008C3271">
        <w:rPr>
          <w:rFonts w:ascii="Calibri" w:hAnsi="Calibri" w:cs="Calibri"/>
        </w:rPr>
        <w:t>(18,19)</w:t>
      </w:r>
      <w:r w:rsidR="008C3271">
        <w:rPr>
          <w:i/>
          <w:iCs/>
        </w:rPr>
        <w:fldChar w:fldCharType="end"/>
      </w:r>
      <w:r w:rsidRPr="00EB4C60">
        <w:t xml:space="preserve">. Asimismo, el uso de estos recursos </w:t>
      </w:r>
      <w:r w:rsidR="008528E2" w:rsidRPr="008528E2">
        <w:t>minimiza la necesidad de disponer de grandes capacidades de cómputo y almacenamiento para el procesamiento inicial</w:t>
      </w:r>
      <w:r w:rsidR="008C3271">
        <w:fldChar w:fldCharType="begin"/>
      </w:r>
      <w:r w:rsidR="008C3271">
        <w:instrText xml:space="preserve"> ADDIN ZOTERO_ITEM CSL_CITATION {"citationID":"ToEbhZj1","properties":{"unsorted":false,"formattedCitation":"(18,19)","plainCitation":"(18,19)","noteIndex":0},"citationItems":[{"id":247,"uris":["http://zotero.org/users/local/sechomLT/items/99XGZYP5"],"itemData":{"id":247,"type":"article-journal","abstract":"The Gene Expression Omnibus (GEO) is an international public repository that archives gene expression and epigenomics data sets generated by next-generation sequencing and microarray technologies. Data are typically submitted to GEO by researchers in compliance with widespread journal and funder mandates to make generated data publicly accessible. The resource handles raw data files, processed data files and descriptive metadata for over 200 000 studies and 6.5 million samples, all of which are indexed, searchable and downloadable. Additionally, GEO offers web-based tools that facilitate analysis and visualization of differential gene expression. This article presents the current status and recent advancements in GEO, including the generation of consistently computed gene expression count matrices for thousands of RNA-seq studies, and new interactive graphical plots in GEO2R that help users identify differentially expressed genes and assess data set quality. The GEO repository is built and maintained by the National Center for Biotechnology Information (NCBI), a division of the National Library of Medicine (NLM), and is publicly accessible at https://www.ncbi.nlm.nih.gov/geo/., \nGraphical Abstract","container-title":"Nucleic Acids Research","DOI":"10.1093/nar/gkad965","ISSN":"0305-1048","issue":"D1","journalAbbreviation":"Nucleic Acids Res","page":"D138-D144","PMID":"37933855","PMCID":"PMC10767856","source":"PubMed Central","title":"NCBI GEO: archive for gene expression and epigenomics data sets: 23-year update","title-short":"NCBI GEO","URL":"https://pmc.ncbi.nlm.nih.gov/articles/PMC10767856/","volume":"52","author":[{"family":"Clough","given":"Emily"},{"family":"Barrett","given":"Tanya"},{"family":"Wilhite","given":"Stephen E"},{"family":"Ledoux","given":"Pierre"},{"family":"Evangelista","given":"Carlos"},{"family":"Kim","given":"Irene F"},{"family":"Tomashevsky","given":"Maxim"},{"family":"Marshall","given":"Kimberly A"},{"family":"Phillippy","given":"Katherine H"},{"family":"Sherman","given":"Patti M"},{"family":"Lee","given":"Hyeseung"},{"family":"Zhang","given":"Naigong"},{"family":"Serova","given":"Nadezhda"},{"family":"Wagner","given":"Lukas"},{"family":"Zalunin","given":"Vadim"},{"family":"Kochergin","given":"Andrey"},{"family":"Soboleva","given":"Alexandra"}],"accessed":{"date-parts":[["2026",8,11]]},"issued":{"date-parts":[["2023",11,2]]}}},{"id":245,"uris":["http://zotero.org/users/local/sechomLT/items/ELAR5M4W"],"itemData":{"id":245,"type":"article-journal","abstract":"The National Cancer Institute (NCI) Genomic Data Commons (GDC) contains more than 2.9 petabytes of genomic and associated clinical data from more than 60 NCI-funded and other contributed cancer genomics research projects. The GDC consists of five applications over a common data model and a common application programming interface.","container-title":"Nature Genetics","DOI":"10.1038/s41588-021-00791-5","ISSN":"1546-1718","issue":"3","journalAbbreviation":"Nat Genet","language":"en","license":"2021 Springer Nature America, Inc.","page":"257-262","publisher":"Nature Publishing Group","source":"www.nature.com","title":"The NCI Genomic Data Commons","URL":"https://www.nature.com/articles/s41588-021-00791-5","volume":"53","author":[{"family":"Heath","given":"Allison P."},{"family":"Ferretti","given":"Vincent"},{"family":"Agrawal","given":"Stuti"},{"family":"An","given":"Maksim"},{"family":"Angelakos","given":"James C."},{"family":"Arya","given":"Renuka"},{"family":"Bajari","given":"Rosita"},{"family":"Baqar","given":"Bilal"},{"family":"Barnowski","given":"Justin H. B."},{"family":"Burt","given":"Jeffrey"},{"family":"Catton","given":"Ann"},{"family":"Chan","given":"Brandon F."},{"family":"Chu","given":"Fay"},{"family":"Cullion","given":"Kim"},{"family":"Davidsen","given":"Tanja"},{"family":"Do","given":"Phuong-My"},{"family":"Dompierre","given":"Christian"},{"family":"Ferguson","given":"Martin L."},{"family":"Fitzsimons","given":"Michael S."},{"family":"Ford","given":"Michael"},{"family":"Fukuma","given":"Miyuki"},{"family":"Gaheen","given":"Sharon"},{"family":"Ganji","given":"Gajanan L."},{"family":"Garcia","given":"Tzintzuni I."},{"family":"George","given":"Sameera S."},{"family":"Gerhard","given":"Daniela S."},{"family":"Gerthoffert","given":"Francois"},{"family":"Gomez","given":"Fauzi"},{"family":"Han","given":"Kang"},{"family":"Hernandez","given":"Kyle M."},{"family":"Issac","given":"Biju"},{"family":"Jackson","given":"Richard"},{"family":"Jensen","given":"Mark A."},{"family":"Joshi","given":"Sid"},{"family":"Kadam","given":"Ajinkya"},{"family":"Khurana","given":"Aishmit"},{"family":"Kim","given":"Kyle M. J."},{"family":"Kraft","given":"Victoria E."},{"family":"Li","given":"Shenglai"},{"family":"Lichtenberg","given":"Tara M."},{"family":"Lodato","given":"Janice"},{"family":"Lolla","given":"Laxmi"},{"family":"Martinov","given":"Plamen"},{"family":"Mazzone","given":"Jeffrey A."},{"family":"Miller","given":"Daniel P."},{"family":"Miller","given":"Ian"},{"family":"Miller","given":"Joshua S."},{"family":"Miyauchi","given":"Koji"},{"family":"Murphy","given":"Mark W."},{"family":"Nullet","given":"Thomas"},{"family":"Ogwara","given":"Rowland O."},{"family":"Ortuño","given":"Francisco M."},{"family":"Pedrosa","given":"Jesús"},{"family":"Pham","given":"Phuong L."},{"family":"Popov","given":"Maxim Y."},{"family":"Porter","given":"James J."},{"family":"Powell","given":"Raymond"},{"family":"Rademacher","given":"Karl"},{"family":"Reid","given":"Colin P."},{"family":"Rich","given":"Samantha"},{"family":"Rogel","given":"Bessie"},{"family":"Sahni","given":"Himanso"},{"family":"Savage","given":"Jeremiah H."},{"family":"Schmitt","given":"Kyle A."},{"family":"Simmons","given":"Trevar J."},{"family":"Sislow","given":"Joseph"},{"family":"Spring","given":"Jonathan"},{"family":"Stein","given":"Lincoln"},{"family":"Sullivan","given":"Sean"},{"family":"Tang","given":"Yajing"},{"family":"Thiagarajan","given":"Mathangi"},{"family":"Troyer","given":"Heather D."},{"family":"Wang","given":"Chang"},{"family":"Wang","given":"Zhining"},{"family":"West","given":"Bedford L."},{"family":"Wilmer","given":"Alex"},{"family":"Wilson","given":"Shane"},{"family":"Wu","given":"Kaman"},{"family":"Wysocki","given":"William P."},{"family":"Xiang","given":"Linda"},{"family":"Yamada","given":"Joseph T."},{"family":"Yang","given":"Liming"},{"family":"Yu","given":"Christine"},{"family":"Yung","given":"Christina K."},{"family":"Zenklusen","given":"Jean Claude"},{"family":"Zhang","given":"Junjun"},{"family":"Zhang","given":"Zhenyu"},{"family":"Zhao","given":"Yuanheng"},{"family":"Zubair","given":"Ariz"},{"family":"Staudt","given":"Louis M."},{"family":"Grossman","given":"Robert L."}],"accessed":{"date-parts":[["2026",8,11]]},"issued":{"date-parts":[["2021",3]]}}}],"schema":"https://github.com/citation-style-language/schema/raw/master/csl-citation.json"} </w:instrText>
      </w:r>
      <w:r w:rsidR="008C3271">
        <w:fldChar w:fldCharType="separate"/>
      </w:r>
      <w:r w:rsidR="008C3271" w:rsidRPr="008C3271">
        <w:rPr>
          <w:rFonts w:ascii="Calibri" w:hAnsi="Calibri" w:cs="Calibri"/>
        </w:rPr>
        <w:t>(18,19)</w:t>
      </w:r>
      <w:r w:rsidR="008C3271">
        <w:fldChar w:fldCharType="end"/>
      </w:r>
      <w:r w:rsidRPr="00EB4C60">
        <w:t>. Esto es posible gracias a que el GDC ejecuta flujos de trabajo (</w:t>
      </w:r>
      <w:r w:rsidRPr="00EB4C60">
        <w:rPr>
          <w:i/>
          <w:iCs/>
        </w:rPr>
        <w:t>pipelines</w:t>
      </w:r>
      <w:r w:rsidRPr="00EB4C60">
        <w:t>) estandarizados de armonización de datos</w:t>
      </w:r>
      <w:r w:rsidR="008C3271">
        <w:fldChar w:fldCharType="begin"/>
      </w:r>
      <w:r w:rsidR="008C3271">
        <w:instrText xml:space="preserve"> ADDIN ZOTERO_ITEM CSL_CITATION {"citationID":"duvBBq7f","properties":{"unsorted":false,"formattedCitation":"(19)","plainCitation":"(19)","noteIndex":0},"citationItems":[{"id":245,"uris":["http://zotero.org/users/local/sechomLT/items/ELAR5M4W"],"itemData":{"id":245,"type":"article-journal","abstract":"The National Cancer Institute (NCI) Genomic Data Commons (GDC) contains more than 2.9 petabytes of genomic and associated clinical data from more than 60 NCI-funded and other contributed cancer genomics research projects. The GDC consists of five applications over a common data model and a common application programming interface.","container-title":"Nature Genetics","DOI":"10.1038/s41588-021-00791-5","ISSN":"1546-1718","issue":"3","journalAbbreviation":"Nat Genet","language":"en","license":"2021 Springer Nature America, Inc.","page":"257-262","publisher":"Nature Publishing Group","source":"www.nature.com","title":"The NCI Genomic Data Commons","URL":"https://www.nature.com/articles/s41588-021-00791-5","volume":"53","author":[{"family":"Heath","given":"Allison P."},{"family":"Ferretti","given":"Vincent"},{"family":"Agrawal","given":"Stuti"},{"family":"An","given":"Maksim"},{"family":"Angelakos","given":"James C."},{"family":"Arya","given":"Renuka"},{"family":"Bajari","given":"Rosita"},{"family":"Baqar","given":"Bilal"},{"family":"Barnowski","given":"Justin H. B."},{"family":"Burt","given":"Jeffrey"},{"family":"Catton","given":"Ann"},{"family":"Chan","given":"Brandon F."},{"family":"Chu","given":"Fay"},{"family":"Cullion","given":"Kim"},{"family":"Davidsen","given":"Tanja"},{"family":"Do","given":"Phuong-My"},{"family":"Dompierre","given":"Christian"},{"family":"Ferguson","given":"Martin L."},{"family":"Fitzsimons","given":"Michael S."},{"family":"Ford","given":"Michael"},{"family":"Fukuma","given":"Miyuki"},{"family":"Gaheen","given":"Sharon"},{"family":"Ganji","given":"Gajanan L."},{"family":"Garcia","given":"Tzintzuni I."},{"family":"George","given":"Sameera S."},{"family":"Gerhard","given":"Daniela S."},{"family":"Gerthoffert","given":"Francois"},{"family":"Gomez","given":"Fauzi"},{"family":"Han","given":"Kang"},{"family":"Hernandez","given":"Kyle M."},{"family":"Issac","given":"Biju"},{"family":"Jackson","given":"Richard"},{"family":"Jensen","given":"Mark A."},{"family":"Joshi","given":"Sid"},{"family":"Kadam","given":"Ajinkya"},{"family":"Khurana","given":"Aishmit"},{"family":"Kim","given":"Kyle M. J."},{"family":"Kraft","given":"Victoria E."},{"family":"Li","given":"Shenglai"},{"family":"Lichtenberg","given":"Tara M."},{"family":"Lodato","given":"Janice"},{"family":"Lolla","given":"Laxmi"},{"family":"Martinov","given":"Plamen"},{"family":"Mazzone","given":"Jeffrey A."},{"family":"Miller","given":"Daniel P."},{"family":"Miller","given":"Ian"},{"family":"Miller","given":"Joshua S."},{"family":"Miyauchi","given":"Koji"},{"family":"Murphy","given":"Mark W."},{"family":"Nullet","given":"Thomas"},{"family":"Ogwara","given":"Rowland O."},{"family":"Ortuño","given":"Francisco M."},{"family":"Pedrosa","given":"Jesús"},{"family":"Pham","given":"Phuong L."},{"family":"Popov","given":"Maxim Y."},{"family":"Porter","given":"James J."},{"family":"Powell","given":"Raymond"},{"family":"Rademacher","given":"Karl"},{"family":"Reid","given":"Colin P."},{"family":"Rich","given":"Samantha"},{"family":"Rogel","given":"Bessie"},{"family":"Sahni","given":"Himanso"},{"family":"Savage","given":"Jeremiah H."},{"family":"Schmitt","given":"Kyle A."},{"family":"Simmons","given":"Trevar J."},{"family":"Sislow","given":"Joseph"},{"family":"Spring","given":"Jonathan"},{"family":"Stein","given":"Lincoln"},{"family":"Sullivan","given":"Sean"},{"family":"Tang","given":"Yajing"},{"family":"Thiagarajan","given":"Mathangi"},{"family":"Troyer","given":"Heather D."},{"family":"Wang","given":"Chang"},{"family":"Wang","given":"Zhining"},{"family":"West","given":"Bedford L."},{"family":"Wilmer","given":"Alex"},{"family":"Wilson","given":"Shane"},{"family":"Wu","given":"Kaman"},{"family":"Wysocki","given":"William P."},{"family":"Xiang","given":"Linda"},{"family":"Yamada","given":"Joseph T."},{"family":"Yang","given":"Liming"},{"family":"Yu","given":"Christine"},{"family":"Yung","given":"Christina K."},{"family":"Zenklusen","given":"Jean Claude"},{"family":"Zhang","given":"Junjun"},{"family":"Zhang","given":"Zhenyu"},{"family":"Zhao","given":"Yuanheng"},{"family":"Zubair","given":"Ariz"},{"family":"Staudt","given":"Louis M."},{"family":"Grossman","given":"Robert L."}],"accessed":{"date-parts":[["2026",8,11]]},"issued":{"date-parts":[["2021",3]]}}}],"schema":"https://github.com/citation-style-language/schema/raw/master/csl-citation.json"} </w:instrText>
      </w:r>
      <w:r w:rsidR="008C3271">
        <w:fldChar w:fldCharType="separate"/>
      </w:r>
      <w:r w:rsidR="008C3271" w:rsidRPr="008C3271">
        <w:rPr>
          <w:rFonts w:ascii="Calibri" w:hAnsi="Calibri" w:cs="Calibri"/>
        </w:rPr>
        <w:t>(19)</w:t>
      </w:r>
      <w:r w:rsidR="008C3271">
        <w:fldChar w:fldCharType="end"/>
      </w:r>
      <w:r w:rsidRPr="00EB4C60">
        <w:t xml:space="preserve">, mientras que GEO genera matrices de conteo de </w:t>
      </w:r>
      <w:r w:rsidRPr="00EB4C60">
        <w:rPr>
          <w:i/>
          <w:iCs/>
        </w:rPr>
        <w:t>RNA-</w:t>
      </w:r>
      <w:proofErr w:type="spellStart"/>
      <w:r w:rsidRPr="00EB4C60">
        <w:rPr>
          <w:i/>
          <w:iCs/>
        </w:rPr>
        <w:t>seq</w:t>
      </w:r>
      <w:proofErr w:type="spellEnd"/>
      <w:r w:rsidRPr="00EB4C60">
        <w:t xml:space="preserve"> calculadas de forma consistente y listas para su análisis diferencial</w:t>
      </w:r>
      <w:r w:rsidR="008C3271">
        <w:fldChar w:fldCharType="begin"/>
      </w:r>
      <w:r w:rsidR="008C3271">
        <w:instrText xml:space="preserve"> ADDIN ZOTERO_ITEM CSL_CITATION {"citationID":"moQBKgeh","properties":{"unsorted":false,"formattedCitation":"(18)","plainCitation":"(18)","noteIndex":0},"citationItems":[{"id":247,"uris":["http://zotero.org/users/local/sechomLT/items/99XGZYP5"],"itemData":{"id":247,"type":"article-journal","abstract":"The Gene Expression Omnibus (GEO) is an international public repository that archives gene expression and epigenomics data sets generated by next-generation sequencing and microarray technologies. Data are typically submitted to GEO by researchers in compliance with widespread journal and funder mandates to make generated data publicly accessible. The resource handles raw data files, processed data files and descriptive metadata for over 200 000 studies and 6.5 million samples, all of which are indexed, searchable and downloadable. Additionally, GEO offers web-based tools that facilitate analysis and visualization of differential gene expression. This article presents the current status and recent advancements in GEO, including the generation of consistently computed gene expression count matrices for thousands of RNA-seq studies, and new interactive graphical plots in GEO2R that help users identify differentially expressed genes and assess data set quality. The GEO repository is built and maintained by the National Center for Biotechnology Information (NCBI), a division of the National Library of Medicine (NLM), and is publicly accessible at https://www.ncbi.nlm.nih.gov/geo/., \nGraphical Abstract","container-title":"Nucleic Acids Research","DOI":"10.1093/nar/gkad965","ISSN":"0305-1048","issue":"D1","journalAbbreviation":"Nucleic Acids Res","page":"D138-D144","PMID":"37933855","PMCID":"PMC10767856","source":"PubMed Central","title":"NCBI GEO: archive for gene expression and epigenomics data sets: 23-year update","title-short":"NCBI GEO","URL":"https://pmc.ncbi.nlm.nih.gov/articles/PMC10767856/","volume":"52","author":[{"family":"Clough","given":"Emily"},{"family":"Barrett","given":"Tanya"},{"family":"Wilhite","given":"Stephen E"},{"family":"Ledoux","given":"Pierre"},{"family":"Evangelista","given":"Carlos"},{"family":"Kim","given":"Irene F"},{"family":"Tomashevsky","given":"Maxim"},{"family":"Marshall","given":"Kimberly A"},{"family":"Phillippy","given":"Katherine H"},{"family":"Sherman","given":"Patti M"},{"family":"Lee","given":"Hyeseung"},{"family":"Zhang","given":"Naigong"},{"family":"Serova","given":"Nadezhda"},{"family":"Wagner","given":"Lukas"},{"family":"Zalunin","given":"Vadim"},{"family":"Kochergin","given":"Andrey"},{"family":"Soboleva","given":"Alexandra"}],"accessed":{"date-parts":[["2026",8,11]]},"issued":{"date-parts":[["2023",11,2]]}}}],"schema":"https://github.com/citation-style-language/schema/raw/master/csl-citation.json"} </w:instrText>
      </w:r>
      <w:r w:rsidR="008C3271">
        <w:fldChar w:fldCharType="separate"/>
      </w:r>
      <w:r w:rsidR="008C3271" w:rsidRPr="008C3271">
        <w:rPr>
          <w:rFonts w:ascii="Calibri" w:hAnsi="Calibri" w:cs="Calibri"/>
        </w:rPr>
        <w:t>(18)</w:t>
      </w:r>
      <w:r w:rsidR="008C3271">
        <w:fldChar w:fldCharType="end"/>
      </w:r>
      <w:r w:rsidRPr="00EB4C60">
        <w:t xml:space="preserve">. De este modo, el aprovechamiento de estos grandes repositorios no solo fomenta la reproducibilidad y la transparencia científica, sino que </w:t>
      </w:r>
      <w:r w:rsidR="008528E2">
        <w:t>impulsa</w:t>
      </w:r>
      <w:r w:rsidRPr="00EB4C60">
        <w:t xml:space="preserve"> la traducción de los hallazgos genómicos globales en conocimiento clínico y traslacional de alto impacto</w:t>
      </w:r>
      <w:r w:rsidR="008C3271">
        <w:fldChar w:fldCharType="begin"/>
      </w:r>
      <w:r w:rsidR="008C3271">
        <w:instrText xml:space="preserve"> ADDIN ZOTERO_ITEM CSL_CITATION {"citationID":"broUAkvC","properties":{"unsorted":false,"formattedCitation":"(18,19)","plainCitation":"(18,19)","noteIndex":0},"citationItems":[{"id":247,"uris":["http://zotero.org/users/local/sechomLT/items/99XGZYP5"],"itemData":{"id":247,"type":"article-journal","abstract":"The Gene Expression Omnibus (GEO) is an international public repository that archives gene expression and epigenomics data sets generated by next-generation sequencing and microarray technologies. Data are typically submitted to GEO by researchers in compliance with widespread journal and funder mandates to make generated data publicly accessible. The resource handles raw data files, processed data files and descriptive metadata for over 200 000 studies and 6.5 million samples, all of which are indexed, searchable and downloadable. Additionally, GEO offers web-based tools that facilitate analysis and visualization of differential gene expression. This article presents the current status and recent advancements in GEO, including the generation of consistently computed gene expression count matrices for thousands of RNA-seq studies, and new interactive graphical plots in GEO2R that help users identify differentially expressed genes and assess data set quality. The GEO repository is built and maintained by the National Center for Biotechnology Information (NCBI), a division of the National Library of Medicine (NLM), and is publicly accessible at https://www.ncbi.nlm.nih.gov/geo/., \nGraphical Abstract","container-title":"Nucleic Acids Research","DOI":"10.1093/nar/gkad965","ISSN":"0305-1048","issue":"D1","journalAbbreviation":"Nucleic Acids Res","page":"D138-D144","PMID":"37933855","PMCID":"PMC10767856","source":"PubMed Central","title":"NCBI GEO: archive for gene expression and epigenomics data sets: 23-year update","title-short":"NCBI GEO","URL":"https://pmc.ncbi.nlm.nih.gov/articles/PMC10767856/","volume":"52","author":[{"family":"Clough","given":"Emily"},{"family":"Barrett","given":"Tanya"},{"family":"Wilhite","given":"Stephen E"},{"family":"Ledoux","given":"Pierre"},{"family":"Evangelista","given":"Carlos"},{"family":"Kim","given":"Irene F"},{"family":"Tomashevsky","given":"Maxim"},{"family":"Marshall","given":"Kimberly A"},{"family":"Phillippy","given":"Katherine H"},{"family":"Sherman","given":"Patti M"},{"family":"Lee","given":"Hyeseung"},{"family":"Zhang","given":"Naigong"},{"family":"Serova","given":"Nadezhda"},{"family":"Wagner","given":"Lukas"},{"family":"Zalunin","given":"Vadim"},{"family":"Kochergin","given":"Andrey"},{"family":"Soboleva","given":"Alexandra"}],"accessed":{"date-parts":[["2026",8,11]]},"issued":{"date-parts":[["2023",11,2]]}}},{"id":245,"uris":["http://zotero.org/users/local/sechomLT/items/ELAR5M4W"],"itemData":{"id":245,"type":"article-journal","abstract":"The National Cancer Institute (NCI) Genomic Data Commons (GDC) contains more than 2.9 petabytes of genomic and associated clinical data from more than 60 NCI-funded and other contributed cancer genomics research projects. The GDC consists of five applications over a common data model and a common application programming interface.","container-title":"Nature Genetics","DOI":"10.1038/s41588-021-00791-5","ISSN":"1546-1718","issue":"3","journalAbbreviation":"Nat Genet","language":"en","license":"2021 Springer Nature America, Inc.","page":"257-262","publisher":"Nature Publishing Group","source":"www.nature.com","title":"The NCI Genomic Data Commons","URL":"https://www.nature.com/articles/s41588-021-00791-5","volume":"53","author":[{"family":"Heath","given":"Allison P."},{"family":"Ferretti","given":"Vincent"},{"family":"Agrawal","given":"Stuti"},{"family":"An","given":"Maksim"},{"family":"Angelakos","given":"James C."},{"family":"Arya","given":"Renuka"},{"family":"Bajari","given":"Rosita"},{"family":"Baqar","given":"Bilal"},{"family":"Barnowski","given":"Justin H. B."},{"family":"Burt","given":"Jeffrey"},{"family":"Catton","given":"Ann"},{"family":"Chan","given":"Brandon F."},{"family":"Chu","given":"Fay"},{"family":"Cullion","given":"Kim"},{"family":"Davidsen","given":"Tanja"},{"family":"Do","given":"Phuong-My"},{"family":"Dompierre","given":"Christian"},{"family":"Ferguson","given":"Martin L."},{"family":"Fitzsimons","given":"Michael S."},{"family":"Ford","given":"Michael"},{"family":"Fukuma","given":"Miyuki"},{"family":"Gaheen","given":"Sharon"},{"family":"Ganji","given":"Gajanan L."},{"family":"Garcia","given":"Tzintzuni I."},{"family":"George","given":"Sameera S."},{"family":"Gerhard","given":"Daniela S."},{"family":"Gerthoffert","given":"Francois"},{"family":"Gomez","given":"Fauzi"},{"family":"Han","given":"Kang"},{"family":"Hernandez","given":"Kyle M."},{"family":"Issac","given":"Biju"},{"family":"Jackson","given":"Richard"},{"family":"Jensen","given":"Mark A."},{"family":"Joshi","given":"Sid"},{"family":"Kadam","given":"Ajinkya"},{"family":"Khurana","given":"Aishmit"},{"family":"Kim","given":"Kyle M. J."},{"family":"Kraft","given":"Victoria E."},{"family":"Li","given":"Shenglai"},{"family":"Lichtenberg","given":"Tara M."},{"family":"Lodato","given":"Janice"},{"family":"Lolla","given":"Laxmi"},{"family":"Martinov","given":"Plamen"},{"family":"Mazzone","given":"Jeffrey A."},{"family":"Miller","given":"Daniel P."},{"family":"Miller","given":"Ian"},{"family":"Miller","given":"Joshua S."},{"family":"Miyauchi","given":"Koji"},{"family":"Murphy","given":"Mark W."},{"family":"Nullet","given":"Thomas"},{"family":"Ogwara","given":"Rowland O."},{"family":"Ortuño","given":"Francisco M."},{"family":"Pedrosa","given":"Jesús"},{"family":"Pham","given":"Phuong L."},{"family":"Popov","given":"Maxim Y."},{"family":"Porter","given":"James J."},{"family":"Powell","given":"Raymond"},{"family":"Rademacher","given":"Karl"},{"family":"Reid","given":"Colin P."},{"family":"Rich","given":"Samantha"},{"family":"Rogel","given":"Bessie"},{"family":"Sahni","given":"Himanso"},{"family":"Savage","given":"Jeremiah H."},{"family":"Schmitt","given":"Kyle A."},{"family":"Simmons","given":"Trevar J."},{"family":"Sislow","given":"Joseph"},{"family":"Spring","given":"Jonathan"},{"family":"Stein","given":"Lincoln"},{"family":"Sullivan","given":"Sean"},{"family":"Tang","given":"Yajing"},{"family":"Thiagarajan","given":"Mathangi"},{"family":"Troyer","given":"Heather D."},{"family":"Wang","given":"Chang"},{"family":"Wang","given":"Zhining"},{"family":"West","given":"Bedford L."},{"family":"Wilmer","given":"Alex"},{"family":"Wilson","given":"Shane"},{"family":"Wu","given":"Kaman"},{"family":"Wysocki","given":"William P."},{"family":"Xiang","given":"Linda"},{"family":"Yamada","given":"Joseph T."},{"family":"Yang","given":"Liming"},{"family":"Yu","given":"Christine"},{"family":"Yung","given":"Christina K."},{"family":"Zenklusen","given":"Jean Claude"},{"family":"Zhang","given":"Junjun"},{"family":"Zhang","given":"Zhenyu"},{"family":"Zhao","given":"Yuanheng"},{"family":"Zubair","given":"Ariz"},{"family":"Staudt","given":"Louis M."},{"family":"Grossman","given":"Robert L."}],"accessed":{"date-parts":[["2026",8,11]]},"issued":{"date-parts":[["2021",3]]}}}],"schema":"https://github.com/citation-style-language/schema/raw/master/csl-citation.json"} </w:instrText>
      </w:r>
      <w:r w:rsidR="008C3271">
        <w:fldChar w:fldCharType="separate"/>
      </w:r>
      <w:r w:rsidR="008C3271" w:rsidRPr="008C3271">
        <w:rPr>
          <w:rFonts w:ascii="Calibri" w:hAnsi="Calibri" w:cs="Calibri"/>
        </w:rPr>
        <w:t>(18,19)</w:t>
      </w:r>
      <w:r w:rsidR="008C3271">
        <w:fldChar w:fldCharType="end"/>
      </w:r>
      <w:r w:rsidRPr="00EB4C60">
        <w:t>.</w:t>
      </w:r>
    </w:p>
    <w:p w14:paraId="788DC8BE" w14:textId="46EC204D" w:rsidR="00763EFA" w:rsidRDefault="000952B8" w:rsidP="00BE20F0">
      <w:r w:rsidRPr="000952B8">
        <w:t>A pesar de las ventajas que ofrece la reutilización de datos públicos, la combinación de muestras procedentes de diferentes estudios introduce una variabilidad no biológica considerable</w:t>
      </w:r>
      <w:r w:rsidR="0053259F">
        <w:fldChar w:fldCharType="begin"/>
      </w:r>
      <w:r w:rsidR="0053259F">
        <w:instrText xml:space="preserve"> ADDIN ZOTERO_ITEM CSL_CITATION {"citationID":"ld0tghwa","properties":{"unsorted":false,"formattedCitation":"(9,17)","plainCitation":"(9,17)","noteIndex":0},"citationItems":[{"id":219,"uris":["http://zotero.org/users/local/sechomLT/items/Q3YBI9XD"],"itemData":{"id":219,"type":"article-journal","abstract":"Colorectal cancer (CRC) is a frequently lethal disease with heterogeneous outcomes and drug responses. To resolve inconsistencies among the reported gene expression–based CRC classifications and facilitate clinical translation, we formed an international consortium dedicated to large-scale data sharing and analytics across expert groups. We show marked interconnectivity between six independent classification systems coalescing into four consensus molecular subtypes (CMS) with distinguishing features: CMS1 (MSI Immune, 14%), hypermutated, microsatellite unstable, strong immune activation; CMS2 (Canonical, 37%), epithelial, chromosomally unstable, marked WNT and MYC signaling activation; CMS3 (Metabolic, 13%), epithelial, evident metabolic dysregulation; and CMS4 (Mesenchymal, 23%), prominent transforming growth factor β activation, stromal invasion, and angiogenesis. Samples with mixed features (13%) possibly represent a transition phenotype or intra-tumoral heterogeneity. We consider the CMS groups the most robust classification system currently available for CRC – with clear biological interpretability – and the basis for future clinical stratification and subtype–based targeted interventions.","container-title":"Nature medicine","DOI":"10.1038/nm.3967","ISSN":"1078-8956","issue":"11","journalAbbreviation":"Nat Med","page":"1350-1356","PMID":"26457759","PMCID":"PMC4636487","source":"PubMed Central","title":"The Consensus Molecular Subtypes of Colorectal Cancer","URL":"https://pmc.ncbi.nlm.nih.gov/articles/PMC4636487/","volume":"21","author":[{"family":"Guinney","given":"Justin"},{"family":"Dienstmann","given":"Rodrigo"},{"family":"Wang","given":"Xin"},{"family":"Reyniès","given":"Aurélien","non-dropping-particle":"de"},{"family":"Schlicker","given":"Andreas"},{"family":"Soneson","given":"Charlotte"},{"family":"Marisa","given":"Laetitia"},{"family":"Roepman","given":"Paul"},{"family":"Nyamundanda","given":"Gift"},{"family":"Angelino","given":"Paolo"},{"family":"Bot","given":"Brian M."},{"family":"Morris","given":"Jeffrey S."},{"family":"Simon","given":"Iris M."},{"family":"Gerster","given":"Sarah"},{"family":"Fessler","given":"Evelyn"},{"family":"Sousa e Melo","given":"Felipe","non-dropping-particle":"de"},{"family":"Missiaglia","given":"Edoardo"},{"family":"Ramay","given":"Hena"},{"family":"Barras","given":"David"},{"family":"Homicsko","given":"Krisztian"},{"family":"Maru","given":"Dipen"},{"family":"Manyam","given":"Ganiraju C."},{"family":"Broom","given":"Bradley"},{"family":"Boige","given":"Valerie"},{"family":"Perez-Villamil","given":"Beatriz"},{"family":"Laderas","given":"Ted"},{"family":"Salazar","given":"Ramon"},{"family":"Gray","given":"Joe W."},{"family":"Hanahan","given":"Douglas"},{"family":"Tabernero","given":"Josep"},{"family":"Bernards","given":"Rene"},{"family":"Friend","given":"Stephen H."},{"family":"Laurent-Puig","given":"Pierre"},{"family":"Medema","given":"Jan Paul"},{"family":"Sadanandam","given":"Anguraj"},{"family":"Wessels","given":"Lodewyk"},{"family":"Delorenzi","given":"Mauro"},{"family":"Kopetz","given":"Scott"},{"family":"Vermeulen","given":"Louis"},{"family":"Tejpar","given":"Sabine"}],"accessed":{"date-parts":[["2026",7,26]]},"issued":{"date-parts":[["2015",11]]}}},{"id":241,"uris":["http://zotero.org/users/local/sechomLT/items/4I38JXMT"],"itemData":{"id":241,"type":"article-journal","abstract":"RNA-sequencing (RNA-seq) has a wide variety of applications, but no single analysis pipeline can be used in all cases. We review all of the major steps in RNA-seq data analysis, including experimental design, quality control, read alignment, quantification of gene and transcript levels, visualization, differential gene expression, alternative splicing, functional analysis, gene fusion detection and eQTL mapping. We highlight the challenges associated with each step. We discuss the analysis of small RNAs and the integration of RNA-seq with other functional genomics techniques. Finally, we discuss the outlook for novel technologies that are changing the state of the art in transcriptomics.","container-title":"Genome Biology","DOI":"10.1186/s13059-016-0881-8","ISSN":"1474-760X","issue":"1","journalAbbreviation":"Genome Biol","language":"en","page":"13","source":"Springer Link","title":"A survey of best practices for RNA-seq data analysis","URL":"https://doi.org/10.1186/s13059-016-0881-8","volume":"17","author":[{"family":"Conesa","given":"Ana"},{"family":"Madrigal","given":"Pedro"},{"family":"Tarazona","given":"Sonia"},{"family":"Gomez-Cabrero","given":"David"},{"family":"Cervera","given":"Alejandra"},{"family":"McPherson","given":"Andrew"},{"family":"Szcześniak","given":"Michał Wojciech"},{"family":"Gaffney","given":"Daniel J."},{"family":"Elo","given":"Laura L."},{"family":"Zhang","given":"Xuegong"},{"family":"Mortazavi","given":"Ali"}],"accessed":{"date-parts":[["2026",8,9]]},"issued":{"date-parts":[["2016",1,26]]}}}],"schema":"https://github.com/citation-style-language/schema/raw/master/csl-citation.json"} </w:instrText>
      </w:r>
      <w:r w:rsidR="0053259F">
        <w:fldChar w:fldCharType="separate"/>
      </w:r>
      <w:r w:rsidR="0053259F" w:rsidRPr="0053259F">
        <w:rPr>
          <w:rFonts w:ascii="Calibri" w:hAnsi="Calibri" w:cs="Calibri"/>
        </w:rPr>
        <w:t>(9,17)</w:t>
      </w:r>
      <w:r w:rsidR="0053259F">
        <w:fldChar w:fldCharType="end"/>
      </w:r>
      <w:r w:rsidRPr="000952B8">
        <w:t>. Este ruido técnico, denominado efecto lote (</w:t>
      </w:r>
      <w:proofErr w:type="spellStart"/>
      <w:r w:rsidRPr="00921643">
        <w:rPr>
          <w:i/>
          <w:iCs/>
        </w:rPr>
        <w:t>batch</w:t>
      </w:r>
      <w:proofErr w:type="spellEnd"/>
      <w:r w:rsidRPr="00921643">
        <w:rPr>
          <w:i/>
          <w:iCs/>
        </w:rPr>
        <w:t xml:space="preserve"> </w:t>
      </w:r>
      <w:proofErr w:type="spellStart"/>
      <w:r w:rsidRPr="00921643">
        <w:rPr>
          <w:i/>
          <w:iCs/>
        </w:rPr>
        <w:t>effect</w:t>
      </w:r>
      <w:proofErr w:type="spellEnd"/>
      <w:r w:rsidRPr="000952B8">
        <w:t>), surge por diferencias en los protocolos de laboratorio, la fecha de procesamiento, los reactivos utilizados, el personal técnico o las plataformas de secuenciación empleadas en cada cohorte</w:t>
      </w:r>
      <w:r w:rsidR="0053259F">
        <w:fldChar w:fldCharType="begin"/>
      </w:r>
      <w:r w:rsidR="0053259F">
        <w:instrText xml:space="preserve"> ADDIN ZOTERO_ITEM CSL_CITATION {"citationID":"jz5aWweH","properties":{"unsorted":false,"formattedCitation":"(9,17,19)","plainCitation":"(9,17,19)","noteIndex":0},"citationItems":[{"id":219,"uris":["http://zotero.org/users/local/sechomLT/items/Q3YBI9XD"],"itemData":{"id":219,"type":"article-journal","abstract":"Colorectal cancer (CRC) is a frequently lethal disease with heterogeneous outcomes and drug responses. To resolve inconsistencies among the reported gene expression–based CRC classifications and facilitate clinical translation, we formed an international consortium dedicated to large-scale data sharing and analytics across expert groups. We show marked interconnectivity between six independent classification systems coalescing into four consensus molecular subtypes (CMS) with distinguishing features: CMS1 (MSI Immune, 14%), hypermutated, microsatellite unstable, strong immune activation; CMS2 (Canonical, 37%), epithelial, chromosomally unstable, marked WNT and MYC signaling activation; CMS3 (Metabolic, 13%), epithelial, evident metabolic dysregulation; and CMS4 (Mesenchymal, 23%), prominent transforming growth factor β activation, stromal invasion, and angiogenesis. Samples with mixed features (13%) possibly represent a transition phenotype or intra-tumoral heterogeneity. We consider the CMS groups the most robust classification system currently available for CRC – with clear biological interpretability – and the basis for future clinical stratification and subtype–based targeted interventions.","container-title":"Nature medicine","DOI":"10.1038/nm.3967","ISSN":"1078-8956","issue":"11","journalAbbreviation":"Nat Med","page":"1350-1356","PMID":"26457759","PMCID":"PMC4636487","source":"PubMed Central","title":"The Consensus Molecular Subtypes of Colorectal Cancer","URL":"https://pmc.ncbi.nlm.nih.gov/articles/PMC4636487/","volume":"21","author":[{"family":"Guinney","given":"Justin"},{"family":"Dienstmann","given":"Rodrigo"},{"family":"Wang","given":"Xin"},{"family":"Reyniès","given":"Aurélien","non-dropping-particle":"de"},{"family":"Schlicker","given":"Andreas"},{"family":"Soneson","given":"Charlotte"},{"family":"Marisa","given":"Laetitia"},{"family":"Roepman","given":"Paul"},{"family":"Nyamundanda","given":"Gift"},{"family":"Angelino","given":"Paolo"},{"family":"Bot","given":"Brian M."},{"family":"Morris","given":"Jeffrey S."},{"family":"Simon","given":"Iris M."},{"family":"Gerster","given":"Sarah"},{"family":"Fessler","given":"Evelyn"},{"family":"Sousa e Melo","given":"Felipe","non-dropping-particle":"de"},{"family":"Missiaglia","given":"Edoardo"},{"family":"Ramay","given":"Hena"},{"family":"Barras","given":"David"},{"family":"Homicsko","given":"Krisztian"},{"family":"Maru","given":"Dipen"},{"family":"Manyam","given":"Ganiraju C."},{"family":"Broom","given":"Bradley"},{"family":"Boige","given":"Valerie"},{"family":"Perez-Villamil","given":"Beatriz"},{"family":"Laderas","given":"Ted"},{"family":"Salazar","given":"Ramon"},{"family":"Gray","given":"Joe W."},{"family":"Hanahan","given":"Douglas"},{"family":"Tabernero","given":"Josep"},{"family":"Bernards","given":"Rene"},{"family":"Friend","given":"Stephen H."},{"family":"Laurent-Puig","given":"Pierre"},{"family":"Medema","given":"Jan Paul"},{"family":"Sadanandam","given":"Anguraj"},{"family":"Wessels","given":"Lodewyk"},{"family":"Delorenzi","given":"Mauro"},{"family":"Kopetz","given":"Scott"},{"family":"Vermeulen","given":"Louis"},{"family":"Tejpar","given":"Sabine"}],"accessed":{"date-parts":[["2026",7,26]]},"issued":{"date-parts":[["2015",11]]}}},{"id":241,"uris":["http://zotero.org/users/local/sechomLT/items/4I38JXMT"],"itemData":{"id":241,"type":"article-journal","abstract":"RNA-sequencing (RNA-seq) has a wide variety of applications, but no single analysis pipeline can be used in all cases. We review all of the major steps in RNA-seq data analysis, including experimental design, quality control, read alignment, quantification of gene and transcript levels, visualization, differential gene expression, alternative splicing, functional analysis, gene fusion detection and eQTL mapping. We highlight the challenges associated with each step. We discuss the analysis of small RNAs and the integration of RNA-seq with other functional genomics techniques. Finally, we discuss the outlook for novel technologies that are changing the state of the art in transcriptomics.","container-title":"Genome Biology","DOI":"10.1186/s13059-016-0881-8","ISSN":"1474-760X","issue":"1","journalAbbreviation":"Genome Biol","language":"en","page":"13","source":"Springer Link","title":"A survey of best practices for RNA-seq data analysis","URL":"https://doi.org/10.1186/s13059-016-0881-8","volume":"17","author":[{"family":"Conesa","given":"Ana"},{"family":"Madrigal","given":"Pedro"},{"family":"Tarazona","given":"Sonia"},{"family":"Gomez-Cabrero","given":"David"},{"family":"Cervera","given":"Alejandra"},{"family":"McPherson","given":"Andrew"},{"family":"Szcześniak","given":"Michał Wojciech"},{"family":"Gaffney","given":"Daniel J."},{"family":"Elo","given":"Laura L."},{"family":"Zhang","given":"Xuegong"},{"family":"Mortazavi","given":"Ali"}],"accessed":{"date-parts":[["2026",8,9]]},"issued":{"date-parts":[["2016",1,26]]}}},{"id":245,"uris":["http://zotero.org/users/local/sechomLT/items/ELAR5M4W"],"itemData":{"id":245,"type":"article-journal","abstract":"The National Cancer Institute (NCI) Genomic Data Commons (GDC) contains more than 2.9 petabytes of genomic and associated clinical data from more than 60 NCI-funded and other contributed cancer genomics research projects. The GDC consists of five applications over a common data model and a common application programming interface.","container-title":"Nature Genetics","DOI":"10.1038/s41588-021-00791-5","ISSN":"1546-1718","issue":"3","journalAbbreviation":"Nat Genet","language":"en","license":"2021 Springer Nature America, Inc.","page":"257-262","publisher":"Nature Publishing Group","source":"www.nature.com","title":"The NCI Genomic Data Commons","URL":"https://www.nature.com/articles/s41588-021-00791-5","volume":"53","author":[{"family":"Heath","given":"Allison P."},{"family":"Ferretti","given":"Vincent"},{"family":"Agrawal","given":"Stuti"},{"family":"An","given":"Maksim"},{"family":"Angelakos","given":"James C."},{"family":"Arya","given":"Renuka"},{"family":"Bajari","given":"Rosita"},{"family":"Baqar","given":"Bilal"},{"family":"Barnowski","given":"Justin H. B."},{"family":"Burt","given":"Jeffrey"},{"family":"Catton","given":"Ann"},{"family":"Chan","given":"Brandon F."},{"family":"Chu","given":"Fay"},{"family":"Cullion","given":"Kim"},{"family":"Davidsen","given":"Tanja"},{"family":"Do","given":"Phuong-My"},{"family":"Dompierre","given":"Christian"},{"family":"Ferguson","given":"Martin L."},{"family":"Fitzsimons","given":"Michael S."},{"family":"Ford","given":"Michael"},{"family":"Fukuma","given":"Miyuki"},{"family":"Gaheen","given":"Sharon"},{"family":"Ganji","given":"Gajanan L."},{"family":"Garcia","given":"Tzintzuni I."},{"family":"George","given":"Sameera S."},{"family":"Gerhard","given":"Daniela S."},{"family":"Gerthoffert","given":"Francois"},{"family":"Gomez","given":"Fauzi"},{"family":"Han","given":"Kang"},{"family":"Hernandez","given":"Kyle M."},{"family":"Issac","given":"Biju"},{"family":"Jackson","given":"Richard"},{"family":"Jensen","given":"Mark A."},{"family":"Joshi","given":"Sid"},{"family":"Kadam","given":"Ajinkya"},{"family":"Khurana","given":"Aishmit"},{"family":"Kim","given":"Kyle M. J."},{"family":"Kraft","given":"Victoria E."},{"family":"Li","given":"Shenglai"},{"family":"Lichtenberg","given":"Tara M."},{"family":"Lodato","given":"Janice"},{"family":"Lolla","given":"Laxmi"},{"family":"Martinov","given":"Plamen"},{"family":"Mazzone","given":"Jeffrey A."},{"family":"Miller","given":"Daniel P."},{"family":"Miller","given":"Ian"},{"family":"Miller","given":"Joshua S."},{"family":"Miyauchi","given":"Koji"},{"family":"Murphy","given":"Mark W."},{"family":"Nullet","given":"Thomas"},{"family":"Ogwara","given":"Rowland O."},{"family":"Ortuño","given":"Francisco M."},{"family":"Pedrosa","given":"Jesús"},{"family":"Pham","given":"Phuong L."},{"family":"Popov","given":"Maxim Y."},{"family":"Porter","given":"James J."},{"family":"Powell","given":"Raymond"},{"family":"Rademacher","given":"Karl"},{"family":"Reid","given":"Colin P."},{"family":"Rich","given":"Samantha"},{"family":"Rogel","given":"Bessie"},{"family":"Sahni","given":"Himanso"},{"family":"Savage","given":"Jeremiah H."},{"family":"Schmitt","given":"Kyle A."},{"family":"Simmons","given":"Trevar J."},{"family":"Sislow","given":"Joseph"},{"family":"Spring","given":"Jonathan"},{"family":"Stein","given":"Lincoln"},{"family":"Sullivan","given":"Sean"},{"family":"Tang","given":"Yajing"},{"family":"Thiagarajan","given":"Mathangi"},{"family":"Troyer","given":"Heather D."},{"family":"Wang","given":"Chang"},{"family":"Wang","given":"Zhining"},{"family":"West","given":"Bedford L."},{"family":"Wilmer","given":"Alex"},{"family":"Wilson","given":"Shane"},{"family":"Wu","given":"Kaman"},{"family":"Wysocki","given":"William P."},{"family":"Xiang","given":"Linda"},{"family":"Yamada","given":"Joseph T."},{"family":"Yang","given":"Liming"},{"family":"Yu","given":"Christine"},{"family":"Yung","given":"Christina K."},{"family":"Zenklusen","given":"Jean Claude"},{"family":"Zhang","given":"Junjun"},{"family":"Zhang","given":"Zhenyu"},{"family":"Zhao","given":"Yuanheng"},{"family":"Zubair","given":"Ariz"},{"family":"Staudt","given":"Louis M."},{"family":"Grossman","given":"Robert L."}],"accessed":{"date-parts":[["2026",8,11]]},"issued":{"date-parts":[["2021",3]]}}}],"schema":"https://github.com/citation-style-language/schema/raw/master/csl-citation.json"} </w:instrText>
      </w:r>
      <w:r w:rsidR="0053259F">
        <w:fldChar w:fldCharType="separate"/>
      </w:r>
      <w:r w:rsidR="0053259F" w:rsidRPr="0053259F">
        <w:rPr>
          <w:rFonts w:ascii="Calibri" w:hAnsi="Calibri" w:cs="Calibri"/>
        </w:rPr>
        <w:t>(9,17,19)</w:t>
      </w:r>
      <w:r w:rsidR="0053259F">
        <w:fldChar w:fldCharType="end"/>
      </w:r>
      <w:r w:rsidRPr="000952B8">
        <w:t xml:space="preserve">. </w:t>
      </w:r>
      <w:r w:rsidR="00C072DD" w:rsidRPr="00C072DD">
        <w:t xml:space="preserve">En los estudios de </w:t>
      </w:r>
      <w:proofErr w:type="spellStart"/>
      <w:r w:rsidR="00C072DD" w:rsidRPr="00C072DD">
        <w:rPr>
          <w:i/>
          <w:iCs/>
        </w:rPr>
        <w:t>bulk</w:t>
      </w:r>
      <w:proofErr w:type="spellEnd"/>
      <w:r w:rsidR="00C072DD" w:rsidRPr="00C072DD">
        <w:rPr>
          <w:i/>
          <w:iCs/>
        </w:rPr>
        <w:t xml:space="preserve"> RNA-</w:t>
      </w:r>
      <w:proofErr w:type="spellStart"/>
      <w:r w:rsidR="00C072DD" w:rsidRPr="00C072DD">
        <w:rPr>
          <w:i/>
          <w:iCs/>
        </w:rPr>
        <w:t>seq</w:t>
      </w:r>
      <w:proofErr w:type="spellEnd"/>
      <w:r w:rsidR="00C072DD" w:rsidRPr="00C072DD">
        <w:t>, este sesgo puede alterar las estimaciones de varianza, enmascarar la verdadera señal biológica e inducir la detección de falsos positivos en los análisis de expresión</w:t>
      </w:r>
      <w:r w:rsidR="0053259F">
        <w:fldChar w:fldCharType="begin"/>
      </w:r>
      <w:r w:rsidR="0053259F">
        <w:instrText xml:space="preserve"> ADDIN ZOTERO_ITEM CSL_CITATION {"citationID":"fyDXPGrL","properties":{"unsorted":false,"formattedCitation":"(17)","plainCitation":"(17)","noteIndex":0},"citationItems":[{"id":241,"uris":["http://zotero.org/users/local/sechomLT/items/4I38JXMT"],"itemData":{"id":241,"type":"article-journal","abstract":"RNA-sequencing (RNA-seq) has a wide variety of applications, but no single analysis pipeline can be used in all cases. We review all of the major steps in RNA-seq data analysis, including experimental design, quality control, read alignment, quantification of gene and transcript levels, visualization, differential gene expression, alternative splicing, functional analysis, gene fusion detection and eQTL mapping. We highlight the challenges associated with each step. We discuss the analysis of small RNAs and the integration of RNA-seq with other functional genomics techniques. Finally, we discuss the outlook for novel technologies that are changing the state of the art in transcriptomics.","container-title":"Genome Biology","DOI":"10.1186/s13059-016-0881-8","ISSN":"1474-760X","issue":"1","journalAbbreviation":"Genome Biol","language":"en","page":"13","source":"Springer Link","title":"A survey of best practices for RNA-seq data analysis","URL":"https://doi.org/10.1186/s13059-016-0881-8","volume":"17","author":[{"family":"Conesa","given":"Ana"},{"family":"Madrigal","given":"Pedro"},{"family":"Tarazona","given":"Sonia"},{"family":"Gomez-Cabrero","given":"David"},{"family":"Cervera","given":"Alejandra"},{"family":"McPherson","given":"Andrew"},{"family":"Szcześniak","given":"Michał Wojciech"},{"family":"Gaffney","given":"Daniel J."},{"family":"Elo","given":"Laura L."},{"family":"Zhang","given":"Xuegong"},{"family":"Mortazavi","given":"Ali"}],"accessed":{"date-parts":[["2026",8,9]]},"issued":{"date-parts":[["2016",1,26]]}}}],"schema":"https://github.com/citation-style-language/schema/raw/master/csl-citation.json"} </w:instrText>
      </w:r>
      <w:r w:rsidR="0053259F">
        <w:fldChar w:fldCharType="separate"/>
      </w:r>
      <w:r w:rsidR="0053259F" w:rsidRPr="0053259F">
        <w:rPr>
          <w:rFonts w:ascii="Calibri" w:hAnsi="Calibri" w:cs="Calibri"/>
        </w:rPr>
        <w:t>(17)</w:t>
      </w:r>
      <w:r w:rsidR="0053259F">
        <w:fldChar w:fldCharType="end"/>
      </w:r>
      <w:r w:rsidR="00C072DD" w:rsidRPr="00C072DD">
        <w:t>. Por este motivo, comprender y gestionar de forma rigurosa la heterogeneidad entre cohortes constituye un requisito indispensable previo a la extracción de conclusiones traslacionales fiables.</w:t>
      </w:r>
    </w:p>
    <w:p w14:paraId="7C600CDD" w14:textId="770273A2" w:rsidR="00D167AC" w:rsidRPr="00D167AC" w:rsidRDefault="00BE20F0" w:rsidP="00D167AC">
      <w:r w:rsidRPr="00BE20F0">
        <w:lastRenderedPageBreak/>
        <w:t>Para abordar el impacto del efecto lote y la heterogeneidad entre estudios, la literatura científica plantea principalmente dos estrategias de integración: la fusión directa de matrices y el modelado independiente de cada cohorte</w:t>
      </w:r>
      <w:r w:rsidR="00617ED8">
        <w:fldChar w:fldCharType="begin"/>
      </w:r>
      <w:r w:rsidR="00617ED8">
        <w:instrText xml:space="preserve"> ADDIN ZOTERO_ITEM CSL_CITATION {"citationID":"IyGgeYN0","properties":{"unsorted":false,"formattedCitation":"(20)","plainCitation":"(20)","noteIndex":0},"citationItems":[{"id":252,"uris":["http://zotero.org/users/local/sechomLT/items/Q6U3ICGJ"],"itemData":{"id":252,"type":"article-journal","abstract":"Background\nHigh-throughput sequencing is now regularly used for studies of the transcriptome (RNA-seq), particularly for comparisons among experimental conditions. For the time being, a limited number of biological replicates are typically considered in such experiments, leading to low detection power for differential expression. As their cost continues to decrease, it is likely that additional follow-up studies will be conducted to re-address the same biological question.\n\nResults\nWe demonstrate how p-value combination techniques previously used for microarray meta-analyses can be used for the differential analysis of RNA-seq data from multiple related studies. These techniques are compared to a negative binomial generalized linear model (GLM) including a fixed study effect on simulated data and real data on human melanoma cell lines. The GLM with fixed study effect performed well for low inter-study variation and small numbers of studies, but was outperformed by the meta-analysis methods for moderate to large inter-study variability and larger numbers of studies.\n\nConclusions\nThe p-value combination techniques illustrated here are a valuable tool to perform differential meta-analyses of RNA-seq data by appropriately accounting for biological and technical variability within studies as well as additional study-specific effects. An R package metaRNASeq is available on the CRAN (http://cran.r-project.org/web/packages/metaRNASeq).","container-title":"BMC Bioinformatics","DOI":"10.1186/1471-2105-15-91","ISSN":"1471-2105","journalAbbreviation":"BMC Bioinformatics","page":"91","PMID":"24678608","PMCID":"PMC4021464","source":"PubMed Central","title":"Differential meta-analysis of RNA-seq data from multiple studies","URL":"https://pmc.ncbi.nlm.nih.gov/articles/PMC4021464/","volume":"15","author":[{"family":"Rau","given":"Andrea"},{"family":"Marot","given":"Guillemette"},{"family":"Jaffrézic","given":"Florence"}],"accessed":{"date-parts":[["2026",8,16]]},"issued":{"date-parts":[["2014",3,29]]}}}],"schema":"https://github.com/citation-style-language/schema/raw/master/csl-citation.json"} </w:instrText>
      </w:r>
      <w:r w:rsidR="00617ED8">
        <w:fldChar w:fldCharType="separate"/>
      </w:r>
      <w:r w:rsidR="00617ED8" w:rsidRPr="00617ED8">
        <w:rPr>
          <w:rFonts w:ascii="Calibri" w:hAnsi="Calibri" w:cs="Calibri"/>
        </w:rPr>
        <w:t>(20)</w:t>
      </w:r>
      <w:r w:rsidR="00617ED8">
        <w:fldChar w:fldCharType="end"/>
      </w:r>
      <w:r w:rsidRPr="00BE20F0">
        <w:t>. Por un lado, la fusión directa combina los recuentos brutos de las diferentes cohortes en una única matriz global para ejecutar modelos lineales generalizados que incorporan el estudio de origen como covariable</w:t>
      </w:r>
      <w:r w:rsidR="00E43661">
        <w:fldChar w:fldCharType="begin"/>
      </w:r>
      <w:r w:rsidR="00E43661">
        <w:instrText xml:space="preserve"> ADDIN ZOTERO_ITEM CSL_CITATION {"citationID":"OPWaAxsr","properties":{"unsorted":false,"formattedCitation":"(9,20)","plainCitation":"(9,20)","noteIndex":0},"citationItems":[{"id":219,"uris":["http://zotero.org/users/local/sechomLT/items/Q3YBI9XD"],"itemData":{"id":219,"type":"article-journal","abstract":"Colorectal cancer (CRC) is a frequently lethal disease with heterogeneous outcomes and drug responses. To resolve inconsistencies among the reported gene expression–based CRC classifications and facilitate clinical translation, we formed an international consortium dedicated to large-scale data sharing and analytics across expert groups. We show marked interconnectivity between six independent classification systems coalescing into four consensus molecular subtypes (CMS) with distinguishing features: CMS1 (MSI Immune, 14%), hypermutated, microsatellite unstable, strong immune activation; CMS2 (Canonical, 37%), epithelial, chromosomally unstable, marked WNT and MYC signaling activation; CMS3 (Metabolic, 13%), epithelial, evident metabolic dysregulation; and CMS4 (Mesenchymal, 23%), prominent transforming growth factor β activation, stromal invasion, and angiogenesis. Samples with mixed features (13%) possibly represent a transition phenotype or intra-tumoral heterogeneity. We consider the CMS groups the most robust classification system currently available for CRC – with clear biological interpretability – and the basis for future clinical stratification and subtype–based targeted interventions.","container-title":"Nature medicine","DOI":"10.1038/nm.3967","ISSN":"1078-8956","issue":"11","journalAbbreviation":"Nat Med","page":"1350-1356","PMID":"26457759","PMCID":"PMC4636487","source":"PubMed Central","title":"The Consensus Molecular Subtypes of Colorectal Cancer","URL":"https://pmc.ncbi.nlm.nih.gov/articles/PMC4636487/","volume":"21","author":[{"family":"Guinney","given":"Justin"},{"family":"Dienstmann","given":"Rodrigo"},{"family":"Wang","given":"Xin"},{"family":"Reyniès","given":"Aurélien","non-dropping-particle":"de"},{"family":"Schlicker","given":"Andreas"},{"family":"Soneson","given":"Charlotte"},{"family":"Marisa","given":"Laetitia"},{"family":"Roepman","given":"Paul"},{"family":"Nyamundanda","given":"Gift"},{"family":"Angelino","given":"Paolo"},{"family":"Bot","given":"Brian M."},{"family":"Morris","given":"Jeffrey S."},{"family":"Simon","given":"Iris M."},{"family":"Gerster","given":"Sarah"},{"family":"Fessler","given":"Evelyn"},{"family":"Sousa e Melo","given":"Felipe","non-dropping-particle":"de"},{"family":"Missiaglia","given":"Edoardo"},{"family":"Ramay","given":"Hena"},{"family":"Barras","given":"David"},{"family":"Homicsko","given":"Krisztian"},{"family":"Maru","given":"Dipen"},{"family":"Manyam","given":"Ganiraju C."},{"family":"Broom","given":"Bradley"},{"family":"Boige","given":"Valerie"},{"family":"Perez-Villamil","given":"Beatriz"},{"family":"Laderas","given":"Ted"},{"family":"Salazar","given":"Ramon"},{"family":"Gray","given":"Joe W."},{"family":"Hanahan","given":"Douglas"},{"family":"Tabernero","given":"Josep"},{"family":"Bernards","given":"Rene"},{"family":"Friend","given":"Stephen H."},{"family":"Laurent-Puig","given":"Pierre"},{"family":"Medema","given":"Jan Paul"},{"family":"Sadanandam","given":"Anguraj"},{"family":"Wessels","given":"Lodewyk"},{"family":"Delorenzi","given":"Mauro"},{"family":"Kopetz","given":"Scott"},{"family":"Vermeulen","given":"Louis"},{"family":"Tejpar","given":"Sabine"}],"accessed":{"date-parts":[["2026",7,26]]},"issued":{"date-parts":[["2015",11]]}}},{"id":252,"uris":["http://zotero.org/users/local/sechomLT/items/Q6U3ICGJ"],"itemData":{"id":252,"type":"article-journal","abstract":"Background\nHigh-throughput sequencing is now regularly used for studies of the transcriptome (RNA-seq), particularly for comparisons among experimental conditions. For the time being, a limited number of biological replicates are typically considered in such experiments, leading to low detection power for differential expression. As their cost continues to decrease, it is likely that additional follow-up studies will be conducted to re-address the same biological question.\n\nResults\nWe demonstrate how p-value combination techniques previously used for microarray meta-analyses can be used for the differential analysis of RNA-seq data from multiple related studies. These techniques are compared to a negative binomial generalized linear model (GLM) including a fixed study effect on simulated data and real data on human melanoma cell lines. The GLM with fixed study effect performed well for low inter-study variation and small numbers of studies, but was outperformed by the meta-analysis methods for moderate to large inter-study variability and larger numbers of studies.\n\nConclusions\nThe p-value combination techniques illustrated here are a valuable tool to perform differential meta-analyses of RNA-seq data by appropriately accounting for biological and technical variability within studies as well as additional study-specific effects. An R package metaRNASeq is available on the CRAN (http://cran.r-project.org/web/packages/metaRNASeq).","container-title":"BMC Bioinformatics","DOI":"10.1186/1471-2105-15-91","ISSN":"1471-2105","journalAbbreviation":"BMC Bioinformatics","page":"91","PMID":"24678608","PMCID":"PMC4021464","source":"PubMed Central","title":"Differential meta-analysis of RNA-seq data from multiple studies","URL":"https://pmc.ncbi.nlm.nih.gov/articles/PMC4021464/","volume":"15","author":[{"family":"Rau","given":"Andrea"},{"family":"Marot","given":"Guillemette"},{"family":"Jaffrézic","given":"Florence"}],"accessed":{"date-parts":[["2026",8,16]]},"issued":{"date-parts":[["2014",3,29]]}}}],"schema":"https://github.com/citation-style-language/schema/raw/master/csl-citation.json"} </w:instrText>
      </w:r>
      <w:r w:rsidR="00E43661">
        <w:fldChar w:fldCharType="separate"/>
      </w:r>
      <w:r w:rsidR="00E43661" w:rsidRPr="00E43661">
        <w:rPr>
          <w:rFonts w:ascii="Calibri" w:hAnsi="Calibri" w:cs="Calibri"/>
        </w:rPr>
        <w:t>(9,20)</w:t>
      </w:r>
      <w:r w:rsidR="00E43661">
        <w:fldChar w:fldCharType="end"/>
      </w:r>
      <w:r w:rsidRPr="00BE20F0">
        <w:t xml:space="preserve">. </w:t>
      </w:r>
      <w:r w:rsidR="003E034B">
        <w:t>U</w:t>
      </w:r>
      <w:r w:rsidR="003E034B" w:rsidRPr="003E034B">
        <w:t xml:space="preserve">n ejemplo representativo de esta aproximación es el desarrollado por el </w:t>
      </w:r>
      <w:r w:rsidR="003E034B" w:rsidRPr="003E034B">
        <w:rPr>
          <w:i/>
          <w:iCs/>
        </w:rPr>
        <w:t>Consorcio de los Subtipos Moleculares de Consenso del Cáncer Colorrectal</w:t>
      </w:r>
      <w:r w:rsidR="003E034B">
        <w:rPr>
          <w:b/>
          <w:bCs/>
        </w:rPr>
        <w:fldChar w:fldCharType="begin"/>
      </w:r>
      <w:r w:rsidR="003E034B">
        <w:rPr>
          <w:b/>
          <w:bCs/>
        </w:rPr>
        <w:instrText xml:space="preserve"> ADDIN ZOTERO_ITEM CSL_CITATION {"citationID":"g2rKxMPw","properties":{"unsorted":false,"formattedCitation":"(9)","plainCitation":"(9)","noteIndex":0},"citationItems":[{"id":219,"uris":["http://zotero.org/users/local/sechomLT/items/Q3YBI9XD"],"itemData":{"id":219,"type":"article-journal","abstract":"Colorectal cancer (CRC) is a frequently lethal disease with heterogeneous outcomes and drug responses. To resolve inconsistencies among the reported gene expression–based CRC classifications and facilitate clinical translation, we formed an international consortium dedicated to large-scale data sharing and analytics across expert groups. We show marked interconnectivity between six independent classification systems coalescing into four consensus molecular subtypes (CMS) with distinguishing features: CMS1 (MSI Immune, 14%), hypermutated, microsatellite unstable, strong immune activation; CMS2 (Canonical, 37%), epithelial, chromosomally unstable, marked WNT and MYC signaling activation; CMS3 (Metabolic, 13%), epithelial, evident metabolic dysregulation; and CMS4 (Mesenchymal, 23%), prominent transforming growth factor β activation, stromal invasion, and angiogenesis. Samples with mixed features (13%) possibly represent a transition phenotype or intra-tumoral heterogeneity. We consider the CMS groups the most robust classification system currently available for CRC – with clear biological interpretability – and the basis for future clinical stratification and subtype–based targeted interventions.","container-title":"Nature medicine","DOI":"10.1038/nm.3967","ISSN":"1078-8956","issue":"11","journalAbbreviation":"Nat Med","page":"1350-1356","PMID":"26457759","PMCID":"PMC4636487","source":"PubMed Central","title":"The Consensus Molecular Subtypes of Colorectal Cancer","URL":"https://pmc.ncbi.nlm.nih.gov/articles/PMC4636487/","volume":"21","author":[{"family":"Guinney","given":"Justin"},{"family":"Dienstmann","given":"Rodrigo"},{"family":"Wang","given":"Xin"},{"family":"Reyniès","given":"Aurélien","non-dropping-particle":"de"},{"family":"Schlicker","given":"Andreas"},{"family":"Soneson","given":"Charlotte"},{"family":"Marisa","given":"Laetitia"},{"family":"Roepman","given":"Paul"},{"family":"Nyamundanda","given":"Gift"},{"family":"Angelino","given":"Paolo"},{"family":"Bot","given":"Brian M."},{"family":"Morris","given":"Jeffrey S."},{"family":"Simon","given":"Iris M."},{"family":"Gerster","given":"Sarah"},{"family":"Fessler","given":"Evelyn"},{"family":"Sousa e Melo","given":"Felipe","non-dropping-particle":"de"},{"family":"Missiaglia","given":"Edoardo"},{"family":"Ramay","given":"Hena"},{"family":"Barras","given":"David"},{"family":"Homicsko","given":"Krisztian"},{"family":"Maru","given":"Dipen"},{"family":"Manyam","given":"Ganiraju C."},{"family":"Broom","given":"Bradley"},{"family":"Boige","given":"Valerie"},{"family":"Perez-Villamil","given":"Beatriz"},{"family":"Laderas","given":"Ted"},{"family":"Salazar","given":"Ramon"},{"family":"Gray","given":"Joe W."},{"family":"Hanahan","given":"Douglas"},{"family":"Tabernero","given":"Josep"},{"family":"Bernards","given":"Rene"},{"family":"Friend","given":"Stephen H."},{"family":"Laurent-Puig","given":"Pierre"},{"family":"Medema","given":"Jan Paul"},{"family":"Sadanandam","given":"Anguraj"},{"family":"Wessels","given":"Lodewyk"},{"family":"Delorenzi","given":"Mauro"},{"family":"Kopetz","given":"Scott"},{"family":"Vermeulen","given":"Louis"},{"family":"Tejpar","given":"Sabine"}],"accessed":{"date-parts":[["2026",7,26]]},"issued":{"date-parts":[["2015",11]]}}}],"schema":"https://github.com/citation-style-language/schema/raw/master/csl-citation.json"} </w:instrText>
      </w:r>
      <w:r w:rsidR="003E034B">
        <w:rPr>
          <w:b/>
          <w:bCs/>
        </w:rPr>
        <w:fldChar w:fldCharType="separate"/>
      </w:r>
      <w:r w:rsidR="003E034B" w:rsidRPr="003E034B">
        <w:rPr>
          <w:rFonts w:ascii="Calibri" w:hAnsi="Calibri" w:cs="Calibri"/>
        </w:rPr>
        <w:t>(9)</w:t>
      </w:r>
      <w:r w:rsidR="003E034B">
        <w:rPr>
          <w:b/>
          <w:bCs/>
        </w:rPr>
        <w:fldChar w:fldCharType="end"/>
      </w:r>
      <w:r w:rsidR="003E034B" w:rsidRPr="003E034B">
        <w:t>, en el cual se fusionaron 18 conjuntos de datos independientes</w:t>
      </w:r>
      <w:r w:rsidR="003E034B" w:rsidRPr="003E034B">
        <w:rPr>
          <w:b/>
          <w:bCs/>
        </w:rPr>
        <w:t xml:space="preserve"> </w:t>
      </w:r>
      <w:r w:rsidR="003E034B" w:rsidRPr="003E034B">
        <w:t xml:space="preserve">procedentes de </w:t>
      </w:r>
      <w:r w:rsidR="003E034B">
        <w:t xml:space="preserve">múltiples </w:t>
      </w:r>
      <w:r w:rsidR="003E034B" w:rsidRPr="003E034B">
        <w:t>plataformas</w:t>
      </w:r>
      <w:r w:rsidR="003E034B">
        <w:t xml:space="preserve">. </w:t>
      </w:r>
      <w:r w:rsidR="00AB3A37" w:rsidRPr="00AB3A37">
        <w:t>No obstante, la eficacia de esta aproximación global disminuye notablemente al aumentar la variabilidad entre estudios</w:t>
      </w:r>
      <w:r w:rsidR="00E97B8F">
        <w:fldChar w:fldCharType="begin"/>
      </w:r>
      <w:r w:rsidR="00E97B8F">
        <w:instrText xml:space="preserve"> ADDIN ZOTERO_ITEM CSL_CITATION {"citationID":"zUl2EwsC","properties":{"unsorted":false,"formattedCitation":"(20)","plainCitation":"(20)","noteIndex":0},"citationItems":[{"id":252,"uris":["http://zotero.org/users/local/sechomLT/items/Q6U3ICGJ"],"itemData":{"id":252,"type":"article-journal","abstract":"Background\nHigh-throughput sequencing is now regularly used for studies of the transcriptome (RNA-seq), particularly for comparisons among experimental conditions. For the time being, a limited number of biological replicates are typically considered in such experiments, leading to low detection power for differential expression. As their cost continues to decrease, it is likely that additional follow-up studies will be conducted to re-address the same biological question.\n\nResults\nWe demonstrate how p-value combination techniques previously used for microarray meta-analyses can be used for the differential analysis of RNA-seq data from multiple related studies. These techniques are compared to a negative binomial generalized linear model (GLM) including a fixed study effect on simulated data and real data on human melanoma cell lines. The GLM with fixed study effect performed well for low inter-study variation and small numbers of studies, but was outperformed by the meta-analysis methods for moderate to large inter-study variability and larger numbers of studies.\n\nConclusions\nThe p-value combination techniques illustrated here are a valuable tool to perform differential meta-analyses of RNA-seq data by appropriately accounting for biological and technical variability within studies as well as additional study-specific effects. An R package metaRNASeq is available on the CRAN (http://cran.r-project.org/web/packages/metaRNASeq).","container-title":"BMC Bioinformatics","DOI":"10.1186/1471-2105-15-91","ISSN":"1471-2105","journalAbbreviation":"BMC Bioinformatics","page":"91","PMID":"24678608","PMCID":"PMC4021464","source":"PubMed Central","title":"Differential meta-analysis of RNA-seq data from multiple studies","URL":"https://pmc.ncbi.nlm.nih.gov/articles/PMC4021464/","volume":"15","author":[{"family":"Rau","given":"Andrea"},{"family":"Marot","given":"Guillemette"},{"family":"Jaffrézic","given":"Florence"}],"accessed":{"date-parts":[["2026",8,16]]},"issued":{"date-parts":[["2014",3,29]]}}}],"schema":"https://github.com/citation-style-language/schema/raw/master/csl-citation.json"} </w:instrText>
      </w:r>
      <w:r w:rsidR="00E97B8F">
        <w:fldChar w:fldCharType="separate"/>
      </w:r>
      <w:r w:rsidR="00E97B8F" w:rsidRPr="00E97B8F">
        <w:rPr>
          <w:rFonts w:ascii="Calibri" w:hAnsi="Calibri" w:cs="Calibri"/>
        </w:rPr>
        <w:t>(20)</w:t>
      </w:r>
      <w:r w:rsidR="00E97B8F">
        <w:fldChar w:fldCharType="end"/>
      </w:r>
      <w:r w:rsidR="00AB3A37" w:rsidRPr="00AB3A37">
        <w:t>. Por ello, otros enfoques integrativos ofrecen un mejor rendimiento en escenarios de heterogeneidad moderada a alta</w:t>
      </w:r>
      <w:r w:rsidR="008F4BE3">
        <w:fldChar w:fldCharType="begin"/>
      </w:r>
      <w:r w:rsidR="00AB3A37">
        <w:instrText xml:space="preserve"> ADDIN ZOTERO_ITEM CSL_CITATION {"citationID":"DJzvoRSg","properties":{"unsorted":false,"formattedCitation":"(20)","plainCitation":"(20)","noteIndex":0},"citationItems":[{"id":252,"uris":["http://zotero.org/users/local/sechomLT/items/Q6U3ICGJ"],"itemData":{"id":252,"type":"article-journal","abstract":"Background\nHigh-throughput sequencing is now regularly used for studies of the transcriptome (RNA-seq), particularly for comparisons among experimental conditions. For the time being, a limited number of biological replicates are typically considered in such experiments, leading to low detection power for differential expression. As their cost continues to decrease, it is likely that additional follow-up studies will be conducted to re-address the same biological question.\n\nResults\nWe demonstrate how p-value combination techniques previously used for microarray meta-analyses can be used for the differential analysis of RNA-seq data from multiple related studies. These techniques are compared to a negative binomial generalized linear model (GLM) including a fixed study effect on simulated data and real data on human melanoma cell lines. The GLM with fixed study effect performed well for low inter-study variation and small numbers of studies, but was outperformed by the meta-analysis methods for moderate to large inter-study variability and larger numbers of studies.\n\nConclusions\nThe p-value combination techniques illustrated here are a valuable tool to perform differential meta-analyses of RNA-seq data by appropriately accounting for biological and technical variability within studies as well as additional study-specific effects. An R package metaRNASeq is available on the CRAN (http://cran.r-project.org/web/packages/metaRNASeq).","container-title":"BMC Bioinformatics","DOI":"10.1186/1471-2105-15-91","ISSN":"1471-2105","journalAbbreviation":"BMC Bioinformatics","page":"91","PMID":"24678608","PMCID":"PMC4021464","source":"PubMed Central","title":"Differential meta-analysis of RNA-seq data from multiple studies","URL":"https://pmc.ncbi.nlm.nih.gov/articles/PMC4021464/","volume":"15","author":[{"family":"Rau","given":"Andrea"},{"family":"Marot","given":"Guillemette"},{"family":"Jaffrézic","given":"Florence"}],"accessed":{"date-parts":[["2026",8,16]]},"issued":{"date-parts":[["2014",3,29]]}}}],"schema":"https://github.com/citation-style-language/schema/raw/master/csl-citation.json"} </w:instrText>
      </w:r>
      <w:r w:rsidR="008F4BE3">
        <w:fldChar w:fldCharType="separate"/>
      </w:r>
      <w:r w:rsidR="00AB3A37" w:rsidRPr="00AB3A37">
        <w:rPr>
          <w:rFonts w:ascii="Calibri" w:hAnsi="Calibri" w:cs="Calibri"/>
        </w:rPr>
        <w:t>(20)</w:t>
      </w:r>
      <w:r w:rsidR="008F4BE3">
        <w:fldChar w:fldCharType="end"/>
      </w:r>
      <w:r w:rsidRPr="00BE20F0">
        <w:t xml:space="preserve">. Por otro lado, el modelado </w:t>
      </w:r>
      <w:r w:rsidRPr="00CC58E6">
        <w:rPr>
          <w:color w:val="000000" w:themeColor="text1"/>
        </w:rPr>
        <w:t>independiente evalúa cada conjunto de datos por separado, preservando íntegramente la distribución y la varianza intrínseca de cada estudio experimental</w:t>
      </w:r>
      <w:r w:rsidR="00E97B8F">
        <w:rPr>
          <w:color w:val="000000" w:themeColor="text1"/>
        </w:rPr>
        <w:fldChar w:fldCharType="begin"/>
      </w:r>
      <w:r w:rsidR="00E97B8F">
        <w:rPr>
          <w:color w:val="000000" w:themeColor="text1"/>
        </w:rPr>
        <w:instrText xml:space="preserve"> ADDIN ZOTERO_ITEM CSL_CITATION {"citationID":"inZpOTxT","properties":{"unsorted":false,"formattedCitation":"(20)","plainCitation":"(20)","noteIndex":0},"citationItems":[{"id":252,"uris":["http://zotero.org/users/local/sechomLT/items/Q6U3ICGJ"],"itemData":{"id":252,"type":"article-journal","abstract":"Background\nHigh-throughput sequencing is now regularly used for studies of the transcriptome (RNA-seq), particularly for comparisons among experimental conditions. For the time being, a limited number of biological replicates are typically considered in such experiments, leading to low detection power for differential expression. As their cost continues to decrease, it is likely that additional follow-up studies will be conducted to re-address the same biological question.\n\nResults\nWe demonstrate how p-value combination techniques previously used for microarray meta-analyses can be used for the differential analysis of RNA-seq data from multiple related studies. These techniques are compared to a negative binomial generalized linear model (GLM) including a fixed study effect on simulated data and real data on human melanoma cell lines. The GLM with fixed study effect performed well for low inter-study variation and small numbers of studies, but was outperformed by the meta-analysis methods for moderate to large inter-study variability and larger numbers of studies.\n\nConclusions\nThe p-value combination techniques illustrated here are a valuable tool to perform differential meta-analyses of RNA-seq data by appropriately accounting for biological and technical variability within studies as well as additional study-specific effects. An R package metaRNASeq is available on the CRAN (http://cran.r-project.org/web/packages/metaRNASeq).","container-title":"BMC Bioinformatics","DOI":"10.1186/1471-2105-15-91","ISSN":"1471-2105","journalAbbreviation":"BMC Bioinformatics","page":"91","PMID":"24678608","PMCID":"PMC4021464","source":"PubMed Central","title":"Differential meta-analysis of RNA-seq data from multiple studies","URL":"https://pmc.ncbi.nlm.nih.gov/articles/PMC4021464/","volume":"15","author":[{"family":"Rau","given":"Andrea"},{"family":"Marot","given":"Guillemette"},{"family":"Jaffrézic","given":"Florence"}],"accessed":{"date-parts":[["2026",8,16]]},"issued":{"date-parts":[["2014",3,29]]}}}],"schema":"https://github.com/citation-style-language/schema/raw/master/csl-citation.json"} </w:instrText>
      </w:r>
      <w:r w:rsidR="00E97B8F">
        <w:rPr>
          <w:color w:val="000000" w:themeColor="text1"/>
        </w:rPr>
        <w:fldChar w:fldCharType="separate"/>
      </w:r>
      <w:r w:rsidR="00E97B8F" w:rsidRPr="00E97B8F">
        <w:rPr>
          <w:rFonts w:ascii="Calibri" w:hAnsi="Calibri" w:cs="Calibri"/>
        </w:rPr>
        <w:t>(20)</w:t>
      </w:r>
      <w:r w:rsidR="00E97B8F">
        <w:rPr>
          <w:color w:val="000000" w:themeColor="text1"/>
        </w:rPr>
        <w:fldChar w:fldCharType="end"/>
      </w:r>
      <w:r w:rsidRPr="00CC58E6">
        <w:rPr>
          <w:color w:val="000000" w:themeColor="text1"/>
        </w:rPr>
        <w:t>. Posteriormente, la integración de estos análisis mediante una intersección estricta retiene exclusivamente aquellos genes que presenten una alteración estadísticamente significativa y una dirección de cambio concordante en todas las cohortes.</w:t>
      </w:r>
      <w:r w:rsidR="0087411E">
        <w:rPr>
          <w:color w:val="000000" w:themeColor="text1"/>
        </w:rPr>
        <w:t xml:space="preserve"> </w:t>
      </w:r>
      <w:r w:rsidR="0087411E" w:rsidRPr="0087411E">
        <w:t xml:space="preserve">Esta aproximación cuenta con precedentes consolidados en la literatura, donde diversos estudios </w:t>
      </w:r>
      <w:proofErr w:type="spellStart"/>
      <w:r w:rsidR="0087411E" w:rsidRPr="0087411E">
        <w:t>multicohorte</w:t>
      </w:r>
      <w:proofErr w:type="spellEnd"/>
      <w:r w:rsidR="0087411E" w:rsidRPr="0087411E">
        <w:t xml:space="preserve"> en cáncer colorrectal han validado la solidez del análisis individual de series públicas y su posterior intersección estricta</w:t>
      </w:r>
      <w:r w:rsidR="0087411E">
        <w:fldChar w:fldCharType="begin"/>
      </w:r>
      <w:r w:rsidR="0087411E">
        <w:instrText xml:space="preserve"> ADDIN ZOTERO_ITEM CSL_CITATION {"citationID":"FBY8slu7","properties":{"unsorted":false,"formattedCitation":"(10,11,13,21\\uc0\\u8211{}23)","plainCitation":"(10,11,13,21–23)","noteIndex":0},"citationItems":[{"id":231,"uris":["http://zotero.org/users/local/sechomLT/items/SX3EXBZZ"],"itemData":{"id":231,"type":"article-journal","abstract":"Colorectal cancer is driven by complex genetic and molecular alterations, necessitating reliable targets for diagnosis and therapy. Single-omics studies offer limited insight. We performed a systematic in silico multi-omics integration using four public databases: GEO (differential expression), cBioPortal (genomic alterations), DisGeNET (gene–disease associations), and GeneCards (annotated/predicted CRC genes). Genes identified in ≥ 2 independent sources were curated into a high-confidence panel comprising 996 CRC-associated genes. Functional enrichment analysis of this panel revealed significant over-representation of pathways critical to CRC pathogenesis, including cell cycle regulation, apoptosis, DNA repair, and canonical signalling cascades (Wnt, MAPK, PI3K–AKT). PPI network analysis in Cytoscape using the Maximal Clique Centrality algorithm identified ten high-centrality hub genes: AKT1, STAT3, TP53, CTNNB1, BCL2, MYC, CCND1, PTEN, ESR1, and JUN. Eight of these are established CRC drivers, confirming the credibility of the approach, whereas ESR1 and JUN emerged as potentially under-investigated candidates. Hub gene relevance was independently confirmed via cBioPortal (alterations and correlations), TCGA/GEPIA2 (tumour–normal and stage-specific expression), the Human Protein Atlas (protein abundance), and TIMER2.0 (immune infiltration). This in silico multi-omics research work prioritises high-confidence therapeutic targets in CRC using publicly available data and nominates ESR1 and JUN for further investigation, while highlighting the need for experimental validation. The framework demonstrates the power of cross-platform evidence for biomarker discovery in complex diseases and is readily adaptable to other malignancies.","container-title":"Network Modeling Analysis in Health Informatics and Bioinformatics","DOI":"10.1007/s13721-025-00696-x","ISSN":"2192-6670","issue":"1","journalAbbreviation":"Netw Model Anal Health Inform Bioinforma","language":"en","page":"10","source":"Springer Link","title":"Multi-omics integration and network analysis identify therapeutic hub genes in colorectal cancer","URL":"https://doi.org/10.1007/s13721-025-00696-x","volume":"15","author":[{"family":"Mathew","given":"Emi"},{"family":"Thomas","given":"Philip Litto"},{"family":"Mathew","given":"Linu"}],"accessed":{"date-parts":[["2026",7,26]]},"issued":{"date-parts":[["2025",12,19]]}}},{"id":152,"uris":["http://zotero.org/users/local/sechomLT/items/JYY4QLR5"],"itemData":{"id":152,"type":"article-journal","abstract":"Background\nColon adenocarcinoma (COAD) is one of the most lethal cancers. It is particularly important to accurately predict prognosis and to provide individualized treatment. Several lines of evidence suggest that genetic factors and clinicopathological characteristics are related to cancer onset and progression. The aim of this study was to identify potential prognostic genes and to develop a nomogram to predict survival and recurrence of COAD.\n\nMethods\nTo identify potential prognostic genes in COAD, microarray datasets were downloaded from the Gene Expression Omnibus (GEO) database. Differentially expressed genes (DEGs) were obtained from GEO2R. Venn diagram was drawn to select those genes that were overexpressed in all datasets, and survival analyses were performed to determine the prognostic values of the selected genes. New nomograms were developed based on the genes that were significantly associated with prognosis. Clinicopathological data were obtained from The Cancer Genome Atlas (TCGA). Finally, the new nomograms were compared head-to-head comparison with the TNM nomogram.\n\nResults\nFrom GSE21510, GSE110223, GSE113513 and GSE110224, a total of 834, 218, 236 and 613 overexpressed DEGs were screened out, respectively. The Venn diagram revealed that 12 genes appeared in all four profiles. After survival analyses, only INHBA expression was associated with both overall survival (OS) and disease-free survival (DFS). Multivariate analyses revealed that age, pathological N and pathological M were significant independent risk factors for OS. Age, pathological N, pathological M and INHBA were significant independent risk factors for DFS. Two prediction models predicted the probability of 3-year survival and 5-year survival for OS and DFS, respectively. The concordance indexes were 0.785 for 3-year overall survival, 0.759 for 5-year overall survival, 0.789 for 3-year disease-free survival and 0.757 for 5-year disease-free survival. The head-to-head comparison according to time-dependent ROC curves indicated that the new models had higher predictive accuracy. Decision curve analyses (DCA) indicated that the clinical value of the new models were higher than TNM models for predicting disease-free survival.\n\nConclusion\nThe combination of INHBA expression with a clinical nomogram improves prognostic power in colon adenocarcinoma, especially for predicting recurrence.","container-title":"BMC Cancer","DOI":"10.1186/s12885-020-06743-2","ISSN":"1471-2407","journalAbbreviation":"BMC Cancer","page":"305","PMID":"32293338","PMCID":"PMC7161248","source":"PubMed Central","title":"INHBA is a prognostic predictor for patients with colon adenocarcinoma","URL":"https://pmc.ncbi.nlm.nih.gov/articles/PMC7161248/","volume":"20","author":[{"family":"Li","given":"Xueying"},{"family":"Yu","given":"Weiming"},{"family":"Liang","given":"Chao"},{"family":"Xu","given":"Yuan"},{"family":"Zhang","given":"Miaozun"},{"family":"Ding","given":"Xiaoyun"},{"family":"Cai","given":"Xianlei"}],"accessed":{"date-parts":[["2026",7,15]]},"issued":{"date-parts":[["2020",4,15]]}}},{"id":85,"uris":["http://zotero.org/users/local/sechomLT/items/SAPVJ6JV"],"itemData":{"id":85,"type":"article-journal","abstract":"Colon cancer is one of the most common cancers in the world. To identify the candidate genes in the carcinogenesis and progression of colon cancer, the microarray datasets GSE10950, GSE44861 and GSE74602 were downloaded from the Gene Expression Omnibus (GEO) database. The differentially expressed genes (DEGs) were identified, and functional enrichment analyses were performed. A total of 176 DEGs were identified, consisting of 55 genes upregulated and 121 genes downregulated in colon cancer tissues compared to non-cancerous tissues. The DEGs were mainly enriched in mineral absorption, nitrogen metabolism and complement and coagulation cascades. By using STRING database analysis, we constructed a coexpression network composed of 140 nodes and 280 edges for the DEGs with a combined score &gt;0.4 and a significant interaction relation. Thirteen hub genes were identified, and poor OS of patients was only associated with high expression of Matrix Metallopeptidase 7 (MMP7), which may be involved in the carcinogenesis, invasion or recurrence of colon cancer. In conclusion, we propose that the DEGs and hub genes identified in the present study may be regarded as diagnostic biomarkers for colon cancer. Moreover, the overexpression of MMP7 may correlate with poor prognosis.","container-title":"Medicine","DOI":"10.1097/MD.0000000000024953","ISSN":"0025-7974","issue":"9","journalAbbreviation":"Medicine (Baltimore)","page":"e24953","PMID":"33655961","PMCID":"PMC7939218","source":"PubMed Central","title":"MMP7 as a potential biomarker of colon cancer and its prognostic value by bioinformatics analysis","URL":"https://pmc.ncbi.nlm.nih.gov/articles/PMC7939218/","volume":"100","author":[{"family":"Chen","given":"Li"},{"family":"Ke","given":"Xueying"}],"accessed":{"date-parts":[["2026",7,14]]},"issued":{"date-parts":[["2021",3,5]]}}},{"id":159,"uris":["http://zotero.org/users/local/sechomLT/items/RAE5WLCB"],"itemData":{"id":159,"type":"article-journal","abstract":"Colorectal cancer, a malignant neoplasm that occurs in the colorectal mucosa, is one of the most common types of gastrointestinal cancer. Colorectal cancer has been studied extensively, but the molecular mechanisms of this malignancy have not been characterized. This study identified and verified core genes associated with colorectal cancer using integrated bioinformatics analysis. Three gene expression profiles (GSE15781, GSE110223, and GSE110224) were downloaded from the Gene Expression Omnibus (GEO) databases. A total of 87 common differentially expressed genes (DEGs) among GSE15781, GSE110223, and GSE110224 were identified, including 19 upregulated genes and 68 downregulated genes. Gene ontology and Kyoto Encyclopedia of Genes and Genomes pathway enrichment analysis was performed for common DEGs using clusterProfiler. These common DEGs were significantly involved in cancer-associated functions and signaling pathways. Then, we constructed protein-protein interaction networks of these common DEGs using Cytoscape software, which resulted in the identification of the following 10 core genes: SST, PYY, CXCL1, CXCL8, CXCL3, ZG16, AQP8, CLCA4, MS4A12, and GUCA2A. Analysis using qRT-PCR has shown that SST, CXCL8, and MS4A12 were significant differentially expressed between colorectal cancer tissues and normal colorectal tissues (P &lt; 0.05). Gene Expression Profiling Interactive Analysis (GEPIA) overall survival (OS) has shown that low expressions of AQP8, ZG16, CXCL3, and CXCL8 may predict poor survival outcome in colorectal cancer. In conclusion, the core genes identified in this study contributed to the understanding of the molecular mechanisms involved in colorectal cancer development and may be targets for early diagnosis, prevention, and treatment of colorectal cancer.","container-title":"BioMed Research International","DOI":"10.1155/2020/8082697","ISSN":"2314-6133","journalAbbreviation":"Biomed Res Int","page":"8082697","PMID":"32462020","PMCID":"PMC7232680","source":"PubMed Central","title":"Identification and Verification of Core Genes in Colorectal Cancer","URL":"https://pmc.ncbi.nlm.nih.gov/articles/PMC7232680/","volume":"2020","author":[{"family":"Xu","given":"Houxi"},{"family":"Ma","given":"Yuzhu"},{"family":"Zhang","given":"Jinzhi"},{"family":"Gu","given":"Jialin"},{"family":"Jing","given":"Xinyue"},{"family":"Lu","given":"Shengfeng"},{"family":"Fu","given":"Shuping"},{"family":"Huo","given":"Jiege"}],"accessed":{"date-parts":[["2026",7,18]]},"issued":{"date-parts":[["2020",5,8]]}}},{"id":207,"uris":["http://zotero.org/users/local/sechomLT/items/6FIITV8S"],"itemData":{"id":207,"type":"article-journal","abstract":"Background\nColorectal cancer (CRC) is a common malignant tumor with high incidence and mortality worldwide. The aim of this study was to evaluate the association between differentially expressed genes (DEGs), which may function as biomarkers for CRC prognosis and therapies, and the clinical outcome in patients with CRC.\n\nMaterial/Methods\nA total of 116 normal mucous tissue and 930 CRC tissue datasets were downloaded from the Gene Expression Omnibus database (GEO) and The Cancer Genome Atlas (TCGA). After screening DEGs based on limma package in R. Gene Ontology (GO) and KEGG enrichment analysis as well as the protein-protein interaction (PPI) networks were performed to predict the function of these DEGs. Meanwhile, Cox proportional hazards regression was used to build a prognostic model of these DEGs. Then, Kaplan-Meier risk analysis was used to test the model in TCGA datasets and validation datasets.\n\nResults\nIn the present study, 300 DEGs with 100 upregulated genes and 200 downregulated genes were identified. The PPI networks including 162 DEGs and 256 nodes were constructed and 2 modules with high degree were selected. Moreover, 5 genes (MMP1, ACSL6, SMPD1, PPARGC1A, and HEPACAM2) were identified using the Cox proportional hazards stepwise regression. Kaplan-Meier risk curve in the TCGA and validation cohorts showed that high-risk group had significantly poor overall survival than the low-risk group.\n\nConclusions\nOur study provided insights into the mechanisms of CRC formation and found 5 prognostic genes, which could potentially inform further studies and clinical therapies.","container-title":"Medical Science Monitor : International Medical Journal of Experimental and Clinical Research","DOI":"10.12659/MSM.907224","ISSN":"1234-1010","journalAbbreviation":"Med Sci Monit","page":"4625-4633","PMID":"29973580","PMCID":"PMC6065283","source":"PubMed Central","title":"Identification of Critical Genes and Five Prognostic Biomarkers Associated with Colorectal Cancer","URL":"https://pmc.ncbi.nlm.nih.gov/articles/PMC6065283/","volume":"24","author":[{"family":"Huang","given":"Zuoliang"},{"family":"Yang","given":"Qin"},{"family":"Huang","given":"Zezhi"}],"accessed":{"date-parts":[["2026",7,22]]},"issued":{"date-parts":[["2018",7,5]]}}},{"id":145,"uris":["http://zotero.org/users/local/sechomLT/items/BBUGMZQT"],"itemData":{"id":145,"type":"article-journal","abstract":"Background\nColorectal cancer (CRC) remains a leading cause of cancer-related mortality, particularly due to advanced-stage metastasis. P-cadherin (CDH3), a potential therapeutic target, is highly expressed in CRC tissues and associated with poor prognosis and metastasis. However, the mechanisms underlying its role in CRC progression and its translational potential remain poorly understood.\n\nMaterials and methods\nThis study integrated multiple public databases (TCGA, HCMDB, UALCAN, HPA, UniProt, cBioPortal, and GEO) to evaluate CDH3 expression, construct a prognostic model, and perform functional and translational analyses. Immunohistochemistry was used to validate CDH3 protein expression in clinical samples. Additional analyses included correlations with clinicopathological parameters, immune infiltration (TIDE, TISIDB), functional enrichment (KEGG, GSEA), drug sensitivity (GSCA), and molecular docking (MOE). Single-cell sequencing (CancerSEA, HPA) was also conducted to explore CDH3’s role at the single-cell level.\n\nResults\nCDH3 expression was significantly elevated in CRC tissues and correlated with poor prognosis, recurrence, and metastasis. CDH3 expression was associated with the infiltration of resting immune cells, particularly dendritic cells, and enrichment analysis revealed its critical role in CRC metastasis through extracellular matrix (ECM) and local adhesion pathways. Notably, afatinib emerged as a promising candidate for targeting CDH3 via “drug repositioning,” a process involving the repurposing of existing drugs for new therapeutic applications.\n\nConclusion\nThis study provides novel insights into CDH3’s role in CRC metastasis and its potential as a therapeutic target. The translational potential of CDH3, including its integration with immunotherapy and drug repositioning strategies, offers a promising avenue for the treatment of metastatic CRC.\n\nSupplementary Information\nThe online version contains supplementary material available at 10.1186/s12885-025-13845-2.","container-title":"BMC Cancer","DOI":"10.1186/s12885-025-13845-2","ISSN":"1471-2407","journalAbbreviation":"BMC Cancer","page":"560","PMID":"40155851","PMCID":"PMC11951682","source":"PubMed Central","title":"Synergistic potential of CDH3 in targeting CRC metastasis and enhancing immunotherapy","URL":"https://pmc.ncbi.nlm.nih.gov/articles/PMC11951682/","volume":"25","author":[{"family":"Fu","given":"Chen"},{"family":"Fu","given":"Jia"},{"family":"Liu","given":"Chaoyue"},{"family":"Yu","given":"Zhaojin"}],"accessed":{"date-parts":[["2026",7,15]]},"issued":{"date-parts":[["2025",3,28]]}}}],"schema":"https://github.com/citation-style-language/schema/raw/master/csl-citation.json"} </w:instrText>
      </w:r>
      <w:r w:rsidR="0087411E">
        <w:fldChar w:fldCharType="separate"/>
      </w:r>
      <w:r w:rsidR="0087411E" w:rsidRPr="0087411E">
        <w:rPr>
          <w:rFonts w:ascii="Calibri" w:hAnsi="Calibri" w:cs="Calibri"/>
        </w:rPr>
        <w:t>(10,11,13,21–23)</w:t>
      </w:r>
      <w:r w:rsidR="0087411E">
        <w:fldChar w:fldCharType="end"/>
      </w:r>
      <w:r w:rsidR="0087411E" w:rsidRPr="0087411E">
        <w:t xml:space="preserve">. </w:t>
      </w:r>
      <w:r w:rsidR="0087411E" w:rsidRPr="00BE20F0">
        <w:t>De este modo, esta última estrategia actúa como un filtro de elevada especificidad que garantiza la identificación de una firma transcriptómica consenso robusta y reproducible</w:t>
      </w:r>
      <w:r w:rsidR="00E97B8F">
        <w:fldChar w:fldCharType="begin"/>
      </w:r>
      <w:r w:rsidR="00E97B8F">
        <w:instrText xml:space="preserve"> ADDIN ZOTERO_ITEM CSL_CITATION {"citationID":"wWE31WEQ","properties":{"unsorted":false,"formattedCitation":"(20,21)","plainCitation":"(20,21)","noteIndex":0},"citationItems":[{"id":252,"uris":["http://zotero.org/users/local/sechomLT/items/Q6U3ICGJ"],"itemData":{"id":252,"type":"article-journal","abstract":"Background\nHigh-throughput sequencing is now regularly used for studies of the transcriptome (RNA-seq), particularly for comparisons among experimental conditions. For the time being, a limited number of biological replicates are typically considered in such experiments, leading to low detection power for differential expression. As their cost continues to decrease, it is likely that additional follow-up studies will be conducted to re-address the same biological question.\n\nResults\nWe demonstrate how p-value combination techniques previously used for microarray meta-analyses can be used for the differential analysis of RNA-seq data from multiple related studies. These techniques are compared to a negative binomial generalized linear model (GLM) including a fixed study effect on simulated data and real data on human melanoma cell lines. The GLM with fixed study effect performed well for low inter-study variation and small numbers of studies, but was outperformed by the meta-analysis methods for moderate to large inter-study variability and larger numbers of studies.\n\nConclusions\nThe p-value combination techniques illustrated here are a valuable tool to perform differential meta-analyses of RNA-seq data by appropriately accounting for biological and technical variability within studies as well as additional study-specific effects. An R package metaRNASeq is available on the CRAN (http://cran.r-project.org/web/packages/metaRNASeq).","container-title":"BMC Bioinformatics","DOI":"10.1186/1471-2105-15-91","ISSN":"1471-2105","journalAbbreviation":"BMC Bioinformatics","page":"91","PMID":"24678608","PMCID":"PMC4021464","source":"PubMed Central","title":"Differential meta-analysis of RNA-seq data from multiple studies","URL":"https://pmc.ncbi.nlm.nih.gov/articles/PMC4021464/","volume":"15","author":[{"family":"Rau","given":"Andrea"},{"family":"Marot","given":"Guillemette"},{"family":"Jaffrézic","given":"Florence"}],"accessed":{"date-parts":[["2026",8,16]]},"issued":{"date-parts":[["2014",3,29]]}}},{"id":159,"uris":["http://zotero.org/users/local/sechomLT/items/RAE5WLCB"],"itemData":{"id":159,"type":"article-journal","abstract":"Colorectal cancer, a malignant neoplasm that occurs in the colorectal mucosa, is one of the most common types of gastrointestinal cancer. Colorectal cancer has been studied extensively, but the molecular mechanisms of this malignancy have not been characterized. This study identified and verified core genes associated with colorectal cancer using integrated bioinformatics analysis. Three gene expression profiles (GSE15781, GSE110223, and GSE110224) were downloaded from the Gene Expression Omnibus (GEO) databases. A total of 87 common differentially expressed genes (DEGs) among GSE15781, GSE110223, and GSE110224 were identified, including 19 upregulated genes and 68 downregulated genes. Gene ontology and Kyoto Encyclopedia of Genes and Genomes pathway enrichment analysis was performed for common DEGs using clusterProfiler. These common DEGs were significantly involved in cancer-associated functions and signaling pathways. Then, we constructed protein-protein interaction networks of these common DEGs using Cytoscape software, which resulted in the identification of the following 10 core genes: SST, PYY, CXCL1, CXCL8, CXCL3, ZG16, AQP8, CLCA4, MS4A12, and GUCA2A. Analysis using qRT-PCR has shown that SST, CXCL8, and MS4A12 were significant differentially expressed between colorectal cancer tissues and normal colorectal tissues (P &lt; 0.05). Gene Expression Profiling Interactive Analysis (GEPIA) overall survival (OS) has shown that low expressions of AQP8, ZG16, CXCL3, and CXCL8 may predict poor survival outcome in colorectal cancer. In conclusion, the core genes identified in this study contributed to the understanding of the molecular mechanisms involved in colorectal cancer development and may be targets for early diagnosis, prevention, and treatment of colorectal cancer.","container-title":"BioMed Research International","DOI":"10.1155/2020/8082697","ISSN":"2314-6133","journalAbbreviation":"Biomed Res Int","page":"8082697","PMID":"32462020","PMCID":"PMC7232680","source":"PubMed Central","title":"Identification and Verification of Core Genes in Colorectal Cancer","URL":"https://pmc.ncbi.nlm.nih.gov/articles/PMC7232680/","volume":"2020","author":[{"family":"Xu","given":"Houxi"},{"family":"Ma","given":"Yuzhu"},{"family":"Zhang","given":"Jinzhi"},{"family":"Gu","given":"Jialin"},{"family":"Jing","given":"Xinyue"},{"family":"Lu","given":"Shengfeng"},{"family":"Fu","given":"Shuping"},{"family":"Huo","given":"Jiege"}],"accessed":{"date-parts":[["2026",7,18]]},"issued":{"date-parts":[["2020",5,8]]}}}],"schema":"https://github.com/citation-style-language/schema/raw/master/csl-citation.json"} </w:instrText>
      </w:r>
      <w:r w:rsidR="00E97B8F">
        <w:fldChar w:fldCharType="separate"/>
      </w:r>
      <w:r w:rsidR="00E97B8F" w:rsidRPr="00E97B8F">
        <w:rPr>
          <w:rFonts w:ascii="Calibri" w:hAnsi="Calibri" w:cs="Calibri"/>
        </w:rPr>
        <w:t>(20,21)</w:t>
      </w:r>
      <w:r w:rsidR="00E97B8F">
        <w:fldChar w:fldCharType="end"/>
      </w:r>
      <w:r w:rsidR="0087411E" w:rsidRPr="00BE20F0">
        <w:t>.</w:t>
      </w:r>
    </w:p>
    <w:p w14:paraId="3535B3C0" w14:textId="6E929050" w:rsidR="00F3241D" w:rsidRDefault="00C711AE" w:rsidP="00F3241D">
      <w:pPr>
        <w:pStyle w:val="Ttulo2"/>
        <w:rPr>
          <w:caps w:val="0"/>
        </w:rPr>
      </w:pPr>
      <w:bookmarkStart w:id="8" w:name="_Toc239417036"/>
      <w:r w:rsidRPr="00C711AE">
        <w:rPr>
          <w:caps w:val="0"/>
        </w:rPr>
        <w:t>Análisis De Expresión Génica Diferencial (DGEA</w:t>
      </w:r>
      <w:r>
        <w:rPr>
          <w:caps w:val="0"/>
        </w:rPr>
        <w:t>)</w:t>
      </w:r>
      <w:bookmarkEnd w:id="8"/>
    </w:p>
    <w:p w14:paraId="183F2117" w14:textId="18AB2C63" w:rsidR="00A3604F" w:rsidRDefault="00C711AE" w:rsidP="00A3604F">
      <w:r w:rsidRPr="00C711AE">
        <w:t xml:space="preserve">Tras la cuantificación de las lecturas y la generación de las matrices de recuentos, el DGEA constituye el pilar </w:t>
      </w:r>
      <w:r w:rsidR="00996E30">
        <w:t>bioinformático</w:t>
      </w:r>
      <w:r w:rsidRPr="00C711AE">
        <w:t xml:space="preserve"> fundamental para interpretar la información transcriptómica</w:t>
      </w:r>
      <w:r w:rsidR="00B340D6">
        <w:fldChar w:fldCharType="begin"/>
      </w:r>
      <w:r w:rsidR="004B392B">
        <w:instrText xml:space="preserve"> ADDIN ZOTERO_ITEM CSL_CITATION {"citationID":"mdBKSqSb","properties":{"unsorted":false,"formattedCitation":"(16,24,25)","plainCitation":"(16,24,25)","noteIndex":0},"citationItems":[{"id":243,"uris":["http://zotero.org/users/local/sechomLT/items/ZACTH8WR"],"itemData":{"id":243,"type":"article-journal","abstract":"Over the past decade, RNA sequencing (RNA-seq) has become an indispensable tool for transcriptome-wide analysis of differential gene expression and differential splicing of mRNAs. However, as next-generation sequencing technologies have developed, so too has RNA-seq. Now, RNA-seq methods are available for studying many different aspects of RNA biology, including single-cell gene expression, translation (the translatome) and RNA structure (the structurome). Exciting new applications are being explored, such as spatial transcriptomics (spatialomics). Together with new long-read and direct RNA-seq technologies and better computational tools for data analysis, innovations in RNA-seq are contributing to a fuller understanding of RNA biology, from questions such as when and where transcription occurs to the folding and intermolecular interactions that govern RNA function.","container-title":"Nature Reviews Genetics","DOI":"10.1038/s41576-019-0150-2","ISSN":"1471-0064","issue":"11","journalAbbreviation":"Nat Rev Genet","language":"en","license":"2019 Springer Nature Limited","page":"631-656","publisher":"Nature Publishing Group","source":"www.nature.com","title":"RNA sequencing: the teenage years","title-short":"RNA sequencing","URL":"https://www.nature.com/articles/s41576-019-0150-2","volume":"20","author":[{"family":"Stark","given":"Rory"},{"family":"Grzelak","given":"Marta"},{"family":"Hadfield","given":"James"}],"accessed":{"date-parts":[["2026",8,9]]},"issued":{"date-parts":[["2019",11]]}}},{"id":53,"uris":["http://zotero.org/users/local/sechomLT/items/CHFZ8DMY"],"itemData":{"id":53,"type":"article-journal","abstract":"In comparative high-throughput sequencing assays, a fundamental task is the analysis of count data, such as read counts per gene in RNA-seq, for evidence of systematic changes across experimental conditions. Small replicate numbers, discreteness, large dynamic range and the presence of outliers require a suitable statistical approach. We present DESeq2, a method for differential analysis of count data, using shrinkage estimation for dispersions and fold changes to improve stability and interpretability of estimates. This enables a more quantitative analysis focused on the strength rather than the mere presence of differential expression. The DESeq2 package is available at http://www.bioconductor.org/packages/release/bioc/html/DESeq2.html.","container-title":"Genome Biology","DOI":"10.1186/s13059-014-0550-8","ISSN":"1474-7596","issue":"12","journalAbbreviation":"Genome Biol","page":"550","PMID":"25516281","PMCID":"PMC4302049","source":"PubMed Central","title":"Moderated estimation of fold change and dispersion for RNA-seq data with DESeq2","URL":"https://pmc.ncbi.nlm.nih.gov/articles/PMC4302049/","volume":"15","author":[{"family":"Love","given":"Michael I"},{"family":"Huber","given":"Wolfgang"},{"family":"Anders","given":"Simon"}],"accessed":{"date-parts":[["2026",5,19]]},"issued":{"date-parts":[["2014"]]}}},{"id":255,"uris":["http://zotero.org/users/local/sechomLT/items/26V54ENY"],"itemData":{"id":255,"type":"article-journal","abstract":"Summary: It is expected that emerging digital gene expression (DGE) technologies will overtake microarray technologies in the near future for many functional genomics applications. One of the fundamental data analysis tasks, especially for gene expression studies, involves determining whether there is evidence that counts for a transcript or exon are significantly different across experimental conditions. edgeR is a Bioconductor software package for examining differential expression of replicated count data. An overdispersed Poisson model is used to account for both biological and technical variability. Empirical Bayes methods are used to moderate the degree of overdispersion across transcripts, improving the reliability of inference. The methodology can be used even with the most minimal levels of replication, provided at least one phenotype or experimental condition is replicated. The software may have other applications beyond sequencing data, such as proteome peptide count data., Availability: The package is freely available under the LGPL licence from the Bioconductor web site (http://bioconductor.org)., Contact: mrobinson@wehi.edu.au","container-title":"Bioinformatics","DOI":"10.1093/bioinformatics/btp616","ISSN":"1367-4803","issue":"1","journalAbbreviation":"Bioinformatics","page":"139-140","PMID":"19910308","PMCID":"PMC2796818","source":"PubMed Central","title":"edgeR: a Bioconductor package for differential expression analysis of digital gene expression data","title-short":"edgeR","URL":"https://pmc.ncbi.nlm.nih.gov/articles/PMC2796818/","volume":"26","author":[{"family":"Robinson","given":"Mark D."},{"family":"McCarthy","given":"Davis J."},{"family":"Smyth","given":"Gordon K."}],"accessed":{"date-parts":[["2026",8,18]]},"issued":{"date-parts":[["2010",1,1]]}}}],"schema":"https://github.com/citation-style-language/schema/raw/master/csl-citation.json"} </w:instrText>
      </w:r>
      <w:r w:rsidR="00B340D6">
        <w:fldChar w:fldCharType="separate"/>
      </w:r>
      <w:r w:rsidR="004B392B" w:rsidRPr="004B392B">
        <w:rPr>
          <w:rFonts w:ascii="Calibri" w:hAnsi="Calibri" w:cs="Calibri"/>
        </w:rPr>
        <w:t>(16,24,25)</w:t>
      </w:r>
      <w:r w:rsidR="00B340D6">
        <w:fldChar w:fldCharType="end"/>
      </w:r>
      <w:r w:rsidR="00A3604F">
        <w:t xml:space="preserve">. Este procedimiento estadístico compara </w:t>
      </w:r>
      <w:r w:rsidRPr="00C711AE">
        <w:t xml:space="preserve">de manera cuantitativa </w:t>
      </w:r>
      <w:r w:rsidR="00A3604F">
        <w:t>los niveles de expresión génica entre dos condiciones biológicas definidas</w:t>
      </w:r>
      <w:r w:rsidR="00B340D6">
        <w:fldChar w:fldCharType="begin"/>
      </w:r>
      <w:r w:rsidR="004B392B">
        <w:instrText xml:space="preserve"> ADDIN ZOTERO_ITEM CSL_CITATION {"citationID":"glk3xMBY","properties":{"unsorted":false,"formattedCitation":"(15,24,25)","plainCitation":"(15,24,25)","noteIndex":0},"citationItems":[{"id":236,"uris":["http://zotero.org/users/local/sechomLT/items/9G7U6TW7"],"itemData":{"id":236,"type":"article-journal","abstract":"RNA-Seq is a recently developed approach to transcriptome profiling that uses deep-sequencing technologies. Studies using this method have already altered our view of the extent and complexity of eukaryotic transcriptomes. RNA-Seq also provides a far more precise measurement of levels of transcripts and their isoforms than other methods. This article describes the RNA-Seq approach, the challenges associated with its application, and the advances made so far in characterizing several eukaryote transcriptomes.","container-title":"Nature reviews. Genetics","DOI":"10.1038/nrg2484","ISSN":"1471-0056","issue":"1","journalAbbreviation":"Nat Rev Genet","page":"57-63","PMID":"19015660","PMCID":"PMC2949280","source":"PubMed Central","title":"RNA-Seq: a revolutionary tool for transcriptomics","title-short":"RNA-Seq","URL":"https://pmc.ncbi.nlm.nih.gov/articles/PMC2949280/","volume":"10","author":[{"family":"Wang","given":"Zhong"},{"family":"Gerstein","given":"Mark"},{"family":"Snyder","given":"Michael"}],"accessed":{"date-parts":[["2026",8,9]]},"issued":{"date-parts":[["2009",1]]}}},{"id":53,"uris":["http://zotero.org/users/local/sechomLT/items/CHFZ8DMY"],"itemData":{"id":53,"type":"article-journal","abstract":"In comparative high-throughput sequencing assays, a fundamental task is the analysis of count data, such as read counts per gene in RNA-seq, for evidence of systematic changes across experimental conditions. Small replicate numbers, discreteness, large dynamic range and the presence of outliers require a suitable statistical approach. We present DESeq2, a method for differential analysis of count data, using shrinkage estimation for dispersions and fold changes to improve stability and interpretability of estimates. This enables a more quantitative analysis focused on the strength rather than the mere presence of differential expression. The DESeq2 package is available at http://www.bioconductor.org/packages/release/bioc/html/DESeq2.html.","container-title":"Genome Biology","DOI":"10.1186/s13059-014-0550-8","ISSN":"1474-7596","issue":"12","journalAbbreviation":"Genome Biol","page":"550","PMID":"25516281","PMCID":"PMC4302049","source":"PubMed Central","title":"Moderated estimation of fold change and dispersion for RNA-seq data with DESeq2","URL":"https://pmc.ncbi.nlm.nih.gov/articles/PMC4302049/","volume":"15","author":[{"family":"Love","given":"Michael I"},{"family":"Huber","given":"Wolfgang"},{"family":"Anders","given":"Simon"}],"accessed":{"date-parts":[["2026",5,19]]},"issued":{"date-parts":[["2014"]]}}},{"id":255,"uris":["http://zotero.org/users/local/sechomLT/items/26V54ENY"],"itemData":{"id":255,"type":"article-journal","abstract":"Summary: It is expected that emerging digital gene expression (DGE) technologies will overtake microarray technologies in the near future for many functional genomics applications. One of the fundamental data analysis tasks, especially for gene expression studies, involves determining whether there is evidence that counts for a transcript or exon are significantly different across experimental conditions. edgeR is a Bioconductor software package for examining differential expression of replicated count data. An overdispersed Poisson model is used to account for both biological and technical variability. Empirical Bayes methods are used to moderate the degree of overdispersion across transcripts, improving the reliability of inference. The methodology can be used even with the most minimal levels of replication, provided at least one phenotype or experimental condition is replicated. The software may have other applications beyond sequencing data, such as proteome peptide count data., Availability: The package is freely available under the LGPL licence from the Bioconductor web site (http://bioconductor.org)., Contact: mrobinson@wehi.edu.au","container-title":"Bioinformatics","DOI":"10.1093/bioinformatics/btp616","ISSN":"1367-4803","issue":"1","journalAbbreviation":"Bioinformatics","page":"139-140","PMID":"19910308","PMCID":"PMC2796818","source":"PubMed Central","title":"edgeR: a Bioconductor package for differential expression analysis of digital gene expression data","title-short":"edgeR","URL":"https://pmc.ncbi.nlm.nih.gov/articles/PMC2796818/","volume":"26","author":[{"family":"Robinson","given":"Mark D."},{"family":"McCarthy","given":"Davis J."},{"family":"Smyth","given":"Gordon K."}],"accessed":{"date-parts":[["2026",8,18]]},"issued":{"date-parts":[["2010",1,1]]}}}],"schema":"https://github.com/citation-style-language/schema/raw/master/csl-citation.json"} </w:instrText>
      </w:r>
      <w:r w:rsidR="00B340D6">
        <w:fldChar w:fldCharType="separate"/>
      </w:r>
      <w:r w:rsidR="004B392B" w:rsidRPr="004B392B">
        <w:rPr>
          <w:rFonts w:ascii="Calibri" w:hAnsi="Calibri" w:cs="Calibri"/>
        </w:rPr>
        <w:t>(15,24,25)</w:t>
      </w:r>
      <w:r w:rsidR="00B340D6">
        <w:fldChar w:fldCharType="end"/>
      </w:r>
      <w:r w:rsidR="00A3604F">
        <w:t>, como el tejido tumoral colorrectal y la mucosa sana adyacente. En este contexto, un gen diferencialmente expresado (DEG) se define como aquel cuya abundancia de transcritos experimenta una variación estadísticamente significativa y biológicamente relevante entre las condiciones evaluadas</w:t>
      </w:r>
      <w:r w:rsidR="00480A14">
        <w:fldChar w:fldCharType="begin"/>
      </w:r>
      <w:r>
        <w:instrText xml:space="preserve"> ADDIN ZOTERO_ITEM CSL_CITATION {"citationID":"3a9rcdb1","properties":{"unsorted":false,"formattedCitation":"(24)","plainCitation":"(24)","noteIndex":0},"citationItems":[{"id":53,"uris":["http://zotero.org/users/local/sechomLT/items/CHFZ8DMY"],"itemData":{"id":53,"type":"article-journal","abstract":"In comparative high-throughput sequencing assays, a fundamental task is the analysis of count data, such as read counts per gene in RNA-seq, for evidence of systematic changes across experimental conditions. Small replicate numbers, discreteness, large dynamic range and the presence of outliers require a suitable statistical approach. We present DESeq2, a method for differential analysis of count data, using shrinkage estimation for dispersions and fold changes to improve stability and interpretability of estimates. This enables a more quantitative analysis focused on the strength rather than the mere presence of differential expression. The DESeq2 package is available at http://www.bioconductor.org/packages/release/bioc/html/DESeq2.html.","container-title":"Genome Biology","DOI":"10.1186/s13059-014-0550-8","ISSN":"1474-7596","issue":"12","journalAbbreviation":"Genome Biol","page":"550","PMID":"25516281","PMCID":"PMC4302049","source":"PubMed Central","title":"Moderated estimation of fold change and dispersion for RNA-seq data with DESeq2","URL":"https://pmc.ncbi.nlm.nih.gov/articles/PMC4302049/","volume":"15","author":[{"family":"Love","given":"Michael I"},{"family":"Huber","given":"Wolfgang"},{"family":"Anders","given":"Simon"}],"accessed":{"date-parts":[["2026",5,19]]},"issued":{"date-parts":[["2014"]]}}}],"schema":"https://github.com/citation-style-language/schema/raw/master/csl-citation.json"} </w:instrText>
      </w:r>
      <w:r w:rsidR="00480A14">
        <w:fldChar w:fldCharType="separate"/>
      </w:r>
      <w:r w:rsidRPr="00C711AE">
        <w:rPr>
          <w:rFonts w:ascii="Calibri" w:hAnsi="Calibri" w:cs="Calibri"/>
        </w:rPr>
        <w:t>(24)</w:t>
      </w:r>
      <w:r w:rsidR="00480A14">
        <w:fldChar w:fldCharType="end"/>
      </w:r>
      <w:r w:rsidR="00A3604F">
        <w:t xml:space="preserve">. La identificación de estos DEGs </w:t>
      </w:r>
      <w:r w:rsidRPr="00C711AE">
        <w:t>permite caracterizar los mecanismos moleculares subyacentes a una patología, facilitando el descubrimiento de biomarcadores diagnósticos y de potenciales dianas terapéuticas</w:t>
      </w:r>
      <w:r w:rsidR="00C90666">
        <w:fldChar w:fldCharType="begin"/>
      </w:r>
      <w:r w:rsidR="004B392B">
        <w:instrText xml:space="preserve"> ADDIN ZOTERO_ITEM CSL_CITATION {"citationID":"i1vRGCV5","properties":{"unsorted":false,"formattedCitation":"(15,17)","plainCitation":"(15,17)","noteIndex":0},"citationItems":[{"id":236,"uris":["http://zotero.org/users/local/sechomLT/items/9G7U6TW7"],"itemData":{"id":236,"type":"article-journal","abstract":"RNA-Seq is a recently developed approach to transcriptome profiling that uses deep-sequencing technologies. Studies using this method have already altered our view of the extent and complexity of eukaryotic transcriptomes. RNA-Seq also provides a far more precise measurement of levels of transcripts and their isoforms than other methods. This article describes the RNA-Seq approach, the challenges associated with its application, and the advances made so far in characterizing several eukaryote transcriptomes.","container-title":"Nature reviews. Genetics","DOI":"10.1038/nrg2484","ISSN":"1471-0056","issue":"1","journalAbbreviation":"Nat Rev Genet","page":"57-63","PMID":"19015660","PMCID":"PMC2949280","source":"PubMed Central","title":"RNA-Seq: a revolutionary tool for transcriptomics","title-short":"RNA-Seq","URL":"https://pmc.ncbi.nlm.nih.gov/articles/PMC2949280/","volume":"10","author":[{"family":"Wang","given":"Zhong"},{"family":"Gerstein","given":"Mark"},{"family":"Snyder","given":"Michael"}],"accessed":{"date-parts":[["2026",8,9]]},"issued":{"date-parts":[["2009",1]]}}},{"id":241,"uris":["http://zotero.org/users/local/sechomLT/items/4I38JXMT"],"itemData":{"id":241,"type":"article-journal","abstract":"RNA-sequencing (RNA-seq) has a wide variety of applications, but no single analysis pipeline can be used in all cases. We review all of the major steps in RNA-seq data analysis, including experimental design, quality control, read alignment, quantification of gene and transcript levels, visualization, differential gene expression, alternative splicing, functional analysis, gene fusion detection and eQTL mapping. We highlight the challenges associated with each step. We discuss the analysis of small RNAs and the integration of RNA-seq with other functional genomics techniques. Finally, we discuss the outlook for novel technologies that are changing the state of the art in transcriptomics.","container-title":"Genome Biology","DOI":"10.1186/s13059-016-0881-8","ISSN":"1474-760X","issue":"1","journalAbbreviation":"Genome Biol","language":"en","page":"13","source":"Springer Link","title":"A survey of best practices for RNA-seq data analysis","URL":"https://doi.org/10.1186/s13059-016-0881-8","volume":"17","author":[{"family":"Conesa","given":"Ana"},{"family":"Madrigal","given":"Pedro"},{"family":"Tarazona","given":"Sonia"},{"family":"Gomez-Cabrero","given":"David"},{"family":"Cervera","given":"Alejandra"},{"family":"McPherson","given":"Andrew"},{"family":"Szcześniak","given":"Michał Wojciech"},{"family":"Gaffney","given":"Daniel J."},{"family":"Elo","given":"Laura L."},{"family":"Zhang","given":"Xuegong"},{"family":"Mortazavi","given":"Ali"}],"accessed":{"date-parts":[["2026",8,9]]},"issued":{"date-parts":[["2016",1,26]]}}}],"schema":"https://github.com/citation-style-language/schema/raw/master/csl-citation.json"} </w:instrText>
      </w:r>
      <w:r w:rsidR="00C90666">
        <w:fldChar w:fldCharType="separate"/>
      </w:r>
      <w:r w:rsidR="004B392B" w:rsidRPr="004B392B">
        <w:rPr>
          <w:rFonts w:ascii="Calibri" w:hAnsi="Calibri" w:cs="Calibri"/>
        </w:rPr>
        <w:t>(15,17)</w:t>
      </w:r>
      <w:r w:rsidR="00C90666">
        <w:fldChar w:fldCharType="end"/>
      </w:r>
      <w:r w:rsidRPr="00C711AE">
        <w:t>.</w:t>
      </w:r>
    </w:p>
    <w:p w14:paraId="32893B62" w14:textId="25161637" w:rsidR="00C90666" w:rsidRPr="00C90666" w:rsidRDefault="00C90666" w:rsidP="00C90666">
      <w:r w:rsidRPr="00C90666">
        <w:lastRenderedPageBreak/>
        <w:t xml:space="preserve">Para llevar a cabo esta identificación de forma rigurosa es necesario considerar la naturaleza matemática de las matrices de recuentos obtenidas tras la cuantificación. A diferencia de tecnologías previas como los </w:t>
      </w:r>
      <w:proofErr w:type="spellStart"/>
      <w:r w:rsidRPr="00C90666">
        <w:rPr>
          <w:i/>
          <w:iCs/>
        </w:rPr>
        <w:t>microarrays</w:t>
      </w:r>
      <w:proofErr w:type="spellEnd"/>
      <w:r>
        <w:rPr>
          <w:i/>
          <w:iCs/>
        </w:rPr>
        <w:fldChar w:fldCharType="begin"/>
      </w:r>
      <w:r>
        <w:rPr>
          <w:i/>
          <w:iCs/>
        </w:rPr>
        <w:instrText xml:space="preserve"> ADDIN ZOTERO_ITEM CSL_CITATION {"citationID":"GwF7XSig","properties":{"unsorted":false,"formattedCitation":"(25)","plainCitation":"(25)","noteIndex":0},"citationItems":[{"id":255,"uris":["http://zotero.org/users/local/sechomLT/items/26V54ENY"],"itemData":{"id":255,"type":"article-journal","abstract":"Summary: It is expected that emerging digital gene expression (DGE) technologies will overtake microarray technologies in the near future for many functional genomics applications. One of the fundamental data analysis tasks, especially for gene expression studies, involves determining whether there is evidence that counts for a transcript or exon are significantly different across experimental conditions. edgeR is a Bioconductor software package for examining differential expression of replicated count data. An overdispersed Poisson model is used to account for both biological and technical variability. Empirical Bayes methods are used to moderate the degree of overdispersion across transcripts, improving the reliability of inference. The methodology can be used even with the most minimal levels of replication, provided at least one phenotype or experimental condition is replicated. The software may have other applications beyond sequencing data, such as proteome peptide count data., Availability: The package is freely available under the LGPL licence from the Bioconductor web site (http://bioconductor.org)., Contact: mrobinson@wehi.edu.au","container-title":"Bioinformatics","DOI":"10.1093/bioinformatics/btp616","ISSN":"1367-4803","issue":"1","journalAbbreviation":"Bioinformatics","page":"139-140","PMID":"19910308","PMCID":"PMC2796818","source":"PubMed Central","title":"edgeR: a Bioconductor package for differential expression analysis of digital gene expression data","title-short":"edgeR","URL":"https://pmc.ncbi.nlm.nih.gov/articles/PMC2796818/","volume":"26","author":[{"family":"Robinson","given":"Mark D."},{"family":"McCarthy","given":"Davis J."},{"family":"Smyth","given":"Gordon K."}],"accessed":{"date-parts":[["2026",8,18]]},"issued":{"date-parts":[["2010",1,1]]}}}],"schema":"https://github.com/citation-style-language/schema/raw/master/csl-citation.json"} </w:instrText>
      </w:r>
      <w:r>
        <w:rPr>
          <w:i/>
          <w:iCs/>
        </w:rPr>
        <w:fldChar w:fldCharType="separate"/>
      </w:r>
      <w:r w:rsidR="00B976C4" w:rsidRPr="00B976C4">
        <w:rPr>
          <w:rFonts w:ascii="Calibri" w:hAnsi="Calibri" w:cs="Calibri"/>
          <w:i/>
          <w:iCs/>
        </w:rPr>
        <w:t>(25)</w:t>
      </w:r>
      <w:r>
        <w:rPr>
          <w:i/>
          <w:iCs/>
        </w:rPr>
        <w:fldChar w:fldCharType="end"/>
      </w:r>
      <w:r w:rsidRPr="00C90666">
        <w:t>, que generaban señales continuas de fluorescencia</w:t>
      </w:r>
      <w:r w:rsidR="001035E4">
        <w:fldChar w:fldCharType="begin"/>
      </w:r>
      <w:r w:rsidR="001035E4">
        <w:instrText xml:space="preserve"> ADDIN ZOTERO_ITEM CSL_CITATION {"citationID":"My1MjsY9","properties":{"unsorted":false,"formattedCitation":"(15,25)","plainCitation":"(15,25)","noteIndex":0},"citationItems":[{"id":236,"uris":["http://zotero.org/users/local/sechomLT/items/9G7U6TW7"],"itemData":{"id":236,"type":"article-journal","abstract":"RNA-Seq is a recently developed approach to transcriptome profiling that uses deep-sequencing technologies. Studies using this method have already altered our view of the extent and complexity of eukaryotic transcriptomes. RNA-Seq also provides a far more precise measurement of levels of transcripts and their isoforms than other methods. This article describes the RNA-Seq approach, the challenges associated with its application, and the advances made so far in characterizing several eukaryote transcriptomes.","container-title":"Nature reviews. Genetics","DOI":"10.1038/nrg2484","ISSN":"1471-0056","issue":"1","journalAbbreviation":"Nat Rev Genet","page":"57-63","PMID":"19015660","PMCID":"PMC2949280","source":"PubMed Central","title":"RNA-Seq: a revolutionary tool for transcriptomics","title-short":"RNA-Seq","URL":"https://pmc.ncbi.nlm.nih.gov/articles/PMC2949280/","volume":"10","author":[{"family":"Wang","given":"Zhong"},{"family":"Gerstein","given":"Mark"},{"family":"Snyder","given":"Michael"}],"accessed":{"date-parts":[["2026",8,9]]},"issued":{"date-parts":[["2009",1]]}}},{"id":255,"uris":["http://zotero.org/users/local/sechomLT/items/26V54ENY"],"itemData":{"id":255,"type":"article-journal","abstract":"Summary: It is expected that emerging digital gene expression (DGE) technologies will overtake microarray technologies in the near future for many functional genomics applications. One of the fundamental data analysis tasks, especially for gene expression studies, involves determining whether there is evidence that counts for a transcript or exon are significantly different across experimental conditions. edgeR is a Bioconductor software package for examining differential expression of replicated count data. An overdispersed Poisson model is used to account for both biological and technical variability. Empirical Bayes methods are used to moderate the degree of overdispersion across transcripts, improving the reliability of inference. The methodology can be used even with the most minimal levels of replication, provided at least one phenotype or experimental condition is replicated. The software may have other applications beyond sequencing data, such as proteome peptide count data., Availability: The package is freely available under the LGPL licence from the Bioconductor web site (http://bioconductor.org)., Contact: mrobinson@wehi.edu.au","container-title":"Bioinformatics","DOI":"10.1093/bioinformatics/btp616","ISSN":"1367-4803","issue":"1","journalAbbreviation":"Bioinformatics","page":"139-140","PMID":"19910308","PMCID":"PMC2796818","source":"PubMed Central","title":"edgeR: a Bioconductor package for differential expression analysis of digital gene expression data","title-short":"edgeR","URL":"https://pmc.ncbi.nlm.nih.gov/articles/PMC2796818/","volume":"26","author":[{"family":"Robinson","given":"Mark D."},{"family":"McCarthy","given":"Davis J."},{"family":"Smyth","given":"Gordon K."}],"accessed":{"date-parts":[["2026",8,18]]},"issued":{"date-parts":[["2010",1,1]]}}}],"schema":"https://github.com/citation-style-language/schema/raw/master/csl-citation.json"} </w:instrText>
      </w:r>
      <w:r w:rsidR="001035E4">
        <w:fldChar w:fldCharType="separate"/>
      </w:r>
      <w:r w:rsidR="001035E4" w:rsidRPr="001035E4">
        <w:rPr>
          <w:rFonts w:ascii="Calibri" w:hAnsi="Calibri" w:cs="Calibri"/>
        </w:rPr>
        <w:t>(15,25)</w:t>
      </w:r>
      <w:r w:rsidR="001035E4">
        <w:fldChar w:fldCharType="end"/>
      </w:r>
      <w:r w:rsidRPr="00C90666">
        <w:t xml:space="preserve">, los datos de </w:t>
      </w:r>
      <w:proofErr w:type="spellStart"/>
      <w:r w:rsidRPr="00C90666">
        <w:rPr>
          <w:i/>
          <w:iCs/>
        </w:rPr>
        <w:t>bulk</w:t>
      </w:r>
      <w:proofErr w:type="spellEnd"/>
      <w:r w:rsidRPr="00C90666">
        <w:rPr>
          <w:i/>
          <w:iCs/>
        </w:rPr>
        <w:t xml:space="preserve"> RNA-</w:t>
      </w:r>
      <w:proofErr w:type="spellStart"/>
      <w:r w:rsidRPr="00C90666">
        <w:rPr>
          <w:i/>
          <w:iCs/>
        </w:rPr>
        <w:t>seq</w:t>
      </w:r>
      <w:proofErr w:type="spellEnd"/>
      <w:r w:rsidRPr="00C90666">
        <w:t xml:space="preserve"> consisten en recuentos discretos expresados en números enteros no negativos</w:t>
      </w:r>
      <w:r w:rsidR="001035E4">
        <w:fldChar w:fldCharType="begin"/>
      </w:r>
      <w:r w:rsidR="001035E4">
        <w:instrText xml:space="preserve"> ADDIN ZOTERO_ITEM CSL_CITATION {"citationID":"cgXblr2U","properties":{"unsorted":false,"formattedCitation":"(24,25)","plainCitation":"(24,25)","noteIndex":0},"citationItems":[{"id":53,"uris":["http://zotero.org/users/local/sechomLT/items/CHFZ8DMY"],"itemData":{"id":53,"type":"article-journal","abstract":"In comparative high-throughput sequencing assays, a fundamental task is the analysis of count data, such as read counts per gene in RNA-seq, for evidence of systematic changes across experimental conditions. Small replicate numbers, discreteness, large dynamic range and the presence of outliers require a suitable statistical approach. We present DESeq2, a method for differential analysis of count data, using shrinkage estimation for dispersions and fold changes to improve stability and interpretability of estimates. This enables a more quantitative analysis focused on the strength rather than the mere presence of differential expression. The DESeq2 package is available at http://www.bioconductor.org/packages/release/bioc/html/DESeq2.html.","container-title":"Genome Biology","DOI":"10.1186/s13059-014-0550-8","ISSN":"1474-7596","issue":"12","journalAbbreviation":"Genome Biol","page":"550","PMID":"25516281","PMCID":"PMC4302049","source":"PubMed Central","title":"Moderated estimation of fold change and dispersion for RNA-seq data with DESeq2","URL":"https://pmc.ncbi.nlm.nih.gov/articles/PMC4302049/","volume":"15","author":[{"family":"Love","given":"Michael I"},{"family":"Huber","given":"Wolfgang"},{"family":"Anders","given":"Simon"}],"accessed":{"date-parts":[["2026",5,19]]},"issued":{"date-parts":[["2014"]]}}},{"id":255,"uris":["http://zotero.org/users/local/sechomLT/items/26V54ENY"],"itemData":{"id":255,"type":"article-journal","abstract":"Summary: It is expected that emerging digital gene expression (DGE) technologies will overtake microarray technologies in the near future for many functional genomics applications. One of the fundamental data analysis tasks, especially for gene expression studies, involves determining whether there is evidence that counts for a transcript or exon are significantly different across experimental conditions. edgeR is a Bioconductor software package for examining differential expression of replicated count data. An overdispersed Poisson model is used to account for both biological and technical variability. Empirical Bayes methods are used to moderate the degree of overdispersion across transcripts, improving the reliability of inference. The methodology can be used even with the most minimal levels of replication, provided at least one phenotype or experimental condition is replicated. The software may have other applications beyond sequencing data, such as proteome peptide count data., Availability: The package is freely available under the LGPL licence from the Bioconductor web site (http://bioconductor.org)., Contact: mrobinson@wehi.edu.au","container-title":"Bioinformatics","DOI":"10.1093/bioinformatics/btp616","ISSN":"1367-4803","issue":"1","journalAbbreviation":"Bioinformatics","page":"139-140","PMID":"19910308","PMCID":"PMC2796818","source":"PubMed Central","title":"edgeR: a Bioconductor package for differential expression analysis of digital gene expression data","title-short":"edgeR","URL":"https://pmc.ncbi.nlm.nih.gov/articles/PMC2796818/","volume":"26","author":[{"family":"Robinson","given":"Mark D."},{"family":"McCarthy","given":"Davis J."},{"family":"Smyth","given":"Gordon K."}],"accessed":{"date-parts":[["2026",8,18]]},"issued":{"date-parts":[["2010",1,1]]}}}],"schema":"https://github.com/citation-style-language/schema/raw/master/csl-citation.json"} </w:instrText>
      </w:r>
      <w:r w:rsidR="001035E4">
        <w:fldChar w:fldCharType="separate"/>
      </w:r>
      <w:r w:rsidR="001035E4" w:rsidRPr="001035E4">
        <w:rPr>
          <w:rFonts w:ascii="Calibri" w:hAnsi="Calibri" w:cs="Calibri"/>
        </w:rPr>
        <w:t>(24,25)</w:t>
      </w:r>
      <w:r w:rsidR="001035E4">
        <w:fldChar w:fldCharType="end"/>
      </w:r>
      <w:r w:rsidR="00FA5743">
        <w:t xml:space="preserve">. </w:t>
      </w:r>
      <w:r w:rsidR="00FA5743" w:rsidRPr="00FA5743">
        <w:t>La variabilidad técnica entre réplicas de secuenciación puede aproximarse mediante una distribución de Poisson, en la cual la media equivale a la varianz</w:t>
      </w:r>
      <w:r w:rsidR="00FA5743">
        <w:t>a</w:t>
      </w:r>
      <w:r w:rsidR="00FA5743">
        <w:fldChar w:fldCharType="begin"/>
      </w:r>
      <w:r w:rsidR="00FA5743">
        <w:instrText xml:space="preserve"> ADDIN ZOTERO_ITEM CSL_CITATION {"citationID":"5eVxQGXW","properties":{"unsorted":false,"formattedCitation":"(25)","plainCitation":"(25)","noteIndex":0},"citationItems":[{"id":255,"uris":["http://zotero.org/users/local/sechomLT/items/26V54ENY"],"itemData":{"id":255,"type":"article-journal","abstract":"Summary: It is expected that emerging digital gene expression (DGE) technologies will overtake microarray technologies in the near future for many functional genomics applications. One of the fundamental data analysis tasks, especially for gene expression studies, involves determining whether there is evidence that counts for a transcript or exon are significantly different across experimental conditions. edgeR is a Bioconductor software package for examining differential expression of replicated count data. An overdispersed Poisson model is used to account for both biological and technical variability. Empirical Bayes methods are used to moderate the degree of overdispersion across transcripts, improving the reliability of inference. The methodology can be used even with the most minimal levels of replication, provided at least one phenotype or experimental condition is replicated. The software may have other applications beyond sequencing data, such as proteome peptide count data., Availability: The package is freely available under the LGPL licence from the Bioconductor web site (http://bioconductor.org)., Contact: mrobinson@wehi.edu.au","container-title":"Bioinformatics","DOI":"10.1093/bioinformatics/btp616","ISSN":"1367-4803","issue":"1","journalAbbreviation":"Bioinformatics","page":"139-140","PMID":"19910308","PMCID":"PMC2796818","source":"PubMed Central","title":"edgeR: a Bioconductor package for differential expression analysis of digital gene expression data","title-short":"edgeR","URL":"https://pmc.ncbi.nlm.nih.gov/articles/PMC2796818/","volume":"26","author":[{"family":"Robinson","given":"Mark D."},{"family":"McCarthy","given":"Davis J."},{"family":"Smyth","given":"Gordon K."}],"accessed":{"date-parts":[["2026",8,18]]},"issued":{"date-parts":[["2010",1,1]]}}}],"schema":"https://github.com/citation-style-language/schema/raw/master/csl-citation.json"} </w:instrText>
      </w:r>
      <w:r w:rsidR="00FA5743">
        <w:fldChar w:fldCharType="separate"/>
      </w:r>
      <w:r w:rsidR="00FA5743" w:rsidRPr="00FA5743">
        <w:rPr>
          <w:rFonts w:ascii="Calibri" w:hAnsi="Calibri" w:cs="Calibri"/>
        </w:rPr>
        <w:t>(25)</w:t>
      </w:r>
      <w:r w:rsidR="00FA5743">
        <w:fldChar w:fldCharType="end"/>
      </w:r>
      <w:r w:rsidR="00FA5743" w:rsidRPr="00FA5743">
        <w:t xml:space="preserve">. Sin embargo, las muestras biológicas reales presentan una heterogeneidad intrínseca que genera </w:t>
      </w:r>
      <w:proofErr w:type="spellStart"/>
      <w:r w:rsidR="00FA5743" w:rsidRPr="00FA5743">
        <w:t>sobredispersión</w:t>
      </w:r>
      <w:proofErr w:type="spellEnd"/>
      <w:r w:rsidR="00FA5743" w:rsidRPr="00FA5743">
        <w:t>, provocando que la varianza supere ampliamente a la media</w:t>
      </w:r>
      <w:r w:rsidR="00FA5743">
        <w:fldChar w:fldCharType="begin"/>
      </w:r>
      <w:r w:rsidR="00FA5743">
        <w:instrText xml:space="preserve"> ADDIN ZOTERO_ITEM CSL_CITATION {"citationID":"TRglpgfc","properties":{"unsorted":false,"formattedCitation":"(17,25)","plainCitation":"(17,25)","noteIndex":0},"citationItems":[{"id":241,"uris":["http://zotero.org/users/local/sechomLT/items/4I38JXMT"],"itemData":{"id":241,"type":"article-journal","abstract":"RNA-sequencing (RNA-seq) has a wide variety of applications, but no single analysis pipeline can be used in all cases. We review all of the major steps in RNA-seq data analysis, including experimental design, quality control, read alignment, quantification of gene and transcript levels, visualization, differential gene expression, alternative splicing, functional analysis, gene fusion detection and eQTL mapping. We highlight the challenges associated with each step. We discuss the analysis of small RNAs and the integration of RNA-seq with other functional genomics techniques. Finally, we discuss the outlook for novel technologies that are changing the state of the art in transcriptomics.","container-title":"Genome Biology","DOI":"10.1186/s13059-016-0881-8","ISSN":"1474-760X","issue":"1","journalAbbreviation":"Genome Biol","language":"en","page":"13","source":"Springer Link","title":"A survey of best practices for RNA-seq data analysis","URL":"https://doi.org/10.1186/s13059-016-0881-8","volume":"17","author":[{"family":"Conesa","given":"Ana"},{"family":"Madrigal","given":"Pedro"},{"family":"Tarazona","given":"Sonia"},{"family":"Gomez-Cabrero","given":"David"},{"family":"Cervera","given":"Alejandra"},{"family":"McPherson","given":"Andrew"},{"family":"Szcześniak","given":"Michał Wojciech"},{"family":"Gaffney","given":"Daniel J."},{"family":"Elo","given":"Laura L."},{"family":"Zhang","given":"Xuegong"},{"family":"Mortazavi","given":"Ali"}],"accessed":{"date-parts":[["2026",8,9]]},"issued":{"date-parts":[["2016",1,26]]}}},{"id":255,"uris":["http://zotero.org/users/local/sechomLT/items/26V54ENY"],"itemData":{"id":255,"type":"article-journal","abstract":"Summary: It is expected that emerging digital gene expression (DGE) technologies will overtake microarray technologies in the near future for many functional genomics applications. One of the fundamental data analysis tasks, especially for gene expression studies, involves determining whether there is evidence that counts for a transcript or exon are significantly different across experimental conditions. edgeR is a Bioconductor software package for examining differential expression of replicated count data. An overdispersed Poisson model is used to account for both biological and technical variability. Empirical Bayes methods are used to moderate the degree of overdispersion across transcripts, improving the reliability of inference. The methodology can be used even with the most minimal levels of replication, provided at least one phenotype or experimental condition is replicated. The software may have other applications beyond sequencing data, such as proteome peptide count data., Availability: The package is freely available under the LGPL licence from the Bioconductor web site (http://bioconductor.org)., Contact: mrobinson@wehi.edu.au","container-title":"Bioinformatics","DOI":"10.1093/bioinformatics/btp616","ISSN":"1367-4803","issue":"1","journalAbbreviation":"Bioinformatics","page":"139-140","PMID":"19910308","PMCID":"PMC2796818","source":"PubMed Central","title":"edgeR: a Bioconductor package for differential expression analysis of digital gene expression data","title-short":"edgeR","URL":"https://pmc.ncbi.nlm.nih.gov/articles/PMC2796818/","volume":"26","author":[{"family":"Robinson","given":"Mark D."},{"family":"McCarthy","given":"Davis J."},{"family":"Smyth","given":"Gordon K."}],"accessed":{"date-parts":[["2026",8,18]]},"issued":{"date-parts":[["2010",1,1]]}}}],"schema":"https://github.com/citation-style-language/schema/raw/master/csl-citation.json"} </w:instrText>
      </w:r>
      <w:r w:rsidR="00FA5743">
        <w:fldChar w:fldCharType="separate"/>
      </w:r>
      <w:r w:rsidR="00FA5743" w:rsidRPr="00FA5743">
        <w:rPr>
          <w:rFonts w:ascii="Calibri" w:hAnsi="Calibri" w:cs="Calibri"/>
        </w:rPr>
        <w:t>(17,25)</w:t>
      </w:r>
      <w:r w:rsidR="00FA5743">
        <w:fldChar w:fldCharType="end"/>
      </w:r>
      <w:r w:rsidR="00FA5743" w:rsidRPr="00FA5743">
        <w:t>.</w:t>
      </w:r>
      <w:r w:rsidRPr="00C90666">
        <w:t xml:space="preserve"> Como consecuencia de esta distribución asimétrica y discreta, los modelos estadísticos gaussianos tradicionales </w:t>
      </w:r>
      <w:r w:rsidR="00FA5743">
        <w:t>(</w:t>
      </w:r>
      <w:r w:rsidRPr="00C90666">
        <w:t xml:space="preserve">como la prueba </w:t>
      </w:r>
      <w:r w:rsidRPr="00C90666">
        <w:rPr>
          <w:i/>
          <w:iCs/>
        </w:rPr>
        <w:t>t</w:t>
      </w:r>
      <w:r w:rsidRPr="00C90666">
        <w:t xml:space="preserve"> de Student o el ANOVA) no resultan válidos, ya que asumen una distribución normal continua y una homogeneidad de varianzas que no se cumplen en los datos de secuenciación masiva</w:t>
      </w:r>
      <w:r w:rsidR="00FA5743">
        <w:fldChar w:fldCharType="begin"/>
      </w:r>
      <w:r w:rsidR="00FA5743">
        <w:instrText xml:space="preserve"> ADDIN ZOTERO_ITEM CSL_CITATION {"citationID":"SHxWMhnb","properties":{"unsorted":false,"formattedCitation":"(24)","plainCitation":"(24)","noteIndex":0},"citationItems":[{"id":53,"uris":["http://zotero.org/users/local/sechomLT/items/CHFZ8DMY"],"itemData":{"id":53,"type":"article-journal","abstract":"In comparative high-throughput sequencing assays, a fundamental task is the analysis of count data, such as read counts per gene in RNA-seq, for evidence of systematic changes across experimental conditions. Small replicate numbers, discreteness, large dynamic range and the presence of outliers require a suitable statistical approach. We present DESeq2, a method for differential analysis of count data, using shrinkage estimation for dispersions and fold changes to improve stability and interpretability of estimates. This enables a more quantitative analysis focused on the strength rather than the mere presence of differential expression. The DESeq2 package is available at http://www.bioconductor.org/packages/release/bioc/html/DESeq2.html.","container-title":"Genome Biology","DOI":"10.1186/s13059-014-0550-8","ISSN":"1474-7596","issue":"12","journalAbbreviation":"Genome Biol","page":"550","PMID":"25516281","PMCID":"PMC4302049","source":"PubMed Central","title":"Moderated estimation of fold change and dispersion for RNA-seq data with DESeq2","URL":"https://pmc.ncbi.nlm.nih.gov/articles/PMC4302049/","volume":"15","author":[{"family":"Love","given":"Michael I"},{"family":"Huber","given":"Wolfgang"},{"family":"Anders","given":"Simon"}],"accessed":{"date-parts":[["2026",5,19]]},"issued":{"date-parts":[["2014"]]}}}],"schema":"https://github.com/citation-style-language/schema/raw/master/csl-citation.json"} </w:instrText>
      </w:r>
      <w:r w:rsidR="00FA5743">
        <w:fldChar w:fldCharType="separate"/>
      </w:r>
      <w:r w:rsidR="00FA5743" w:rsidRPr="00FA5743">
        <w:rPr>
          <w:rFonts w:ascii="Calibri" w:hAnsi="Calibri" w:cs="Calibri"/>
        </w:rPr>
        <w:t>(24)</w:t>
      </w:r>
      <w:r w:rsidR="00FA5743">
        <w:fldChar w:fldCharType="end"/>
      </w:r>
      <w:r w:rsidRPr="00C90666">
        <w:t>.</w:t>
      </w:r>
    </w:p>
    <w:p w14:paraId="76EB8A15" w14:textId="0D885975" w:rsidR="00DB4B9A" w:rsidRPr="00DB4B9A" w:rsidRDefault="00DB4B9A" w:rsidP="00DB4B9A">
      <w:r w:rsidRPr="00DB4B9A">
        <w:t xml:space="preserve">Para solucionar el problema de la </w:t>
      </w:r>
      <w:proofErr w:type="spellStart"/>
      <w:r w:rsidRPr="00DB4B9A">
        <w:t>sobredispersión</w:t>
      </w:r>
      <w:proofErr w:type="spellEnd"/>
      <w:r w:rsidRPr="00DB4B9A">
        <w:t>, el análisis transcriptómico utiliza la distribución binomial negativa</w:t>
      </w:r>
      <w:r>
        <w:fldChar w:fldCharType="begin"/>
      </w:r>
      <w:r>
        <w:instrText xml:space="preserve"> ADDIN ZOTERO_ITEM CSL_CITATION {"citationID":"7WuCRvef","properties":{"unsorted":false,"formattedCitation":"(17,24,25)","plainCitation":"(17,24,25)","noteIndex":0},"citationItems":[{"id":241,"uris":["http://zotero.org/users/local/sechomLT/items/4I38JXMT"],"itemData":{"id":241,"type":"article-journal","abstract":"RNA-sequencing (RNA-seq) has a wide variety of applications, but no single analysis pipeline can be used in all cases. We review all of the major steps in RNA-seq data analysis, including experimental design, quality control, read alignment, quantification of gene and transcript levels, visualization, differential gene expression, alternative splicing, functional analysis, gene fusion detection and eQTL mapping. We highlight the challenges associated with each step. We discuss the analysis of small RNAs and the integration of RNA-seq with other functional genomics techniques. Finally, we discuss the outlook for novel technologies that are changing the state of the art in transcriptomics.","container-title":"Genome Biology","DOI":"10.1186/s13059-016-0881-8","ISSN":"1474-760X","issue":"1","journalAbbreviation":"Genome Biol","language":"en","page":"13","source":"Springer Link","title":"A survey of best practices for RNA-seq data analysis","URL":"https://doi.org/10.1186/s13059-016-0881-8","volume":"17","author":[{"family":"Conesa","given":"Ana"},{"family":"Madrigal","given":"Pedro"},{"family":"Tarazona","given":"Sonia"},{"family":"Gomez-Cabrero","given":"David"},{"family":"Cervera","given":"Alejandra"},{"family":"McPherson","given":"Andrew"},{"family":"Szcześniak","given":"Michał Wojciech"},{"family":"Gaffney","given":"Daniel J."},{"family":"Elo","given":"Laura L."},{"family":"Zhang","given":"Xuegong"},{"family":"Mortazavi","given":"Ali"}],"accessed":{"date-parts":[["2026",8,9]]},"issued":{"date-parts":[["2016",1,26]]}}},{"id":53,"uris":["http://zotero.org/users/local/sechomLT/items/CHFZ8DMY"],"itemData":{"id":53,"type":"article-journal","abstract":"In comparative high-throughput sequencing assays, a fundamental task is the analysis of count data, such as read counts per gene in RNA-seq, for evidence of systematic changes across experimental conditions. Small replicate numbers, discreteness, large dynamic range and the presence of outliers require a suitable statistical approach. We present DESeq2, a method for differential analysis of count data, using shrinkage estimation for dispersions and fold changes to improve stability and interpretability of estimates. This enables a more quantitative analysis focused on the strength rather than the mere presence of differential expression. The DESeq2 package is available at http://www.bioconductor.org/packages/release/bioc/html/DESeq2.html.","container-title":"Genome Biology","DOI":"10.1186/s13059-014-0550-8","ISSN":"1474-7596","issue":"12","journalAbbreviation":"Genome Biol","page":"550","PMID":"25516281","PMCID":"PMC4302049","source":"PubMed Central","title":"Moderated estimation of fold change and dispersion for RNA-seq data with DESeq2","URL":"https://pmc.ncbi.nlm.nih.gov/articles/PMC4302049/","volume":"15","author":[{"family":"Love","given":"Michael I"},{"family":"Huber","given":"Wolfgang"},{"family":"Anders","given":"Simon"}],"accessed":{"date-parts":[["2026",5,19]]},"issued":{"date-parts":[["2014"]]}}},{"id":255,"uris":["http://zotero.org/users/local/sechomLT/items/26V54ENY"],"itemData":{"id":255,"type":"article-journal","abstract":"Summary: It is expected that emerging digital gene expression (DGE) technologies will overtake microarray technologies in the near future for many functional genomics applications. One of the fundamental data analysis tasks, especially for gene expression studies, involves determining whether there is evidence that counts for a transcript or exon are significantly different across experimental conditions. edgeR is a Bioconductor software package for examining differential expression of replicated count data. An overdispersed Poisson model is used to account for both biological and technical variability. Empirical Bayes methods are used to moderate the degree of overdispersion across transcripts, improving the reliability of inference. The methodology can be used even with the most minimal levels of replication, provided at least one phenotype or experimental condition is replicated. The software may have other applications beyond sequencing data, such as proteome peptide count data., Availability: The package is freely available under the LGPL licence from the Bioconductor web site (http://bioconductor.org)., Contact: mrobinson@wehi.edu.au","container-title":"Bioinformatics","DOI":"10.1093/bioinformatics/btp616","ISSN":"1367-4803","issue":"1","journalAbbreviation":"Bioinformatics","page":"139-140","PMID":"19910308","PMCID":"PMC2796818","source":"PubMed Central","title":"edgeR: a Bioconductor package for differential expression analysis of digital gene expression data","title-short":"edgeR","URL":"https://pmc.ncbi.nlm.nih.gov/articles/PMC2796818/","volume":"26","author":[{"family":"Robinson","given":"Mark D."},{"family":"McCarthy","given":"Davis J."},{"family":"Smyth","given":"Gordon K."}],"accessed":{"date-parts":[["2026",8,18]]},"issued":{"date-parts":[["2010",1,1]]}}}],"schema":"https://github.com/citation-style-language/schema/raw/master/csl-citation.json"} </w:instrText>
      </w:r>
      <w:r>
        <w:fldChar w:fldCharType="separate"/>
      </w:r>
      <w:r w:rsidRPr="00DB4B9A">
        <w:rPr>
          <w:rFonts w:ascii="Calibri" w:hAnsi="Calibri" w:cs="Calibri"/>
        </w:rPr>
        <w:t>(17,24,25)</w:t>
      </w:r>
      <w:r>
        <w:fldChar w:fldCharType="end"/>
      </w:r>
      <w:r w:rsidRPr="00DB4B9A">
        <w:t>. Este modelo matemático resulta idóneo para los datos de recuentos de ARN porque añade un parámetro de dispersión que permite que la varianza sea mayor que la media</w:t>
      </w:r>
      <w:r>
        <w:fldChar w:fldCharType="begin"/>
      </w:r>
      <w:r>
        <w:instrText xml:space="preserve"> ADDIN ZOTERO_ITEM CSL_CITATION {"citationID":"a4n2fsd8","properties":{"unsorted":false,"formattedCitation":"(17,24,25)","plainCitation":"(17,24,25)","noteIndex":0},"citationItems":[{"id":241,"uris":["http://zotero.org/users/local/sechomLT/items/4I38JXMT"],"itemData":{"id":241,"type":"article-journal","abstract":"RNA-sequencing (RNA-seq) has a wide variety of applications, but no single analysis pipeline can be used in all cases. We review all of the major steps in RNA-seq data analysis, including experimental design, quality control, read alignment, quantification of gene and transcript levels, visualization, differential gene expression, alternative splicing, functional analysis, gene fusion detection and eQTL mapping. We highlight the challenges associated with each step. We discuss the analysis of small RNAs and the integration of RNA-seq with other functional genomics techniques. Finally, we discuss the outlook for novel technologies that are changing the state of the art in transcriptomics.","container-title":"Genome Biology","DOI":"10.1186/s13059-016-0881-8","ISSN":"1474-760X","issue":"1","journalAbbreviation":"Genome Biol","language":"en","page":"13","source":"Springer Link","title":"A survey of best practices for RNA-seq data analysis","URL":"https://doi.org/10.1186/s13059-016-0881-8","volume":"17","author":[{"family":"Conesa","given":"Ana"},{"family":"Madrigal","given":"Pedro"},{"family":"Tarazona","given":"Sonia"},{"family":"Gomez-Cabrero","given":"David"},{"family":"Cervera","given":"Alejandra"},{"family":"McPherson","given":"Andrew"},{"family":"Szcześniak","given":"Michał Wojciech"},{"family":"Gaffney","given":"Daniel J."},{"family":"Elo","given":"Laura L."},{"family":"Zhang","given":"Xuegong"},{"family":"Mortazavi","given":"Ali"}],"accessed":{"date-parts":[["2026",8,9]]},"issued":{"date-parts":[["2016",1,26]]}}},{"id":53,"uris":["http://zotero.org/users/local/sechomLT/items/CHFZ8DMY"],"itemData":{"id":53,"type":"article-journal","abstract":"In comparative high-throughput sequencing assays, a fundamental task is the analysis of count data, such as read counts per gene in RNA-seq, for evidence of systematic changes across experimental conditions. Small replicate numbers, discreteness, large dynamic range and the presence of outliers require a suitable statistical approach. We present DESeq2, a method for differential analysis of count data, using shrinkage estimation for dispersions and fold changes to improve stability and interpretability of estimates. This enables a more quantitative analysis focused on the strength rather than the mere presence of differential expression. The DESeq2 package is available at http://www.bioconductor.org/packages/release/bioc/html/DESeq2.html.","container-title":"Genome Biology","DOI":"10.1186/s13059-014-0550-8","ISSN":"1474-7596","issue":"12","journalAbbreviation":"Genome Biol","page":"550","PMID":"25516281","PMCID":"PMC4302049","source":"PubMed Central","title":"Moderated estimation of fold change and dispersion for RNA-seq data with DESeq2","URL":"https://pmc.ncbi.nlm.nih.gov/articles/PMC4302049/","volume":"15","author":[{"family":"Love","given":"Michael I"},{"family":"Huber","given":"Wolfgang"},{"family":"Anders","given":"Simon"}],"accessed":{"date-parts":[["2026",5,19]]},"issued":{"date-parts":[["2014"]]}}},{"id":255,"uris":["http://zotero.org/users/local/sechomLT/items/26V54ENY"],"itemData":{"id":255,"type":"article-journal","abstract":"Summary: It is expected that emerging digital gene expression (DGE) technologies will overtake microarray technologies in the near future for many functional genomics applications. One of the fundamental data analysis tasks, especially for gene expression studies, involves determining whether there is evidence that counts for a transcript or exon are significantly different across experimental conditions. edgeR is a Bioconductor software package for examining differential expression of replicated count data. An overdispersed Poisson model is used to account for both biological and technical variability. Empirical Bayes methods are used to moderate the degree of overdispersion across transcripts, improving the reliability of inference. The methodology can be used even with the most minimal levels of replication, provided at least one phenotype or experimental condition is replicated. The software may have other applications beyond sequencing data, such as proteome peptide count data., Availability: The package is freely available under the LGPL licence from the Bioconductor web site (http://bioconductor.org)., Contact: mrobinson@wehi.edu.au","container-title":"Bioinformatics","DOI":"10.1093/bioinformatics/btp616","ISSN":"1367-4803","issue":"1","journalAbbreviation":"Bioinformatics","page":"139-140","PMID":"19910308","PMCID":"PMC2796818","source":"PubMed Central","title":"edgeR: a Bioconductor package for differential expression analysis of digital gene expression data","title-short":"edgeR","URL":"https://pmc.ncbi.nlm.nih.gov/articles/PMC2796818/","volume":"26","author":[{"family":"Robinson","given":"Mark D."},{"family":"McCarthy","given":"Davis J."},{"family":"Smyth","given":"Gordon K."}],"accessed":{"date-parts":[["2026",8,18]]},"issued":{"date-parts":[["2010",1,1]]}}}],"schema":"https://github.com/citation-style-language/schema/raw/master/csl-citation.json"} </w:instrText>
      </w:r>
      <w:r>
        <w:fldChar w:fldCharType="separate"/>
      </w:r>
      <w:r w:rsidRPr="00DB4B9A">
        <w:rPr>
          <w:rFonts w:ascii="Calibri" w:hAnsi="Calibri" w:cs="Calibri"/>
        </w:rPr>
        <w:t>(17,24,25)</w:t>
      </w:r>
      <w:r>
        <w:fldChar w:fldCharType="end"/>
      </w:r>
      <w:r w:rsidRPr="00DB4B9A">
        <w:t>. De esta forma, el modelo captura con precisión la variabilidad biológica real entre pacientes, manteniendo una gran fiabilidad estadística incluso cuando se trabaja con pocas muestras o con cohortes heterogéneas</w:t>
      </w:r>
      <w:r w:rsidR="00626873">
        <w:fldChar w:fldCharType="begin"/>
      </w:r>
      <w:r w:rsidR="00626873">
        <w:instrText xml:space="preserve"> ADDIN ZOTERO_ITEM CSL_CITATION {"citationID":"DqlSfXTe","properties":{"unsorted":false,"formattedCitation":"(24)","plainCitation":"(24)","noteIndex":0},"citationItems":[{"id":53,"uris":["http://zotero.org/users/local/sechomLT/items/CHFZ8DMY"],"itemData":{"id":53,"type":"article-journal","abstract":"In comparative high-throughput sequencing assays, a fundamental task is the analysis of count data, such as read counts per gene in RNA-seq, for evidence of systematic changes across experimental conditions. Small replicate numbers, discreteness, large dynamic range and the presence of outliers require a suitable statistical approach. We present DESeq2, a method for differential analysis of count data, using shrinkage estimation for dispersions and fold changes to improve stability and interpretability of estimates. This enables a more quantitative analysis focused on the strength rather than the mere presence of differential expression. The DESeq2 package is available at http://www.bioconductor.org/packages/release/bioc/html/DESeq2.html.","container-title":"Genome Biology","DOI":"10.1186/s13059-014-0550-8","ISSN":"1474-7596","issue":"12","journalAbbreviation":"Genome Biol","page":"550","PMID":"25516281","PMCID":"PMC4302049","source":"PubMed Central","title":"Moderated estimation of fold change and dispersion for RNA-seq data with DESeq2","URL":"https://pmc.ncbi.nlm.nih.gov/articles/PMC4302049/","volume":"15","author":[{"family":"Love","given":"Michael I"},{"family":"Huber","given":"Wolfgang"},{"family":"Anders","given":"Simon"}],"accessed":{"date-parts":[["2026",5,19]]},"issued":{"date-parts":[["2014"]]}}}],"schema":"https://github.com/citation-style-language/schema/raw/master/csl-citation.json"} </w:instrText>
      </w:r>
      <w:r w:rsidR="00626873">
        <w:fldChar w:fldCharType="separate"/>
      </w:r>
      <w:r w:rsidR="00626873" w:rsidRPr="00626873">
        <w:rPr>
          <w:rFonts w:ascii="Calibri" w:hAnsi="Calibri" w:cs="Calibri"/>
        </w:rPr>
        <w:t>(24)</w:t>
      </w:r>
      <w:r w:rsidR="00626873">
        <w:fldChar w:fldCharType="end"/>
      </w:r>
      <w:r w:rsidRPr="00DB4B9A">
        <w:t>. Gracias a est</w:t>
      </w:r>
      <w:r w:rsidR="00454E8D">
        <w:t>o</w:t>
      </w:r>
      <w:r w:rsidRPr="00DB4B9A">
        <w:t xml:space="preserve">, la </w:t>
      </w:r>
      <w:r w:rsidR="00454E8D" w:rsidRPr="00454E8D">
        <w:t>distribución binomial negativa se ha establecido como el fundamento teórico sobre el que operan herramientas</w:t>
      </w:r>
      <w:r w:rsidR="00454E8D">
        <w:t xml:space="preserve"> </w:t>
      </w:r>
      <w:r w:rsidRPr="00DB4B9A">
        <w:t xml:space="preserve">bioinformáticas </w:t>
      </w:r>
      <w:r w:rsidR="00454E8D">
        <w:t>clave</w:t>
      </w:r>
      <w:r w:rsidRPr="00DB4B9A">
        <w:t xml:space="preserve"> como </w:t>
      </w:r>
      <w:r w:rsidRPr="00DB4B9A">
        <w:rPr>
          <w:i/>
          <w:iCs/>
        </w:rPr>
        <w:t>DESeq2</w:t>
      </w:r>
      <w:r w:rsidR="00626873">
        <w:rPr>
          <w:i/>
          <w:iCs/>
        </w:rPr>
        <w:fldChar w:fldCharType="begin"/>
      </w:r>
      <w:r w:rsidR="00626873">
        <w:rPr>
          <w:i/>
          <w:iCs/>
        </w:rPr>
        <w:instrText xml:space="preserve"> ADDIN ZOTERO_ITEM CSL_CITATION {"citationID":"4g1i8ijg","properties":{"unsorted":false,"formattedCitation":"(24)","plainCitation":"(24)","noteIndex":0},"citationItems":[{"id":53,"uris":["http://zotero.org/users/local/sechomLT/items/CHFZ8DMY"],"itemData":{"id":53,"type":"article-journal","abstract":"In comparative high-throughput sequencing assays, a fundamental task is the analysis of count data, such as read counts per gene in RNA-seq, for evidence of systematic changes across experimental conditions. Small replicate numbers, discreteness, large dynamic range and the presence of outliers require a suitable statistical approach. We present DESeq2, a method for differential analysis of count data, using shrinkage estimation for dispersions and fold changes to improve stability and interpretability of estimates. This enables a more quantitative analysis focused on the strength rather than the mere presence of differential expression. The DESeq2 package is available at http://www.bioconductor.org/packages/release/bioc/html/DESeq2.html.","container-title":"Genome Biology","DOI":"10.1186/s13059-014-0550-8","ISSN":"1474-7596","issue":"12","journalAbbreviation":"Genome Biol","page":"550","PMID":"25516281","PMCID":"PMC4302049","source":"PubMed Central","title":"Moderated estimation of fold change and dispersion for RNA-seq data with DESeq2","URL":"https://pmc.ncbi.nlm.nih.gov/articles/PMC4302049/","volume":"15","author":[{"family":"Love","given":"Michael I"},{"family":"Huber","given":"Wolfgang"},{"family":"Anders","given":"Simon"}],"accessed":{"date-parts":[["2026",5,19]]},"issued":{"date-parts":[["2014"]]}}}],"schema":"https://github.com/citation-style-language/schema/raw/master/csl-citation.json"} </w:instrText>
      </w:r>
      <w:r w:rsidR="00626873">
        <w:rPr>
          <w:i/>
          <w:iCs/>
        </w:rPr>
        <w:fldChar w:fldCharType="separate"/>
      </w:r>
      <w:r w:rsidR="00626873" w:rsidRPr="00626873">
        <w:rPr>
          <w:rFonts w:ascii="Calibri" w:hAnsi="Calibri" w:cs="Calibri"/>
        </w:rPr>
        <w:t>(24)</w:t>
      </w:r>
      <w:r w:rsidR="00626873">
        <w:rPr>
          <w:i/>
          <w:iCs/>
        </w:rPr>
        <w:fldChar w:fldCharType="end"/>
      </w:r>
      <w:r w:rsidRPr="00DB4B9A">
        <w:t>.</w:t>
      </w:r>
    </w:p>
    <w:p w14:paraId="60F088B0" w14:textId="7BE7A3D9" w:rsidR="0073352A" w:rsidRPr="0073352A" w:rsidRDefault="0073352A" w:rsidP="0073352A">
      <w:r w:rsidRPr="0073352A">
        <w:t xml:space="preserve">Desarrollado en el entorno de </w:t>
      </w:r>
      <w:proofErr w:type="spellStart"/>
      <w:r w:rsidRPr="0073352A">
        <w:t>Bioconductor</w:t>
      </w:r>
      <w:proofErr w:type="spellEnd"/>
      <w:r w:rsidRPr="0073352A">
        <w:t xml:space="preserve"> para </w:t>
      </w:r>
      <w:r w:rsidRPr="0073352A">
        <w:rPr>
          <w:i/>
          <w:iCs/>
        </w:rPr>
        <w:t>R</w:t>
      </w:r>
      <w:r w:rsidRPr="0073352A">
        <w:t xml:space="preserve">, el paquete </w:t>
      </w:r>
      <w:r w:rsidRPr="00454E8D">
        <w:rPr>
          <w:i/>
          <w:iCs/>
        </w:rPr>
        <w:t>DESeq2</w:t>
      </w:r>
      <w:r w:rsidRPr="00454E8D">
        <w:t xml:space="preserve"> </w:t>
      </w:r>
      <w:r w:rsidR="00454E8D" w:rsidRPr="00454E8D">
        <w:t>destaca como una de las opciones más utilizadas para el DGEA</w:t>
      </w:r>
      <w:r w:rsidR="00454E8D">
        <w:t xml:space="preserve"> </w:t>
      </w:r>
      <w:r w:rsidRPr="0073352A">
        <w:t xml:space="preserve">en datos de </w:t>
      </w:r>
      <w:proofErr w:type="spellStart"/>
      <w:r w:rsidRPr="0073352A">
        <w:rPr>
          <w:i/>
          <w:iCs/>
        </w:rPr>
        <w:t>bulk</w:t>
      </w:r>
      <w:proofErr w:type="spellEnd"/>
      <w:r w:rsidRPr="0073352A">
        <w:rPr>
          <w:i/>
          <w:iCs/>
        </w:rPr>
        <w:t xml:space="preserve"> RNA-</w:t>
      </w:r>
      <w:proofErr w:type="spellStart"/>
      <w:r w:rsidRPr="0073352A">
        <w:rPr>
          <w:i/>
          <w:iCs/>
        </w:rPr>
        <w:t>seq</w:t>
      </w:r>
      <w:proofErr w:type="spellEnd"/>
      <w:r w:rsidR="00B976C4">
        <w:rPr>
          <w:i/>
          <w:iCs/>
        </w:rPr>
        <w:fldChar w:fldCharType="begin"/>
      </w:r>
      <w:r w:rsidR="00B976C4">
        <w:rPr>
          <w:i/>
          <w:iCs/>
        </w:rPr>
        <w:instrText xml:space="preserve"> ADDIN ZOTERO_ITEM CSL_CITATION {"citationID":"cmgVag6z","properties":{"unsorted":false,"formattedCitation":"(16,24)","plainCitation":"(16,24)","noteIndex":0},"citationItems":[{"id":243,"uris":["http://zotero.org/users/local/sechomLT/items/ZACTH8WR"],"itemData":{"id":243,"type":"article-journal","abstract":"Over the past decade, RNA sequencing (RNA-seq) has become an indispensable tool for transcriptome-wide analysis of differential gene expression and differential splicing of mRNAs. However, as next-generation sequencing technologies have developed, so too has RNA-seq. Now, RNA-seq methods are available for studying many different aspects of RNA biology, including single-cell gene expression, translation (the translatome) and RNA structure (the structurome). Exciting new applications are being explored, such as spatial transcriptomics (spatialomics). Together with new long-read and direct RNA-seq technologies and better computational tools for data analysis, innovations in RNA-seq are contributing to a fuller understanding of RNA biology, from questions such as when and where transcription occurs to the folding and intermolecular interactions that govern RNA function.","container-title":"Nature Reviews Genetics","DOI":"10.1038/s41576-019-0150-2","ISSN":"1471-0064","issue":"11","journalAbbreviation":"Nat Rev Genet","language":"en","license":"2019 Springer Nature Limited","page":"631-656","publisher":"Nature Publishing Group","source":"www.nature.com","title":"RNA sequencing: the teenage years","title-short":"RNA sequencing","URL":"https://www.nature.com/articles/s41576-019-0150-2","volume":"20","author":[{"family":"Stark","given":"Rory"},{"family":"Grzelak","given":"Marta"},{"family":"Hadfield","given":"James"}],"accessed":{"date-parts":[["2026",8,9]]},"issued":{"date-parts":[["2019",11]]}}},{"id":53,"uris":["http://zotero.org/users/local/sechomLT/items/CHFZ8DMY"],"itemData":{"id":53,"type":"article-journal","abstract":"In comparative high-throughput sequencing assays, a fundamental task is the analysis of count data, such as read counts per gene in RNA-seq, for evidence of systematic changes across experimental conditions. Small replicate numbers, discreteness, large dynamic range and the presence of outliers require a suitable statistical approach. We present DESeq2, a method for differential analysis of count data, using shrinkage estimation for dispersions and fold changes to improve stability and interpretability of estimates. This enables a more quantitative analysis focused on the strength rather than the mere presence of differential expression. The DESeq2 package is available at http://www.bioconductor.org/packages/release/bioc/html/DESeq2.html.","container-title":"Genome Biology","DOI":"10.1186/s13059-014-0550-8","ISSN":"1474-7596","issue":"12","journalAbbreviation":"Genome Biol","page":"550","PMID":"25516281","PMCID":"PMC4302049","source":"PubMed Central","title":"Moderated estimation of fold change and dispersion for RNA-seq data with DESeq2","URL":"https://pmc.ncbi.nlm.nih.gov/articles/PMC4302049/","volume":"15","author":[{"family":"Love","given":"Michael I"},{"family":"Huber","given":"Wolfgang"},{"family":"Anders","given":"Simon"}],"accessed":{"date-parts":[["2026",5,19]]},"issued":{"date-parts":[["2014"]]}}}],"schema":"https://github.com/citation-style-language/schema/raw/master/csl-citation.json"} </w:instrText>
      </w:r>
      <w:r w:rsidR="00B976C4">
        <w:rPr>
          <w:i/>
          <w:iCs/>
        </w:rPr>
        <w:fldChar w:fldCharType="separate"/>
      </w:r>
      <w:r w:rsidR="00B976C4" w:rsidRPr="00B976C4">
        <w:rPr>
          <w:rFonts w:ascii="Calibri" w:hAnsi="Calibri" w:cs="Calibri"/>
        </w:rPr>
        <w:t>(16,24)</w:t>
      </w:r>
      <w:r w:rsidR="00B976C4">
        <w:rPr>
          <w:i/>
          <w:iCs/>
        </w:rPr>
        <w:fldChar w:fldCharType="end"/>
      </w:r>
      <w:r w:rsidRPr="0073352A">
        <w:t>. Su flujo de trabajo procesa las matrices de recuentos brutos a través de tres etapas estadísticas consecutivas</w:t>
      </w:r>
      <w:r>
        <w:fldChar w:fldCharType="begin"/>
      </w:r>
      <w:r w:rsidR="00B976C4">
        <w:instrText xml:space="preserve"> ADDIN ZOTERO_ITEM CSL_CITATION {"citationID":"LzkOXo8s","properties":{"unsorted":false,"formattedCitation":"(24)","plainCitation":"(24)","noteIndex":0},"citationItems":[{"id":53,"uris":["http://zotero.org/users/local/sechomLT/items/CHFZ8DMY"],"itemData":{"id":53,"type":"article-journal","abstract":"In comparative high-throughput sequencing assays, a fundamental task is the analysis of count data, such as read counts per gene in RNA-seq, for evidence of systematic changes across experimental conditions. Small replicate numbers, discreteness, large dynamic range and the presence of outliers require a suitable statistical approach. We present DESeq2, a method for differential analysis of count data, using shrinkage estimation for dispersions and fold changes to improve stability and interpretability of estimates. This enables a more quantitative analysis focused on the strength rather than the mere presence of differential expression. The DESeq2 package is available at http://www.bioconductor.org/packages/release/bioc/html/DESeq2.html.","container-title":"Genome Biology","DOI":"10.1186/s13059-014-0550-8","ISSN":"1474-7596","issue":"12","journalAbbreviation":"Genome Biol","page":"550","PMID":"25516281","PMCID":"PMC4302049","source":"PubMed Central","title":"Moderated estimation of fold change and dispersion for RNA-seq data with DESeq2","URL":"https://pmc.ncbi.nlm.nih.gov/articles/PMC4302049/","volume":"15","author":[{"family":"Love","given":"Michael I"},{"family":"Huber","given":"Wolfgang"},{"family":"Anders","given":"Simon"}],"accessed":{"date-parts":[["2026",5,19]]},"issued":{"date-parts":[["2014"]]}}}],"schema":"https://github.com/citation-style-language/schema/raw/master/csl-citation.json"} </w:instrText>
      </w:r>
      <w:r>
        <w:fldChar w:fldCharType="separate"/>
      </w:r>
      <w:r w:rsidR="00B976C4" w:rsidRPr="00B976C4">
        <w:rPr>
          <w:rFonts w:ascii="Calibri" w:hAnsi="Calibri" w:cs="Calibri"/>
        </w:rPr>
        <w:t>(24)</w:t>
      </w:r>
      <w:r>
        <w:fldChar w:fldCharType="end"/>
      </w:r>
      <w:r w:rsidRPr="0073352A">
        <w:t>. En primer lugar, aplica una normalización basada en la mediana de las razones (</w:t>
      </w:r>
      <w:r w:rsidRPr="0073352A">
        <w:rPr>
          <w:i/>
          <w:iCs/>
        </w:rPr>
        <w:t>median-</w:t>
      </w:r>
      <w:proofErr w:type="spellStart"/>
      <w:r w:rsidRPr="0073352A">
        <w:rPr>
          <w:i/>
          <w:iCs/>
        </w:rPr>
        <w:t>of</w:t>
      </w:r>
      <w:proofErr w:type="spellEnd"/>
      <w:r w:rsidRPr="0073352A">
        <w:rPr>
          <w:i/>
          <w:iCs/>
        </w:rPr>
        <w:t>-ratios</w:t>
      </w:r>
      <w:r w:rsidRPr="0073352A">
        <w:t>), corrigiendo las diferencias técnicas derivadas de la profundidad de secuenciación y de la composición de las librerías moleculares</w:t>
      </w:r>
      <w:r w:rsidR="00B976C4">
        <w:fldChar w:fldCharType="begin"/>
      </w:r>
      <w:r w:rsidR="00B976C4">
        <w:instrText xml:space="preserve"> ADDIN ZOTERO_ITEM CSL_CITATION {"citationID":"zdSpnGby","properties":{"unsorted":false,"formattedCitation":"(24)","plainCitation":"(24)","noteIndex":0},"citationItems":[{"id":53,"uris":["http://zotero.org/users/local/sechomLT/items/CHFZ8DMY"],"itemData":{"id":53,"type":"article-journal","abstract":"In comparative high-throughput sequencing assays, a fundamental task is the analysis of count data, such as read counts per gene in RNA-seq, for evidence of systematic changes across experimental conditions. Small replicate numbers, discreteness, large dynamic range and the presence of outliers require a suitable statistical approach. We present DESeq2, a method for differential analysis of count data, using shrinkage estimation for dispersions and fold changes to improve stability and interpretability of estimates. This enables a more quantitative analysis focused on the strength rather than the mere presence of differential expression. The DESeq2 package is available at http://www.bioconductor.org/packages/release/bioc/html/DESeq2.html.","container-title":"Genome Biology","DOI":"10.1186/s13059-014-0550-8","ISSN":"1474-7596","issue":"12","journalAbbreviation":"Genome Biol","page":"550","PMID":"25516281","PMCID":"PMC4302049","source":"PubMed Central","title":"Moderated estimation of fold change and dispersion for RNA-seq data with DESeq2","URL":"https://pmc.ncbi.nlm.nih.gov/articles/PMC4302049/","volume":"15","author":[{"family":"Love","given":"Michael I"},{"family":"Huber","given":"Wolfgang"},{"family":"Anders","given":"Simon"}],"accessed":{"date-parts":[["2026",5,19]]},"issued":{"date-parts":[["2014"]]}}}],"schema":"https://github.com/citation-style-language/schema/raw/master/csl-citation.json"} </w:instrText>
      </w:r>
      <w:r w:rsidR="00B976C4">
        <w:fldChar w:fldCharType="separate"/>
      </w:r>
      <w:r w:rsidR="00B976C4" w:rsidRPr="00B976C4">
        <w:rPr>
          <w:rFonts w:ascii="Calibri" w:hAnsi="Calibri" w:cs="Calibri"/>
        </w:rPr>
        <w:t>(24)</w:t>
      </w:r>
      <w:r w:rsidR="00B976C4">
        <w:fldChar w:fldCharType="end"/>
      </w:r>
      <w:r w:rsidRPr="0073352A">
        <w:t>. Posteriormente, estima los parámetros de dispersión génica y los ajusta hacia una curva de tendencia global mediante un método empírico de Bayes (</w:t>
      </w:r>
      <w:proofErr w:type="spellStart"/>
      <w:r w:rsidRPr="0073352A">
        <w:rPr>
          <w:i/>
          <w:iCs/>
        </w:rPr>
        <w:t>empirical</w:t>
      </w:r>
      <w:proofErr w:type="spellEnd"/>
      <w:r w:rsidRPr="0073352A">
        <w:rPr>
          <w:i/>
          <w:iCs/>
        </w:rPr>
        <w:t xml:space="preserve"> Bayes </w:t>
      </w:r>
      <w:proofErr w:type="spellStart"/>
      <w:r w:rsidRPr="0073352A">
        <w:rPr>
          <w:i/>
          <w:iCs/>
        </w:rPr>
        <w:t>shrinkage</w:t>
      </w:r>
      <w:proofErr w:type="spellEnd"/>
      <w:r w:rsidRPr="0073352A">
        <w:t>)</w:t>
      </w:r>
      <w:r w:rsidR="00B976C4">
        <w:fldChar w:fldCharType="begin"/>
      </w:r>
      <w:r w:rsidR="00B976C4">
        <w:instrText xml:space="preserve"> ADDIN ZOTERO_ITEM CSL_CITATION {"citationID":"bZMN3wEs","properties":{"unsorted":false,"formattedCitation":"(24)","plainCitation":"(24)","noteIndex":0},"citationItems":[{"id":53,"uris":["http://zotero.org/users/local/sechomLT/items/CHFZ8DMY"],"itemData":{"id":53,"type":"article-journal","abstract":"In comparative high-throughput sequencing assays, a fundamental task is the analysis of count data, such as read counts per gene in RNA-seq, for evidence of systematic changes across experimental conditions. Small replicate numbers, discreteness, large dynamic range and the presence of outliers require a suitable statistical approach. We present DESeq2, a method for differential analysis of count data, using shrinkage estimation for dispersions and fold changes to improve stability and interpretability of estimates. This enables a more quantitative analysis focused on the strength rather than the mere presence of differential expression. The DESeq2 package is available at http://www.bioconductor.org/packages/release/bioc/html/DESeq2.html.","container-title":"Genome Biology","DOI":"10.1186/s13059-014-0550-8","ISSN":"1474-7596","issue":"12","journalAbbreviation":"Genome Biol","page":"550","PMID":"25516281","PMCID":"PMC4302049","source":"PubMed Central","title":"Moderated estimation of fold change and dispersion for RNA-seq data with DESeq2","URL":"https://pmc.ncbi.nlm.nih.gov/articles/PMC4302049/","volume":"15","author":[{"family":"Love","given":"Michael I"},{"family":"Huber","given":"Wolfgang"},{"family":"Anders","given":"Simon"}],"accessed":{"date-parts":[["2026",5,19]]},"issued":{"date-parts":[["2014"]]}}}],"schema":"https://github.com/citation-style-language/schema/raw/master/csl-citation.json"} </w:instrText>
      </w:r>
      <w:r w:rsidR="00B976C4">
        <w:fldChar w:fldCharType="separate"/>
      </w:r>
      <w:r w:rsidR="00B976C4" w:rsidRPr="00B976C4">
        <w:rPr>
          <w:rFonts w:ascii="Calibri" w:hAnsi="Calibri" w:cs="Calibri"/>
        </w:rPr>
        <w:t>(24)</w:t>
      </w:r>
      <w:r w:rsidR="00B976C4">
        <w:fldChar w:fldCharType="end"/>
      </w:r>
      <w:r w:rsidR="00B976C4">
        <w:t xml:space="preserve">. Esto </w:t>
      </w:r>
      <w:r w:rsidRPr="0073352A">
        <w:t>estabiliza</w:t>
      </w:r>
      <w:r w:rsidR="00B976C4">
        <w:t xml:space="preserve"> </w:t>
      </w:r>
      <w:r w:rsidRPr="0073352A">
        <w:t>las varianzas en transcriptos con baja abundancia de lecturas</w:t>
      </w:r>
      <w:r w:rsidR="00B976C4">
        <w:fldChar w:fldCharType="begin"/>
      </w:r>
      <w:r w:rsidR="006D0106">
        <w:instrText xml:space="preserve"> ADDIN ZOTERO_ITEM CSL_CITATION {"citationID":"7hw8n6Pn","properties":{"unsorted":false,"formattedCitation":"(24)","plainCitation":"(24)","noteIndex":0},"citationItems":[{"id":53,"uris":["http://zotero.org/users/local/sechomLT/items/CHFZ8DMY"],"itemData":{"id":53,"type":"article-journal","abstract":"In comparative high-throughput sequencing assays, a fundamental task is the analysis of count data, such as read counts per gene in RNA-seq, for evidence of systematic changes across experimental conditions. Small replicate numbers, discreteness, large dynamic range and the presence of outliers require a suitable statistical approach. We present DESeq2, a method for differential analysis of count data, using shrinkage estimation for dispersions and fold changes to improve stability and interpretability of estimates. This enables a more quantitative analysis focused on the strength rather than the mere presence of differential expression. The DESeq2 package is available at http://www.bioconductor.org/packages/release/bioc/html/DESeq2.html.","container-title":"Genome Biology","DOI":"10.1186/s13059-014-0550-8","ISSN":"1474-7596","issue":"12","journalAbbreviation":"Genome Biol","page":"550","PMID":"25516281","PMCID":"PMC4302049","source":"PubMed Central","title":"Moderated estimation of fold change and dispersion for RNA-seq data with DESeq2","URL":"https://pmc.ncbi.nlm.nih.gov/articles/PMC4302049/","volume":"15","author":[{"family":"Love","given":"Michael I"},{"family":"Huber","given":"Wolfgang"},{"family":"Anders","given":"Simon"}],"accessed":{"date-parts":[["2026",5,19]]},"issued":{"date-parts":[["2014"]]}}}],"schema":"https://github.com/citation-style-language/schema/raw/master/csl-citation.json"} </w:instrText>
      </w:r>
      <w:r w:rsidR="00B976C4">
        <w:fldChar w:fldCharType="separate"/>
      </w:r>
      <w:r w:rsidR="006D0106" w:rsidRPr="006D0106">
        <w:rPr>
          <w:rFonts w:ascii="Calibri" w:hAnsi="Calibri" w:cs="Calibri"/>
        </w:rPr>
        <w:t>(24)</w:t>
      </w:r>
      <w:r w:rsidR="00B976C4">
        <w:fldChar w:fldCharType="end"/>
      </w:r>
      <w:r w:rsidRPr="0073352A">
        <w:t xml:space="preserve">. Finalmente, </w:t>
      </w:r>
      <w:r w:rsidRPr="0073352A">
        <w:rPr>
          <w:i/>
          <w:iCs/>
        </w:rPr>
        <w:t>DESeq2</w:t>
      </w:r>
      <w:r w:rsidRPr="0073352A">
        <w:t xml:space="preserve"> ajusta un modelo lineal generalizado para cada gen y contrasta la hipótesis nula de ausencia de cambios en la expresión mediante la prueba de Wald</w:t>
      </w:r>
      <w:r w:rsidR="006D0106">
        <w:fldChar w:fldCharType="begin"/>
      </w:r>
      <w:r w:rsidR="006D0106">
        <w:instrText xml:space="preserve"> ADDIN ZOTERO_ITEM CSL_CITATION {"citationID":"CdIHpwG1","properties":{"unsorted":false,"formattedCitation":"(24)","plainCitation":"(24)","noteIndex":0},"citationItems":[{"id":53,"uris":["http://zotero.org/users/local/sechomLT/items/CHFZ8DMY"],"itemData":{"id":53,"type":"article-journal","abstract":"In comparative high-throughput sequencing assays, a fundamental task is the analysis of count data, such as read counts per gene in RNA-seq, for evidence of systematic changes across experimental conditions. Small replicate numbers, discreteness, large dynamic range and the presence of outliers require a suitable statistical approach. We present DESeq2, a method for differential analysis of count data, using shrinkage estimation for dispersions and fold changes to improve stability and interpretability of estimates. This enables a more quantitative analysis focused on the strength rather than the mere presence of differential expression. The DESeq2 package is available at http://www.bioconductor.org/packages/release/bioc/html/DESeq2.html.","container-title":"Genome Biology","DOI":"10.1186/s13059-014-0550-8","ISSN":"1474-7596","issue":"12","journalAbbreviation":"Genome Biol","page":"550","PMID":"25516281","PMCID":"PMC4302049","source":"PubMed Central","title":"Moderated estimation of fold change and dispersion for RNA-seq data with DESeq2","URL":"https://pmc.ncbi.nlm.nih.gov/articles/PMC4302049/","volume":"15","author":[{"family":"Love","given":"Michael I"},{"family":"Huber","given":"Wolfgang"},{"family":"Anders","given":"Simon"}],"accessed":{"date-parts":[["2026",5,19]]},"issued":{"date-parts":[["2014"]]}}}],"schema":"https://github.com/citation-style-language/schema/raw/master/csl-citation.json"} </w:instrText>
      </w:r>
      <w:r w:rsidR="006D0106">
        <w:fldChar w:fldCharType="separate"/>
      </w:r>
      <w:r w:rsidR="006D0106" w:rsidRPr="006D0106">
        <w:rPr>
          <w:rFonts w:ascii="Calibri" w:hAnsi="Calibri" w:cs="Calibri"/>
        </w:rPr>
        <w:t>(24)</w:t>
      </w:r>
      <w:r w:rsidR="006D0106">
        <w:fldChar w:fldCharType="end"/>
      </w:r>
      <w:r w:rsidRPr="0073352A">
        <w:t>.</w:t>
      </w:r>
    </w:p>
    <w:p w14:paraId="3E808F05" w14:textId="49D17C5B" w:rsidR="002033D4" w:rsidRPr="00D167AC" w:rsidRDefault="006D0106" w:rsidP="002033D4">
      <w:r w:rsidRPr="006D0106">
        <w:lastRenderedPageBreak/>
        <w:t>Tras la ejecución del contraste estadístico, la evaluación simultánea de decenas de miles de genes introduce el problema de las comparaciones múltiples</w:t>
      </w:r>
      <w:r w:rsidR="00956C8F">
        <w:fldChar w:fldCharType="begin"/>
      </w:r>
      <w:r w:rsidR="00956C8F">
        <w:instrText xml:space="preserve"> ADDIN ZOTERO_ITEM CSL_CITATION {"citationID":"GfZBwaJZ","properties":{"unsorted":false,"formattedCitation":"(24)","plainCitation":"(24)","noteIndex":0},"citationItems":[{"id":53,"uris":["http://zotero.org/users/local/sechomLT/items/CHFZ8DMY"],"itemData":{"id":53,"type":"article-journal","abstract":"In comparative high-throughput sequencing assays, a fundamental task is the analysis of count data, such as read counts per gene in RNA-seq, for evidence of systematic changes across experimental conditions. Small replicate numbers, discreteness, large dynamic range and the presence of outliers require a suitable statistical approach. We present DESeq2, a method for differential analysis of count data, using shrinkage estimation for dispersions and fold changes to improve stability and interpretability of estimates. This enables a more quantitative analysis focused on the strength rather than the mere presence of differential expression. The DESeq2 package is available at http://www.bioconductor.org/packages/release/bioc/html/DESeq2.html.","container-title":"Genome Biology","DOI":"10.1186/s13059-014-0550-8","ISSN":"1474-7596","issue":"12","journalAbbreviation":"Genome Biol","page":"550","PMID":"25516281","PMCID":"PMC4302049","source":"PubMed Central","title":"Moderated estimation of fold change and dispersion for RNA-seq data with DESeq2","URL":"https://pmc.ncbi.nlm.nih.gov/articles/PMC4302049/","volume":"15","author":[{"family":"Love","given":"Michael I"},{"family":"Huber","given":"Wolfgang"},{"family":"Anders","given":"Simon"}],"accessed":{"date-parts":[["2026",5,19]]},"issued":{"date-parts":[["2014"]]}}}],"schema":"https://github.com/citation-style-language/schema/raw/master/csl-citation.json"} </w:instrText>
      </w:r>
      <w:r w:rsidR="00956C8F">
        <w:fldChar w:fldCharType="separate"/>
      </w:r>
      <w:r w:rsidR="00956C8F" w:rsidRPr="00956C8F">
        <w:rPr>
          <w:rFonts w:ascii="Calibri" w:hAnsi="Calibri" w:cs="Calibri"/>
        </w:rPr>
        <w:t>(24)</w:t>
      </w:r>
      <w:r w:rsidR="00956C8F">
        <w:fldChar w:fldCharType="end"/>
      </w:r>
      <w:r>
        <w:t xml:space="preserve">. Este fenómeno supone un aumento </w:t>
      </w:r>
      <w:r w:rsidRPr="006D0106">
        <w:t>sustancial</w:t>
      </w:r>
      <w:r>
        <w:t xml:space="preserve"> de l</w:t>
      </w:r>
      <w:r w:rsidRPr="006D0106">
        <w:t>a probabilidad de detectar falsos positivos por simple azar</w:t>
      </w:r>
      <w:r w:rsidR="00956C8F">
        <w:fldChar w:fldCharType="begin"/>
      </w:r>
      <w:r w:rsidR="00956C8F">
        <w:instrText xml:space="preserve"> ADDIN ZOTERO_ITEM CSL_CITATION {"citationID":"BfbMJCoh","properties":{"unsorted":false,"formattedCitation":"(24)","plainCitation":"(24)","noteIndex":0},"citationItems":[{"id":53,"uris":["http://zotero.org/users/local/sechomLT/items/CHFZ8DMY"],"itemData":{"id":53,"type":"article-journal","abstract":"In comparative high-throughput sequencing assays, a fundamental task is the analysis of count data, such as read counts per gene in RNA-seq, for evidence of systematic changes across experimental conditions. Small replicate numbers, discreteness, large dynamic range and the presence of outliers require a suitable statistical approach. We present DESeq2, a method for differential analysis of count data, using shrinkage estimation for dispersions and fold changes to improve stability and interpretability of estimates. This enables a more quantitative analysis focused on the strength rather than the mere presence of differential expression. The DESeq2 package is available at http://www.bioconductor.org/packages/release/bioc/html/DESeq2.html.","container-title":"Genome Biology","DOI":"10.1186/s13059-014-0550-8","ISSN":"1474-7596","issue":"12","journalAbbreviation":"Genome Biol","page":"550","PMID":"25516281","PMCID":"PMC4302049","source":"PubMed Central","title":"Moderated estimation of fold change and dispersion for RNA-seq data with DESeq2","URL":"https://pmc.ncbi.nlm.nih.gov/articles/PMC4302049/","volume":"15","author":[{"family":"Love","given":"Michael I"},{"family":"Huber","given":"Wolfgang"},{"family":"Anders","given":"Simon"}],"accessed":{"date-parts":[["2026",5,19]]},"issued":{"date-parts":[["2014"]]}}}],"schema":"https://github.com/citation-style-language/schema/raw/master/csl-citation.json"} </w:instrText>
      </w:r>
      <w:r w:rsidR="00956C8F">
        <w:fldChar w:fldCharType="separate"/>
      </w:r>
      <w:r w:rsidR="00956C8F" w:rsidRPr="00956C8F">
        <w:rPr>
          <w:rFonts w:ascii="Calibri" w:hAnsi="Calibri" w:cs="Calibri"/>
        </w:rPr>
        <w:t>(24)</w:t>
      </w:r>
      <w:r w:rsidR="00956C8F">
        <w:fldChar w:fldCharType="end"/>
      </w:r>
      <w:r w:rsidRPr="006D0106">
        <w:t xml:space="preserve">. Para controlar este sesgo, se aplica el ajuste de los valores </w:t>
      </w:r>
      <m:oMath>
        <m:r>
          <w:rPr>
            <w:rFonts w:ascii="Cambria Math" w:hAnsi="Cambria Math"/>
          </w:rPr>
          <m:t>p</m:t>
        </m:r>
      </m:oMath>
      <w:r w:rsidRPr="006D0106">
        <w:t xml:space="preserve"> mediante la Tasa de Falsos Descubrimientos (FDR) utilizando el método de Benjamini-Hochberg, </w:t>
      </w:r>
      <w:r>
        <w:t xml:space="preserve">que </w:t>
      </w:r>
      <w:r w:rsidRPr="006D0106">
        <w:t>establec</w:t>
      </w:r>
      <w:r>
        <w:t xml:space="preserve">e </w:t>
      </w:r>
      <w:r w:rsidRPr="006D0106">
        <w:t xml:space="preserve">un umbral de significación </w:t>
      </w:r>
      <w:r>
        <w:t xml:space="preserve">estándar </w:t>
      </w:r>
      <w:r w:rsidRPr="006D0106">
        <w:t xml:space="preserve">de </w:t>
      </w:r>
      <m:oMath>
        <m:sSub>
          <m:sSubPr>
            <m:ctrlPr>
              <w:rPr>
                <w:rFonts w:ascii="Cambria Math" w:hAnsi="Cambria Math"/>
              </w:rPr>
            </m:ctrlPr>
          </m:sSubPr>
          <m:e>
            <m:r>
              <w:rPr>
                <w:rFonts w:ascii="Cambria Math" w:hAnsi="Cambria Math"/>
              </w:rPr>
              <m:t>p</m:t>
            </m:r>
          </m:e>
          <m:sub>
            <m:r>
              <w:rPr>
                <w:rFonts w:ascii="Cambria Math" w:hAnsi="Cambria Math"/>
              </w:rPr>
              <m:t>adj</m:t>
            </m:r>
          </m:sub>
        </m:sSub>
        <m:r>
          <w:rPr>
            <w:rFonts w:ascii="Cambria Math" w:hAnsi="Cambria Math"/>
          </w:rPr>
          <m:t>&lt;0.05</m:t>
        </m:r>
      </m:oMath>
      <w:r w:rsidR="001944A5">
        <w:t xml:space="preserve"> </w:t>
      </w:r>
      <w:r w:rsidR="001944A5">
        <w:fldChar w:fldCharType="begin"/>
      </w:r>
      <w:r w:rsidR="001944A5">
        <w:instrText xml:space="preserve"> ADDIN ZOTERO_ITEM CSL_CITATION {"citationID":"vhm9tVWj","properties":{"unsorted":false,"formattedCitation":"(17,24)","plainCitation":"(17,24)","noteIndex":0},"citationItems":[{"id":241,"uris":["http://zotero.org/users/local/sechomLT/items/4I38JXMT"],"itemData":{"id":241,"type":"article-journal","abstract":"RNA-sequencing (RNA-seq) has a wide variety of applications, but no single analysis pipeline can be used in all cases. We review all of the major steps in RNA-seq data analysis, including experimental design, quality control, read alignment, quantification of gene and transcript levels, visualization, differential gene expression, alternative splicing, functional analysis, gene fusion detection and eQTL mapping. We highlight the challenges associated with each step. We discuss the analysis of small RNAs and the integration of RNA-seq with other functional genomics techniques. Finally, we discuss the outlook for novel technologies that are changing the state of the art in transcriptomics.","container-title":"Genome Biology","DOI":"10.1186/s13059-016-0881-8","ISSN":"1474-760X","issue":"1","journalAbbreviation":"Genome Biol","language":"en","page":"13","source":"Springer Link","title":"A survey of best practices for RNA-seq data analysis","URL":"https://doi.org/10.1186/s13059-016-0881-8","volume":"17","author":[{"family":"Conesa","given":"Ana"},{"family":"Madrigal","given":"Pedro"},{"family":"Tarazona","given":"Sonia"},{"family":"Gomez-Cabrero","given":"David"},{"family":"Cervera","given":"Alejandra"},{"family":"McPherson","given":"Andrew"},{"family":"Szcześniak","given":"Michał Wojciech"},{"family":"Gaffney","given":"Daniel J."},{"family":"Elo","given":"Laura L."},{"family":"Zhang","given":"Xuegong"},{"family":"Mortazavi","given":"Ali"}],"accessed":{"date-parts":[["2026",8,9]]},"issued":{"date-parts":[["2016",1,26]]}}},{"id":53,"uris":["http://zotero.org/users/local/sechomLT/items/CHFZ8DMY"],"itemData":{"id":53,"type":"article-journal","abstract":"In comparative high-throughput sequencing assays, a fundamental task is the analysis of count data, such as read counts per gene in RNA-seq, for evidence of systematic changes across experimental conditions. Small replicate numbers, discreteness, large dynamic range and the presence of outliers require a suitable statistical approach. We present DESeq2, a method for differential analysis of count data, using shrinkage estimation for dispersions and fold changes to improve stability and interpretability of estimates. This enables a more quantitative analysis focused on the strength rather than the mere presence of differential expression. The DESeq2 package is available at http://www.bioconductor.org/packages/release/bioc/html/DESeq2.html.","container-title":"Genome Biology","DOI":"10.1186/s13059-014-0550-8","ISSN":"1474-7596","issue":"12","journalAbbreviation":"Genome Biol","page":"550","PMID":"25516281","PMCID":"PMC4302049","source":"PubMed Central","title":"Moderated estimation of fold change and dispersion for RNA-seq data with DESeq2","URL":"https://pmc.ncbi.nlm.nih.gov/articles/PMC4302049/","volume":"15","author":[{"family":"Love","given":"Michael I"},{"family":"Huber","given":"Wolfgang"},{"family":"Anders","given":"Simon"}],"accessed":{"date-parts":[["2026",5,19]]},"issued":{"date-parts":[["2014"]]}}}],"schema":"https://github.com/citation-style-language/schema/raw/master/csl-citation.json"} </w:instrText>
      </w:r>
      <w:r w:rsidR="001944A5">
        <w:fldChar w:fldCharType="separate"/>
      </w:r>
      <w:r w:rsidR="001944A5" w:rsidRPr="001944A5">
        <w:rPr>
          <w:rFonts w:ascii="Calibri" w:hAnsi="Calibri" w:cs="Calibri"/>
        </w:rPr>
        <w:t>(17,24)</w:t>
      </w:r>
      <w:r w:rsidR="001944A5">
        <w:fldChar w:fldCharType="end"/>
      </w:r>
      <w:r w:rsidR="001944A5">
        <w:t>.</w:t>
      </w:r>
      <w:r w:rsidRPr="006D0106">
        <w:t xml:space="preserve"> No obstante, la significación estadística debe complementarse con un criterio de relevancia biológica. </w:t>
      </w:r>
      <w:r w:rsidR="00956C8F" w:rsidRPr="00956C8F">
        <w:t xml:space="preserve">Con este propósito, se define un umbral para la magnitud de cambio de expresión mediante el </w:t>
      </w:r>
      <m:oMath>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log</m:t>
                </m:r>
              </m:e>
              <m:sub>
                <m:r>
                  <w:rPr>
                    <w:rFonts w:ascii="Cambria Math" w:hAnsi="Cambria Math"/>
                  </w:rPr>
                  <m:t>2</m:t>
                </m:r>
              </m:sub>
            </m:sSub>
          </m:fName>
          <m:e>
            <m:r>
              <m:rPr>
                <m:nor/>
              </m:rPr>
              <m:t>Fold Change</m:t>
            </m:r>
          </m:e>
        </m:func>
      </m:oMath>
      <w:r w:rsidR="00956C8F" w:rsidRPr="00956C8F">
        <w:t xml:space="preserve"> </w:t>
      </w:r>
      <w:r w:rsidR="00956C8F">
        <w:t>(LFC</w:t>
      </w:r>
      <w:r w:rsidR="00956C8F" w:rsidRPr="00956C8F">
        <w:t>), el cual cuantifica la intensidad y la dirección de la variación entre</w:t>
      </w:r>
      <w:r w:rsidR="00956C8F">
        <w:t xml:space="preserve"> las condiciones en estudio</w:t>
      </w:r>
      <w:r w:rsidR="001944A5">
        <w:fldChar w:fldCharType="begin"/>
      </w:r>
      <w:r w:rsidR="001944A5">
        <w:instrText xml:space="preserve"> ADDIN ZOTERO_ITEM CSL_CITATION {"citationID":"NoppmNTp","properties":{"unsorted":false,"formattedCitation":"(24)","plainCitation":"(24)","noteIndex":0},"citationItems":[{"id":53,"uris":["http://zotero.org/users/local/sechomLT/items/CHFZ8DMY"],"itemData":{"id":53,"type":"article-journal","abstract":"In comparative high-throughput sequencing assays, a fundamental task is the analysis of count data, such as read counts per gene in RNA-seq, for evidence of systematic changes across experimental conditions. Small replicate numbers, discreteness, large dynamic range and the presence of outliers require a suitable statistical approach. We present DESeq2, a method for differential analysis of count data, using shrinkage estimation for dispersions and fold changes to improve stability and interpretability of estimates. This enables a more quantitative analysis focused on the strength rather than the mere presence of differential expression. The DESeq2 package is available at http://www.bioconductor.org/packages/release/bioc/html/DESeq2.html.","container-title":"Genome Biology","DOI":"10.1186/s13059-014-0550-8","ISSN":"1474-7596","issue":"12","journalAbbreviation":"Genome Biol","page":"550","PMID":"25516281","PMCID":"PMC4302049","source":"PubMed Central","title":"Moderated estimation of fold change and dispersion for RNA-seq data with DESeq2","URL":"https://pmc.ncbi.nlm.nih.gov/articles/PMC4302049/","volume":"15","author":[{"family":"Love","given":"Michael I"},{"family":"Huber","given":"Wolfgang"},{"family":"Anders","given":"Simon"}],"accessed":{"date-parts":[["2026",5,19]]},"issued":{"date-parts":[["2014"]]}}}],"schema":"https://github.com/citation-style-language/schema/raw/master/csl-citation.json"} </w:instrText>
      </w:r>
      <w:r w:rsidR="001944A5">
        <w:fldChar w:fldCharType="separate"/>
      </w:r>
      <w:r w:rsidR="001944A5" w:rsidRPr="001944A5">
        <w:rPr>
          <w:rFonts w:ascii="Calibri" w:hAnsi="Calibri" w:cs="Calibri"/>
        </w:rPr>
        <w:t>(24)</w:t>
      </w:r>
      <w:r w:rsidR="001944A5">
        <w:fldChar w:fldCharType="end"/>
      </w:r>
      <w:r w:rsidRPr="006D0106">
        <w:t>. La combinación de ambos filtros (</w:t>
      </w:r>
      <m:oMath>
        <m:sSub>
          <m:sSubPr>
            <m:ctrlPr>
              <w:rPr>
                <w:rFonts w:ascii="Cambria Math" w:hAnsi="Cambria Math"/>
              </w:rPr>
            </m:ctrlPr>
          </m:sSubPr>
          <m:e>
            <m:r>
              <w:rPr>
                <w:rFonts w:ascii="Cambria Math" w:hAnsi="Cambria Math"/>
              </w:rPr>
              <m:t>p</m:t>
            </m:r>
          </m:e>
          <m:sub>
            <m:r>
              <w:rPr>
                <w:rFonts w:ascii="Cambria Math" w:hAnsi="Cambria Math"/>
              </w:rPr>
              <m:t>adj</m:t>
            </m:r>
          </m:sub>
        </m:sSub>
      </m:oMath>
      <w:r w:rsidRPr="006D0106">
        <w:t xml:space="preserve"> y</w:t>
      </w:r>
      <w:r w:rsidR="00956C8F">
        <w:t xml:space="preserve"> LFC</w:t>
      </w:r>
      <w:r w:rsidRPr="006D0106">
        <w:t>) permite depurar las listas de DEGs, reteniendo únicamente aquellas alteraciones transcripcionales sólidas y biológicamente informativas para su posterior caracterización funcional</w:t>
      </w:r>
      <w:r w:rsidR="001944A5">
        <w:fldChar w:fldCharType="begin"/>
      </w:r>
      <w:r w:rsidR="001944A5">
        <w:instrText xml:space="preserve"> ADDIN ZOTERO_ITEM CSL_CITATION {"citationID":"qrfp3htb","properties":{"unsorted":false,"formattedCitation":"(17)","plainCitation":"(17)","noteIndex":0},"citationItems":[{"id":241,"uris":["http://zotero.org/users/local/sechomLT/items/4I38JXMT"],"itemData":{"id":241,"type":"article-journal","abstract":"RNA-sequencing (RNA-seq) has a wide variety of applications, but no single analysis pipeline can be used in all cases. We review all of the major steps in RNA-seq data analysis, including experimental design, quality control, read alignment, quantification of gene and transcript levels, visualization, differential gene expression, alternative splicing, functional analysis, gene fusion detection and eQTL mapping. We highlight the challenges associated with each step. We discuss the analysis of small RNAs and the integration of RNA-seq with other functional genomics techniques. Finally, we discuss the outlook for novel technologies that are changing the state of the art in transcriptomics.","container-title":"Genome Biology","DOI":"10.1186/s13059-016-0881-8","ISSN":"1474-760X","issue":"1","journalAbbreviation":"Genome Biol","language":"en","page":"13","source":"Springer Link","title":"A survey of best practices for RNA-seq data analysis","URL":"https://doi.org/10.1186/s13059-016-0881-8","volume":"17","author":[{"family":"Conesa","given":"Ana"},{"family":"Madrigal","given":"Pedro"},{"family":"Tarazona","given":"Sonia"},{"family":"Gomez-Cabrero","given":"David"},{"family":"Cervera","given":"Alejandra"},{"family":"McPherson","given":"Andrew"},{"family":"Szcześniak","given":"Michał Wojciech"},{"family":"Gaffney","given":"Daniel J."},{"family":"Elo","given":"Laura L."},{"family":"Zhang","given":"Xuegong"},{"family":"Mortazavi","given":"Ali"}],"accessed":{"date-parts":[["2026",8,9]]},"issued":{"date-parts":[["2016",1,26]]}}}],"schema":"https://github.com/citation-style-language/schema/raw/master/csl-citation.json"} </w:instrText>
      </w:r>
      <w:r w:rsidR="001944A5">
        <w:fldChar w:fldCharType="separate"/>
      </w:r>
      <w:r w:rsidR="001944A5" w:rsidRPr="001944A5">
        <w:rPr>
          <w:rFonts w:ascii="Calibri" w:hAnsi="Calibri" w:cs="Calibri"/>
        </w:rPr>
        <w:t>(17)</w:t>
      </w:r>
      <w:r w:rsidR="001944A5">
        <w:fldChar w:fldCharType="end"/>
      </w:r>
      <w:r w:rsidRPr="006D0106">
        <w:t>.</w:t>
      </w:r>
    </w:p>
    <w:p w14:paraId="683DA217" w14:textId="16A80CF7" w:rsidR="00F3241D" w:rsidRDefault="00F3241D" w:rsidP="00F3241D">
      <w:pPr>
        <w:pStyle w:val="Ttulo2"/>
        <w:rPr>
          <w:caps w:val="0"/>
        </w:rPr>
      </w:pPr>
      <w:bookmarkStart w:id="9" w:name="_Toc239417037"/>
      <w:r w:rsidRPr="00F3241D">
        <w:rPr>
          <w:caps w:val="0"/>
        </w:rPr>
        <w:t>Anotación</w:t>
      </w:r>
      <w:r w:rsidR="00F46D00" w:rsidRPr="00F46D00">
        <w:rPr>
          <w:caps w:val="0"/>
        </w:rPr>
        <w:t xml:space="preserve"> Genómica y Análisis de Enriquecimiento Funcional</w:t>
      </w:r>
      <w:bookmarkEnd w:id="9"/>
    </w:p>
    <w:p w14:paraId="1FFBA570" w14:textId="13426D81" w:rsidR="00BB26BD" w:rsidRPr="00BB26BD" w:rsidRDefault="00BB26BD" w:rsidP="00BB26BD">
      <w:r w:rsidRPr="00BB26BD">
        <w:t>Antes de abordar el análisis de enriquecimiento funcional, es indispensable comprender el papel de la anotación genómica y la gestión de los identificadores génicos</w:t>
      </w:r>
      <w:r w:rsidR="0095537C">
        <w:fldChar w:fldCharType="begin"/>
      </w:r>
      <w:r w:rsidR="0095537C">
        <w:instrText xml:space="preserve"> ADDIN ZOTERO_ITEM CSL_CITATION {"citationID":"t7h1MmL8","properties":{"unsorted":false,"formattedCitation":"(26)","plainCitation":"(26)","noteIndex":0},"citationItems":[{"id":261,"uris":["http://zotero.org/users/local/sechomLT/items/WRRP3VX2"],"itemData":{"id":261,"type":"article-journal","container-title":"Nature methods","DOI":"10.1038/nmeth.3963","ISSN":"1548-7091","issue":"9","journalAbbreviation":"Nat Methods","page":"705-706","PMID":"27575621","PMCID":"PMC7802636","source":"PubMed Central","title":"Impact of outdated gene annotations on pathway enrichment analysis","URL":"https://pmc.ncbi.nlm.nih.gov/articles/PMC7802636/","volume":"13","author":[{"family":"Wadi","given":"Lina"},{"family":"Meyer","given":"Mona"},{"family":"Weiser","given":"Joel"},{"family":"Stein","given":"Lincoln D"},{"family":"Reimand","given":"Jüri"}],"accessed":{"date-parts":[["2026",8,25]]},"issued":{"date-parts":[["2016",8,30]]}}}],"schema":"https://github.com/citation-style-language/schema/raw/master/csl-citation.json"} </w:instrText>
      </w:r>
      <w:r w:rsidR="0095537C">
        <w:fldChar w:fldCharType="separate"/>
      </w:r>
      <w:r w:rsidR="0095537C" w:rsidRPr="0095537C">
        <w:rPr>
          <w:rFonts w:ascii="Calibri" w:hAnsi="Calibri" w:cs="Calibri"/>
        </w:rPr>
        <w:t>(26)</w:t>
      </w:r>
      <w:r w:rsidR="0095537C">
        <w:fldChar w:fldCharType="end"/>
      </w:r>
      <w:r w:rsidRPr="00BB26BD">
        <w:t xml:space="preserve">. Tras el </w:t>
      </w:r>
      <w:r w:rsidR="00FE253B">
        <w:t>DGEA</w:t>
      </w:r>
      <w:r w:rsidRPr="00BB26BD">
        <w:t xml:space="preserve">, los resultados suelen presentarse mediante </w:t>
      </w:r>
      <w:r w:rsidR="0095537C" w:rsidRPr="0095537C">
        <w:t xml:space="preserve">identificadores estables procedentes de repositorios como </w:t>
      </w:r>
      <w:proofErr w:type="spellStart"/>
      <w:r w:rsidR="0095537C" w:rsidRPr="0095537C">
        <w:t>Ensembl</w:t>
      </w:r>
      <w:proofErr w:type="spellEnd"/>
      <w:r w:rsidR="0095537C" w:rsidRPr="0095537C">
        <w:t xml:space="preserve"> o GENCODE</w:t>
      </w:r>
      <w:r w:rsidRPr="00BB26BD">
        <w:t xml:space="preserve">. </w:t>
      </w:r>
      <w:r w:rsidR="00720247" w:rsidRPr="00720247">
        <w:t>La ausencia de un estándar universal genera una notable disparidad en la nomenclatura. A este factor se suma</w:t>
      </w:r>
      <w:r w:rsidR="00720247">
        <w:t xml:space="preserve"> </w:t>
      </w:r>
      <w:r w:rsidRPr="00BB26BD">
        <w:t>la problemática derivada de las distintas versiones de ensamblado del genoma de referencia (como GRCh37 frente a GRCh38) y de las continuas actualizaciones de las bases de datos</w:t>
      </w:r>
      <w:r w:rsidR="0095537C">
        <w:t>;</w:t>
      </w:r>
      <w:r w:rsidRPr="00BB26BD">
        <w:t xml:space="preserve"> donde ciertos identificadores pueden quedar obsoletos, fusionarse o cambiar su definición entre versiones</w:t>
      </w:r>
      <w:r w:rsidR="00D531D1">
        <w:fldChar w:fldCharType="begin"/>
      </w:r>
      <w:r w:rsidR="00D531D1">
        <w:instrText xml:space="preserve"> ADDIN ZOTERO_ITEM CSL_CITATION {"citationID":"uOSKS5NS","properties":{"unsorted":false,"formattedCitation":"(26,27)","plainCitation":"(26,27)","noteIndex":0},"citationItems":[{"id":261,"uris":["http://zotero.org/users/local/sechomLT/items/WRRP3VX2"],"itemData":{"id":261,"type":"article-journal","container-title":"Nature methods","DOI":"10.1038/nmeth.3963","ISSN":"1548-7091","issue":"9","journalAbbreviation":"Nat Methods","page":"705-706","PMID":"27575621","PMCID":"PMC7802636","source":"PubMed Central","title":"Impact of outdated gene annotations on pathway enrichment analysis","URL":"https://pmc.ncbi.nlm.nih.gov/articles/PMC7802636/","volume":"13","author":[{"family":"Wadi","given":"Lina"},{"family":"Meyer","given":"Mona"},{"family":"Weiser","given":"Joel"},{"family":"Stein","given":"Lincoln D"},{"family":"Reimand","given":"Jüri"}],"accessed":{"date-parts":[["2026",8,25]]},"issued":{"date-parts":[["2016",8,30]]}}},{"id":267,"uris":["http://zotero.org/users/local/sechomLT/items/3ZLI39CR"],"itemData":{"id":267,"type":"article-journal","abstract":"Bioconductor is an open-source, open-development software project for the analysis and comprehension of high-throughput data in genomics and molecular biology. The project aims to enable interdisciplinary research, collaboration and rapid development of scientific software. Based on the statistical programming language R, Bioconductor comprises 934 interoperable packages contributed by a large, diverse community of scientists. Packages cover a range of bioinformatic and statistical applications. They undergo formal initial review and continuous automated testing. We present an overview for prospective users and contributors.","container-title":"Nature methods","DOI":"10.1038/nmeth.3252","ISSN":"1548-7091","issue":"2","journalAbbreviation":"Nat Methods","page":"115-121","PMID":"25633503","PMCID":"PMC4509590","source":"PubMed Central","title":"Orchestrating high-throughput genomic analysis with Bioconductor","URL":"https://pmc.ncbi.nlm.nih.gov/articles/PMC4509590/","volume":"12","author":[{"family":"Huber","given":"Wolfgang"},{"family":"Carey","given":"Vincent J."},{"family":"Gentleman","given":"Robert"},{"family":"Anders","given":"Simon"},{"family":"Carlson","given":"Marc"},{"family":"Carvalho","given":"Benilton S."},{"family":"Bravo","given":"Hector Corrada"},{"family":"Davis","given":"Sean"},{"family":"Gatto","given":"Laurent"},{"family":"Girke","given":"Thomas"},{"family":"Gottardo","given":"Raphael"},{"family":"Hahne","given":"Florian"},{"family":"Hansen","given":"Kasper D."},{"family":"Irizarry","given":"Rafael A."},{"family":"Lawrence","given":"Michael"},{"family":"Love","given":"Michael I."},{"family":"MacDonald","given":"James"},{"family":"Obenchain","given":"Valerie"},{"family":"Oleś","given":"Andrzej K."},{"family":"Pagès","given":"Hervé"},{"family":"Reyes","given":"Alejandro"},{"family":"Shannon","given":"Paul"},{"family":"Smyth","given":"Gordon K."},{"family":"Tenenbaum","given":"Dan"},{"family":"Waldron","given":"Levi"},{"family":"Morgan","given":"Martin"}],"accessed":{"date-parts":[["2026",8,25]]},"issued":{"date-parts":[["2015",2]]}}}],"schema":"https://github.com/citation-style-language/schema/raw/master/csl-citation.json"} </w:instrText>
      </w:r>
      <w:r w:rsidR="00D531D1">
        <w:fldChar w:fldCharType="separate"/>
      </w:r>
      <w:r w:rsidR="00D531D1" w:rsidRPr="00D531D1">
        <w:rPr>
          <w:rFonts w:ascii="Calibri" w:hAnsi="Calibri" w:cs="Calibri"/>
        </w:rPr>
        <w:t>(26,27)</w:t>
      </w:r>
      <w:r w:rsidR="00D531D1">
        <w:fldChar w:fldCharType="end"/>
      </w:r>
      <w:r w:rsidRPr="00BB26BD">
        <w:t xml:space="preserve">. </w:t>
      </w:r>
      <w:r w:rsidR="00E56644" w:rsidRPr="00E56644">
        <w:t xml:space="preserve">Por este motivo, se recomienda estandarizar y mapear las anotaciones hacia identificadores unívocos de </w:t>
      </w:r>
      <w:proofErr w:type="spellStart"/>
      <w:r w:rsidR="00E56644" w:rsidRPr="00E56644">
        <w:t>Entrez</w:t>
      </w:r>
      <w:proofErr w:type="spellEnd"/>
      <w:r w:rsidR="00E56644" w:rsidRPr="00E56644">
        <w:t xml:space="preserve"> Gene para los algoritmos de enriquecimiento, así como hacia símbolos oficiales de HGNC (</w:t>
      </w:r>
      <w:r w:rsidR="00E56644" w:rsidRPr="00E56644">
        <w:rPr>
          <w:i/>
          <w:iCs/>
        </w:rPr>
        <w:t xml:space="preserve">HUGO Gene Nomenclature </w:t>
      </w:r>
      <w:proofErr w:type="spellStart"/>
      <w:r w:rsidR="00E56644" w:rsidRPr="00E56644">
        <w:rPr>
          <w:i/>
          <w:iCs/>
        </w:rPr>
        <w:t>Committee</w:t>
      </w:r>
      <w:proofErr w:type="spellEnd"/>
      <w:r w:rsidR="00E56644" w:rsidRPr="00E56644">
        <w:t>) para facilitar la lectura biológica</w:t>
      </w:r>
      <w:r w:rsidR="00991CA6">
        <w:fldChar w:fldCharType="begin"/>
      </w:r>
      <w:r w:rsidR="00991CA6">
        <w:instrText xml:space="preserve"> ADDIN ZOTERO_ITEM CSL_CITATION {"citationID":"tKwTKPu1","properties":{"unsorted":true,"formattedCitation":"(28,29)","plainCitation":"(28,29)","noteIndex":0},"citationItems":[{"id":282,"uris":["http://zotero.org/users/local/sechomLT/items/86YFQJPQ"],"itemData":{"id":282,"type":"article-journal","abstract":"Pathway analysis has become the first choice for gaining insight into the underlying biology of differentially expressed genes and proteins, as it reduces complexity and has increased explanatory power. We discuss the evolution of knowledge base–driven pathway analysis over its first decade, distinctly divided into three generations. We also discuss the limitations that are specific to each generation, and how they are addressed by successive generations of methods. We identify a number of annotation challenges that must be addressed to enable development of the next generation of pathway analysis methods. Furthermore, we identify a number of methodological challenges that the next generation of methods must tackle to take advantage of the technological advances in genomics and proteomics in order to improve specificity, sensitivity, and relevance of pathway analysis.","container-title":"PLoS Computational Biology","DOI":"10.1371/journal.pcbi.1002375","ISSN":"1553-734X","issue":"2","journalAbbreviation":"PLoS Comput Biol","page":"e1002375","PMID":"22383865","PMCID":"PMC3285573","source":"PubMed Central","title":"Ten Years of Pathway Analysis: Current Approaches and Outstanding Challenges","title-short":"Ten Years of Pathway Analysis","URL":"https://pmc.ncbi.nlm.nih.gov/articles/PMC3285573/","volume":"8","author":[{"family":"Khatri","given":"Purvesh"},{"family":"Sirota","given":"Marina"},{"family":"Butte","given":"Atul J."}],"accessed":{"date-parts":[["2026",8,26]]},"issued":{"date-parts":[["2012",2,23]]}}},{"id":285,"uris":["http://zotero.org/users/local/sechomLT/items/V7BAEJMA"],"itemData":{"id":285,"type":"article-journal","abstract":"Pathway enrichment analysis helps researchers gain mechanistic insight into gene lists generated from genome-scale (omics) experiments. This method identifies biological pathways that are enriched in a gene list more than would be expected by chance. We explain the procedures of pathway enrichment analysis and present a practical step-by-step guide to help interpret gene lists resulting from RNA-seq and genome-sequencing experiments. The protocol comprises three major steps: definition of a gene list from omics data, determination of statistically enriched pathways, and visualization and interpretation of the results. We describe how to use this protocol with published examples of differentially expressed genes and mutated cancer genes; however, the principles can be applied to diverse types of omics data. The protocol describes innovative visualization techniques, provides comprehensive background and troubleshooting guidelines, and uses freely available and frequently updated software, including g:Profiler, Gene Set Enrichment Analysis (GSEA), Cytoscape and EnrichmentMap. The complete protocol can be performed in ~4.5 h and is designed for use by biologists with no prior bioinformatics training.","container-title":"Nature protocols","DOI":"10.1038/s41596-018-0103-9","ISSN":"1754-2189","issue":"2","journalAbbreviation":"Nat Protoc","page":"482-517","PMID":"30664679","PMCID":"PMC6607905","source":"PubMed Central","title":"Pathway enrichment analysis and visualization of omics data using g:Profiler, GSEA, Cytoscape and EnrichmentMap","title-short":"Pathway enrichment analysis and visualization of omics data using g","URL":"https://pmc.ncbi.nlm.nih.gov/articles/PMC6607905/","volume":"14","author":[{"family":"Reimand","given":"Jüri"},{"family":"Isser","given":"Ruth"},{"family":"Voisin","given":"Veronique"},{"family":"Kucera","given":"Mike"},{"family":"Tannus-Lopes","given":"Christian"},{"family":"Rostamianfar","given":"Asha"},{"family":"Wadi","given":"Lina"},{"family":"Meyer","given":"Mona"},{"family":"Wong","given":"Jeff"},{"family":"Xu","given":"Changjiang"},{"family":"Merico","given":"Daniele"},{"family":"Bader","given":"Gary D."}],"accessed":{"date-parts":[["2026",8,27]]},"issued":{"date-parts":[["2019",2]]}}}],"schema":"https://github.com/citation-style-language/schema/raw/master/csl-citation.json"} </w:instrText>
      </w:r>
      <w:r w:rsidR="00991CA6">
        <w:fldChar w:fldCharType="separate"/>
      </w:r>
      <w:r w:rsidR="00991CA6" w:rsidRPr="00991CA6">
        <w:rPr>
          <w:rFonts w:ascii="Calibri" w:hAnsi="Calibri" w:cs="Calibri"/>
        </w:rPr>
        <w:t>(28,29)</w:t>
      </w:r>
      <w:r w:rsidR="00991CA6">
        <w:fldChar w:fldCharType="end"/>
      </w:r>
      <w:r w:rsidR="00D531D1" w:rsidRPr="00D531D1">
        <w:t xml:space="preserve">. </w:t>
      </w:r>
      <w:r w:rsidR="00E56644" w:rsidRPr="00E56644">
        <w:t xml:space="preserve">En este contexto, el uso de paquetes de </w:t>
      </w:r>
      <w:proofErr w:type="spellStart"/>
      <w:r w:rsidR="00E56644" w:rsidRPr="00E56644">
        <w:rPr>
          <w:i/>
          <w:iCs/>
        </w:rPr>
        <w:t>Bioconductor</w:t>
      </w:r>
      <w:proofErr w:type="spellEnd"/>
      <w:r w:rsidR="00E56644">
        <w:t xml:space="preserve">, </w:t>
      </w:r>
      <w:r w:rsidR="00E56644" w:rsidRPr="00E56644">
        <w:t xml:space="preserve">como </w:t>
      </w:r>
      <w:proofErr w:type="spellStart"/>
      <w:r w:rsidR="00E56644" w:rsidRPr="00E56644">
        <w:t>AnnotationHub</w:t>
      </w:r>
      <w:proofErr w:type="spellEnd"/>
      <w:r w:rsidR="00612913">
        <w:t xml:space="preserve"> o</w:t>
      </w:r>
      <w:r w:rsidR="00E56644" w:rsidRPr="00E56644">
        <w:t xml:space="preserve"> </w:t>
      </w:r>
      <w:proofErr w:type="spellStart"/>
      <w:r w:rsidR="00E56644" w:rsidRPr="00E56644">
        <w:t>ensembldb</w:t>
      </w:r>
      <w:proofErr w:type="spellEnd"/>
      <w:r w:rsidR="00E56644">
        <w:t>,</w:t>
      </w:r>
      <w:r w:rsidR="00E56644" w:rsidRPr="00E56644">
        <w:t xml:space="preserve"> constituye una etapa crítica previa a la interpretación</w:t>
      </w:r>
      <w:r w:rsidR="006F1B52">
        <w:fldChar w:fldCharType="begin"/>
      </w:r>
      <w:r w:rsidR="006F1B52">
        <w:instrText xml:space="preserve"> ADDIN ZOTERO_ITEM CSL_CITATION {"citationID":"sbuFJKgp","properties":{"unsorted":false,"formattedCitation":"(27)","plainCitation":"(27)","noteIndex":0},"citationItems":[{"id":267,"uris":["http://zotero.org/users/local/sechomLT/items/3ZLI39CR"],"itemData":{"id":267,"type":"article-journal","abstract":"Bioconductor is an open-source, open-development software project for the analysis and comprehension of high-throughput data in genomics and molecular biology. The project aims to enable interdisciplinary research, collaboration and rapid development of scientific software. Based on the statistical programming language R, Bioconductor comprises 934 interoperable packages contributed by a large, diverse community of scientists. Packages cover a range of bioinformatic and statistical applications. They undergo formal initial review and continuous automated testing. We present an overview for prospective users and contributors.","container-title":"Nature methods","DOI":"10.1038/nmeth.3252","ISSN":"1548-7091","issue":"2","journalAbbreviation":"Nat Methods","page":"115-121","PMID":"25633503","PMCID":"PMC4509590","source":"PubMed Central","title":"Orchestrating high-throughput genomic analysis with Bioconductor","URL":"https://pmc.ncbi.nlm.nih.gov/articles/PMC4509590/","volume":"12","author":[{"family":"Huber","given":"Wolfgang"},{"family":"Carey","given":"Vincent J."},{"family":"Gentleman","given":"Robert"},{"family":"Anders","given":"Simon"},{"family":"Carlson","given":"Marc"},{"family":"Carvalho","given":"Benilton S."},{"family":"Bravo","given":"Hector Corrada"},{"family":"Davis","given":"Sean"},{"family":"Gatto","given":"Laurent"},{"family":"Girke","given":"Thomas"},{"family":"Gottardo","given":"Raphael"},{"family":"Hahne","given":"Florian"},{"family":"Hansen","given":"Kasper D."},{"family":"Irizarry","given":"Rafael A."},{"family":"Lawrence","given":"Michael"},{"family":"Love","given":"Michael I."},{"family":"MacDonald","given":"James"},{"family":"Obenchain","given":"Valerie"},{"family":"Oleś","given":"Andrzej K."},{"family":"Pagès","given":"Hervé"},{"family":"Reyes","given":"Alejandro"},{"family":"Shannon","given":"Paul"},{"family":"Smyth","given":"Gordon K."},{"family":"Tenenbaum","given":"Dan"},{"family":"Waldron","given":"Levi"},{"family":"Morgan","given":"Martin"}],"accessed":{"date-parts":[["2026",8,25]]},"issued":{"date-parts":[["2015",2]]}}}],"schema":"https://github.com/citation-style-language/schema/raw/master/csl-citation.json"} </w:instrText>
      </w:r>
      <w:r w:rsidR="006F1B52">
        <w:fldChar w:fldCharType="separate"/>
      </w:r>
      <w:r w:rsidR="006F1B52" w:rsidRPr="006F1B52">
        <w:rPr>
          <w:rFonts w:ascii="Calibri" w:hAnsi="Calibri" w:cs="Calibri"/>
        </w:rPr>
        <w:t>(27)</w:t>
      </w:r>
      <w:r w:rsidR="006F1B52">
        <w:fldChar w:fldCharType="end"/>
      </w:r>
      <w:r w:rsidRPr="00BB26BD">
        <w:t>. Este procedimiento garantiza el control estricto del versionado genómico, la reproducibilidad computacional y la preservación íntegra de la señal biológica sin pérdidas asociadas a inconsistencias en la anotación</w:t>
      </w:r>
      <w:r w:rsidR="006F1B52">
        <w:fldChar w:fldCharType="begin"/>
      </w:r>
      <w:r w:rsidR="006F1B52">
        <w:instrText xml:space="preserve"> ADDIN ZOTERO_ITEM CSL_CITATION {"citationID":"nQLdazgF","properties":{"unsorted":false,"formattedCitation":"(26,27)","plainCitation":"(26,27)","noteIndex":0},"citationItems":[{"id":261,"uris":["http://zotero.org/users/local/sechomLT/items/WRRP3VX2"],"itemData":{"id":261,"type":"article-journal","container-title":"Nature methods","DOI":"10.1038/nmeth.3963","ISSN":"1548-7091","issue":"9","journalAbbreviation":"Nat Methods","page":"705-706","PMID":"27575621","PMCID":"PMC7802636","source":"PubMed Central","title":"Impact of outdated gene annotations on pathway enrichment analysis","URL":"https://pmc.ncbi.nlm.nih.gov/articles/PMC7802636/","volume":"13","author":[{"family":"Wadi","given":"Lina"},{"family":"Meyer","given":"Mona"},{"family":"Weiser","given":"Joel"},{"family":"Stein","given":"Lincoln D"},{"family":"Reimand","given":"Jüri"}],"accessed":{"date-parts":[["2026",8,25]]},"issued":{"date-parts":[["2016",8,30]]}}},{"id":267,"uris":["http://zotero.org/users/local/sechomLT/items/3ZLI39CR"],"itemData":{"id":267,"type":"article-journal","abstract":"Bioconductor is an open-source, open-development software project for the analysis and comprehension of high-throughput data in genomics and molecular biology. The project aims to enable interdisciplinary research, collaboration and rapid development of scientific software. Based on the statistical programming language R, Bioconductor comprises 934 interoperable packages contributed by a large, diverse community of scientists. Packages cover a range of bioinformatic and statistical applications. They undergo formal initial review and continuous automated testing. We present an overview for prospective users and contributors.","container-title":"Nature methods","DOI":"10.1038/nmeth.3252","ISSN":"1548-7091","issue":"2","journalAbbreviation":"Nat Methods","page":"115-121","PMID":"25633503","PMCID":"PMC4509590","source":"PubMed Central","title":"Orchestrating high-throughput genomic analysis with Bioconductor","URL":"https://pmc.ncbi.nlm.nih.gov/articles/PMC4509590/","volume":"12","author":[{"family":"Huber","given":"Wolfgang"},{"family":"Carey","given":"Vincent J."},{"family":"Gentleman","given":"Robert"},{"family":"Anders","given":"Simon"},{"family":"Carlson","given":"Marc"},{"family":"Carvalho","given":"Benilton S."},{"family":"Bravo","given":"Hector Corrada"},{"family":"Davis","given":"Sean"},{"family":"Gatto","given":"Laurent"},{"family":"Girke","given":"Thomas"},{"family":"Gottardo","given":"Raphael"},{"family":"Hahne","given":"Florian"},{"family":"Hansen","given":"Kasper D."},{"family":"Irizarry","given":"Rafael A."},{"family":"Lawrence","given":"Michael"},{"family":"Love","given":"Michael I."},{"family":"MacDonald","given":"James"},{"family":"Obenchain","given":"Valerie"},{"family":"Oleś","given":"Andrzej K."},{"family":"Pagès","given":"Hervé"},{"family":"Reyes","given":"Alejandro"},{"family":"Shannon","given":"Paul"},{"family":"Smyth","given":"Gordon K."},{"family":"Tenenbaum","given":"Dan"},{"family":"Waldron","given":"Levi"},{"family":"Morgan","given":"Martin"}],"accessed":{"date-parts":[["2026",8,25]]},"issued":{"date-parts":[["2015",2]]}}}],"schema":"https://github.com/citation-style-language/schema/raw/master/csl-citation.json"} </w:instrText>
      </w:r>
      <w:r w:rsidR="006F1B52">
        <w:fldChar w:fldCharType="separate"/>
      </w:r>
      <w:r w:rsidR="006F1B52" w:rsidRPr="006F1B52">
        <w:rPr>
          <w:rFonts w:ascii="Calibri" w:hAnsi="Calibri" w:cs="Calibri"/>
        </w:rPr>
        <w:t>(26,27)</w:t>
      </w:r>
      <w:r w:rsidR="006F1B52">
        <w:fldChar w:fldCharType="end"/>
      </w:r>
      <w:r w:rsidRPr="00BB26BD">
        <w:t>.</w:t>
      </w:r>
    </w:p>
    <w:p w14:paraId="7E6B7C8B" w14:textId="3D7D7288" w:rsidR="003A4A72" w:rsidRPr="003A4A72" w:rsidRDefault="003A4A72" w:rsidP="003A4A72">
      <w:r w:rsidRPr="003A4A72">
        <w:t xml:space="preserve">Una vez </w:t>
      </w:r>
      <w:r w:rsidR="001A5EE7">
        <w:t>llevada a cabo la</w:t>
      </w:r>
      <w:r w:rsidRPr="003A4A72">
        <w:t xml:space="preserve"> anotación de los </w:t>
      </w:r>
      <w:r w:rsidR="00720247">
        <w:t>genes</w:t>
      </w:r>
      <w:r w:rsidRPr="003A4A72">
        <w:t xml:space="preserve">, la obtención de una lista de DEGs </w:t>
      </w:r>
      <w:r w:rsidR="001A5EE7" w:rsidRPr="001A5EE7">
        <w:t>solo ofrece una visión de alteraciones aisladas, sin explicar cómo interactúan</w:t>
      </w:r>
      <w:r w:rsidR="001A5EE7">
        <w:t xml:space="preserve"> estas</w:t>
      </w:r>
      <w:r w:rsidR="001A5EE7" w:rsidRPr="001A5EE7">
        <w:t xml:space="preserve"> entre sí</w:t>
      </w:r>
      <w:r w:rsidR="00C51AC5">
        <w:fldChar w:fldCharType="begin"/>
      </w:r>
      <w:r w:rsidR="00102321">
        <w:instrText xml:space="preserve"> ADDIN ZOTERO_ITEM CSL_CITATION {"citationID":"Dd2oCbLL","properties":{"unsorted":false,"formattedCitation":"(29,30)","plainCitation":"(29,30)","noteIndex":0},"citationItems":[{"id":285,"uris":["http://zotero.org/users/local/sechomLT/items/V7BAEJMA"],"itemData":{"id":285,"type":"article-journal","abstract":"Pathway enrichment analysis helps researchers gain mechanistic insight into gene lists generated from genome-scale (omics) experiments. This method identifies biological pathways that are enriched in a gene list more than would be expected by chance. We explain the procedures of pathway enrichment analysis and present a practical step-by-step guide to help interpret gene lists resulting from RNA-seq and genome-sequencing experiments. The protocol comprises three major steps: definition of a gene list from omics data, determination of statistically enriched pathways, and visualization and interpretation of the results. We describe how to use this protocol with published examples of differentially expressed genes and mutated cancer genes; however, the principles can be applied to diverse types of omics data. The protocol describes innovative visualization techniques, provides comprehensive background and troubleshooting guidelines, and uses freely available and frequently updated software, including g:Profiler, Gene Set Enrichment Analysis (GSEA), Cytoscape and EnrichmentMap. The complete protocol can be performed in ~4.5 h and is designed for use by biologists with no prior bioinformatics training.","container-title":"Nature protocols","DOI":"10.1038/s41596-018-0103-9","ISSN":"1754-2189","issue":"2","journalAbbreviation":"Nat Protoc","page":"482-517","PMID":"30664679","PMCID":"PMC6607905","source":"PubMed Central","title":"Pathway enrichment analysis and visualization of omics data using g:Profiler, GSEA, Cytoscape and EnrichmentMap","title-short":"Pathway enrichment analysis and visualization of omics data using g","URL":"https://pmc.ncbi.nlm.nih.gov/articles/PMC6607905/","volume":"14","author":[{"family":"Reimand","given":"Jüri"},{"family":"Isser","given":"Ruth"},{"family":"Voisin","given":"Veronique"},{"family":"Kucera","given":"Mike"},{"family":"Tannus-Lopes","given":"Christian"},{"family":"Rostamianfar","given":"Asha"},{"family":"Wadi","given":"Lina"},{"family":"Meyer","given":"Mona"},{"family":"Wong","given":"Jeff"},{"family":"Xu","given":"Changjiang"},{"family":"Merico","given":"Daniele"},{"family":"Bader","given":"Gary D."}],"accessed":{"date-parts":[["2026",8,27]]},"issued":{"date-parts":[["2019",2]]}}},{"id":276,"uris":["http://zotero.org/users/local/sechomLT/items/AQ5D72H4"],"itemData":{"id":276,"type":"article-journal","abstract":"KEGG (Kyoto Encyclopedia of Genes and Genomes) is a knowledge base for systematic analysis of gene functions, linking genomic information with higher order functional information. The genomic information is stored in the GENES database, which is a collection of gene catalogs for all the completely sequenced genomes and some partial genomes with up-to-date annotation of gene functions. The higher order functional information is stored in the PATHWAY database, which contains graphical representations of cellular processes, such as metabolism, membrane transport, signal transduction and cell cycle. The PATHWAY database is supplemented by a set of ortholog group tables for the information about conserved subpathways (pathway motifs), which are often encoded by positionally coupled genes on the chromosome and which are especially useful in predicting gene functions. A third database in KEGG is LIGAND for the information about chemical compounds, enzyme molecules and enzymatic reactions. KEGG provides Java graphics tools for browsing genome maps, comparing two genome maps and manipulating expression maps, as well as computational tools for sequence comparison, graph comparison and path computation. The KEGG databases are daily updated and made freely available (http://www.genome.ad.jp/kegg/ ).","container-title":"Nucleic Acids Research","DOI":"10.1093/nar/28.1.27","ISSN":"0305-1048","issue":"1","journalAbbreviation":"Nucleic Acids Res","page":"27-30","source":"Silverchair","title":"KEGG: Kyoto Encyclopedia of Genes and Genomes","title-short":"KEGG","URL":"https://doi.org/10.1093/nar/28.1.27","volume":"28","author":[{"family":"Kanehisa","given":"Minoru"},{"family":"Goto","given":"Susumu"}],"accessed":{"date-parts":[["2026",8,25]]},"issued":{"date-parts":[["2000",1,1]]}}}],"schema":"https://github.com/citation-style-language/schema/raw/master/csl-citation.json"} </w:instrText>
      </w:r>
      <w:r w:rsidR="00C51AC5">
        <w:fldChar w:fldCharType="separate"/>
      </w:r>
      <w:r w:rsidR="00102321" w:rsidRPr="00102321">
        <w:rPr>
          <w:rFonts w:ascii="Calibri" w:hAnsi="Calibri" w:cs="Calibri"/>
        </w:rPr>
        <w:t>(29,30)</w:t>
      </w:r>
      <w:r w:rsidR="00C51AC5">
        <w:fldChar w:fldCharType="end"/>
      </w:r>
      <w:r w:rsidRPr="003A4A72">
        <w:t xml:space="preserve">. Para </w:t>
      </w:r>
      <w:r w:rsidRPr="003A4A72">
        <w:lastRenderedPageBreak/>
        <w:t xml:space="preserve">superar esta limitación, el análisis de enriquecimiento funcional se define como el conjunto de metodologías computacionales y estadísticas orientadas a proyectar y evaluar estos conjuntos génicos dentro de bases de </w:t>
      </w:r>
      <w:r w:rsidR="001A5EE7">
        <w:t>datos especializadas</w:t>
      </w:r>
      <w:r w:rsidR="00C51AC5">
        <w:fldChar w:fldCharType="begin"/>
      </w:r>
      <w:r w:rsidR="00102321">
        <w:instrText xml:space="preserve"> ADDIN ZOTERO_ITEM CSL_CITATION {"citationID":"eV18cQOa","properties":{"unsorted":false,"formattedCitation":"(29,31,32)","plainCitation":"(29,31,32)","noteIndex":0},"citationItems":[{"id":285,"uris":["http://zotero.org/users/local/sechomLT/items/V7BAEJMA"],"itemData":{"id":285,"type":"article-journal","abstract":"Pathway enrichment analysis helps researchers gain mechanistic insight into gene lists generated from genome-scale (omics) experiments. This method identifies biological pathways that are enriched in a gene list more than would be expected by chance. We explain the procedures of pathway enrichment analysis and present a practical step-by-step guide to help interpret gene lists resulting from RNA-seq and genome-sequencing experiments. The protocol comprises three major steps: definition of a gene list from omics data, determination of statistically enriched pathways, and visualization and interpretation of the results. We describe how to use this protocol with published examples of differentially expressed genes and mutated cancer genes; however, the principles can be applied to diverse types of omics data. The protocol describes innovative visualization techniques, provides comprehensive background and troubleshooting guidelines, and uses freely available and frequently updated software, including g:Profiler, Gene Set Enrichment Analysis (GSEA), Cytoscape and EnrichmentMap. The complete protocol can be performed in ~4.5 h and is designed for use by biologists with no prior bioinformatics training.","container-title":"Nature protocols","DOI":"10.1038/s41596-018-0103-9","ISSN":"1754-2189","issue":"2","journalAbbreviation":"Nat Protoc","page":"482-517","PMID":"30664679","PMCID":"PMC6607905","source":"PubMed Central","title":"Pathway enrichment analysis and visualization of omics data using g:Profiler, GSEA, Cytoscape and EnrichmentMap","title-short":"Pathway enrichment analysis and visualization of omics data using g","URL":"https://pmc.ncbi.nlm.nih.gov/articles/PMC6607905/","volume":"14","author":[{"family":"Reimand","given":"Jüri"},{"family":"Isser","given":"Ruth"},{"family":"Voisin","given":"Veronique"},{"family":"Kucera","given":"Mike"},{"family":"Tannus-Lopes","given":"Christian"},{"family":"Rostamianfar","given":"Asha"},{"family":"Wadi","given":"Lina"},{"family":"Meyer","given":"Mona"},{"family":"Wong","given":"Jeff"},{"family":"Xu","given":"Changjiang"},{"family":"Merico","given":"Daniele"},{"family":"Bader","given":"Gary D."}],"accessed":{"date-parts":[["2026",8,27]]},"issued":{"date-parts":[["2019",2]]}}},{"id":270,"uris":["http://zotero.org/users/local/sechomLT/items/75FDJBHM"],"itemData":{"id":270,"type":"article-journal","abstract":"Functional enrichment analysis is pivotal for interpreting high-throughput omics data in life science. It is crucial for this type of tool to use the latest annotation databases for as many organisms as possible. To meet these requirements, we present here an updated version of our popular Bioconductor package, clusterProfiler 4.0. This package has been enhanced considerably compared with its original version published 9 years ago. The new version provides a universal interface for functional enrichment analysis in thousands of organisms based on internally supported ontologies and pathways as well as annotation data provided by users or derived from online databases. It also extends the dplyr and ggplot2 packages to offer tidy interfaces for data operation and visualization. Other new features include gene set enrichment analysis and comparison of enrichment results from multiple gene lists. We anticipate that clusterProfiler 4.0 will be applied to a wide range of scenarios across diverse organisms., •clusterProfiler supports exploring functional characteristics of both coding and non-coding genomics data for thousands of species with up-to-date gene annotation•It provides a universal interface for gene functional annotation from a variety of sources and thus can be applied in diverse scenarios•It provides a tidy interface to access, manipulate, and visualize enrichment results to help users achieve efficient data interpretation•Datasets obtained from multiple treatments and time points can be analyzed and compared in a single run, easily revealing functional consensus and differences among distinct conditions","container-title":"The Innovation","DOI":"10.1016/j.xinn.2021.100141","ISSN":"2666-6758","issue":"3","journalAbbreviation":"Innovation (Camb)","page":"100141","PMID":"34557778","PMCID":"PMC8454663","source":"PubMed Central","title":"clusterProfiler 4.0: A universal enrichment tool for interpreting omics data","title-short":"clusterProfiler 4.0","URL":"https://pmc.ncbi.nlm.nih.gov/articles/PMC8454663/","volume":"2","author":[{"family":"Wu","given":"Tianzhi"},{"family":"Hu","given":"Erqiang"},{"family":"Xu","given":"Shuangbin"},{"family":"Chen","given":"Meijun"},{"family":"Guo","given":"Pingfan"},{"family":"Dai","given":"Zehan"},{"family":"Feng","given":"Tingze"},{"family":"Zhou","given":"Lang"},{"family":"Tang","given":"Wenli"},{"family":"Zhan","given":"Li"},{"family":"Fu","given":"Xiaocong"},{"family":"Liu","given":"Shanshan"},{"family":"Bo","given":"Xiaochen"},{"family":"Yu","given":"Guangchuang"}],"accessed":{"date-parts":[["2026",8,25]]},"issued":{"date-parts":[["2021",7,1]]}}},{"id":279,"uris":["http://zotero.org/users/local/sechomLT/items/QR6MA7GV"],"itemData":{"id":279,"type":"article-journal","abstract":"The Gene Ontology (GO) project is the largest resource for cataloguing gene function. The combination of solid conceptual underpinnings and a practical set of features have made the GO a widely adopted resource in the research community and an essential resource for data analysis. In this chapter, we provide a concise primer for all users of the GO. We briefly introduce the structure of the ontology and explain how to interpret annotations associated with the GO.","container-title":"Methods in molecular biology (Clifton, N.J.)","DOI":"10.1007/978-1-4939-3743-1_3","ISSN":"1064-3745","journalAbbreviation":"Methods Mol Biol","page":"25-37","PMID":"27812933","PMCID":"PMC6377150","source":"PubMed Central","title":"Primer on the Gene Ontology","URL":"https://pmc.ncbi.nlm.nih.gov/articles/PMC6377150/","volume":"1446","author":[{"family":"Gaudet","given":"Pascale"},{"family":"Škunca","given":"Nives"},{"family":"Hu","given":"James C."},{"family":"Dessimoz","given":"Christophe"}],"accessed":{"date-parts":[["2026",8,26]]},"issued":{"date-parts":[["2017"]]}}}],"schema":"https://github.com/citation-style-language/schema/raw/master/csl-citation.json"} </w:instrText>
      </w:r>
      <w:r w:rsidR="00C51AC5">
        <w:fldChar w:fldCharType="separate"/>
      </w:r>
      <w:r w:rsidR="00102321" w:rsidRPr="00102321">
        <w:rPr>
          <w:rFonts w:ascii="Calibri" w:hAnsi="Calibri" w:cs="Calibri"/>
        </w:rPr>
        <w:t>(29,31,32)</w:t>
      </w:r>
      <w:r w:rsidR="00C51AC5">
        <w:fldChar w:fldCharType="end"/>
      </w:r>
      <w:r w:rsidRPr="003A4A72">
        <w:t>. Esta aproximación permite determinar si los genes identificados convergen de forma no aleatoria en procesos celulares coordinados, complejos macromoleculares o rutas de señalización específicas</w:t>
      </w:r>
      <w:r w:rsidR="00C51AC5">
        <w:fldChar w:fldCharType="begin"/>
      </w:r>
      <w:r w:rsidR="00102321">
        <w:instrText xml:space="preserve"> ADDIN ZOTERO_ITEM CSL_CITATION {"citationID":"WU7eyUvj","properties":{"unsorted":false,"formattedCitation":"(28\\uc0\\u8211{}33)","plainCitation":"(28–33)","noteIndex":0},"citationItems":[{"id":282,"uris":["http://zotero.org/users/local/sechomLT/items/86YFQJPQ"],"itemData":{"id":282,"type":"article-journal","abstract":"Pathway analysis has become the first choice for gaining insight into the underlying biology of differentially expressed genes and proteins, as it reduces complexity and has increased explanatory power. We discuss the evolution of knowledge base–driven pathway analysis over its first decade, distinctly divided into three generations. We also discuss the limitations that are specific to each generation, and how they are addressed by successive generations of methods. We identify a number of annotation challenges that must be addressed to enable development of the next generation of pathway analysis methods. Furthermore, we identify a number of methodological challenges that the next generation of methods must tackle to take advantage of the technological advances in genomics and proteomics in order to improve specificity, sensitivity, and relevance of pathway analysis.","container-title":"PLoS Computational Biology","DOI":"10.1371/journal.pcbi.1002375","ISSN":"1553-734X","issue":"2","journalAbbreviation":"PLoS Comput Biol","page":"e1002375","PMID":"22383865","PMCID":"PMC3285573","source":"PubMed Central","title":"Ten Years of Pathway Analysis: Current Approaches and Outstanding Challenges","title-short":"Ten Years of Pathway Analysis","URL":"https://pmc.ncbi.nlm.nih.gov/articles/PMC3285573/","volume":"8","author":[{"family":"Khatri","given":"Purvesh"},{"family":"Sirota","given":"Marina"},{"family":"Butte","given":"Atul J."}],"accessed":{"date-parts":[["2026",8,26]]},"issued":{"date-parts":[["2012",2,23]]}}},{"id":285,"uris":["http://zotero.org/users/local/sechomLT/items/V7BAEJMA"],"itemData":{"id":285,"type":"article-journal","abstract":"Pathway enrichment analysis helps researchers gain mechanistic insight into gene lists generated from genome-scale (omics) experiments. This method identifies biological pathways that are enriched in a gene list more than would be expected by chance. We explain the procedures of pathway enrichment analysis and present a practical step-by-step guide to help interpret gene lists resulting from RNA-seq and genome-sequencing experiments. The protocol comprises three major steps: definition of a gene list from omics data, determination of statistically enriched pathways, and visualization and interpretation of the results. We describe how to use this protocol with published examples of differentially expressed genes and mutated cancer genes; however, the principles can be applied to diverse types of omics data. The protocol describes innovative visualization techniques, provides comprehensive background and troubleshooting guidelines, and uses freely available and frequently updated software, including g:Profiler, Gene Set Enrichment Analysis (GSEA), Cytoscape and EnrichmentMap. The complete protocol can be performed in ~4.5 h and is designed for use by biologists with no prior bioinformatics training.","container-title":"Nature protocols","DOI":"10.1038/s41596-018-0103-9","ISSN":"1754-2189","issue":"2","journalAbbreviation":"Nat Protoc","page":"482-517","PMID":"30664679","PMCID":"PMC6607905","source":"PubMed Central","title":"Pathway enrichment analysis and visualization of omics data using g:Profiler, GSEA, Cytoscape and EnrichmentMap","title-short":"Pathway enrichment analysis and visualization of omics data using g","URL":"https://pmc.ncbi.nlm.nih.gov/articles/PMC6607905/","volume":"14","author":[{"family":"Reimand","given":"Jüri"},{"family":"Isser","given":"Ruth"},{"family":"Voisin","given":"Veronique"},{"family":"Kucera","given":"Mike"},{"family":"Tannus-Lopes","given":"Christian"},{"family":"Rostamianfar","given":"Asha"},{"family":"Wadi","given":"Lina"},{"family":"Meyer","given":"Mona"},{"family":"Wong","given":"Jeff"},{"family":"Xu","given":"Changjiang"},{"family":"Merico","given":"Daniele"},{"family":"Bader","given":"Gary D."}],"accessed":{"date-parts":[["2026",8,27]]},"issued":{"date-parts":[["2019",2]]}}},{"id":276,"uris":["http://zotero.org/users/local/sechomLT/items/AQ5D72H4"],"itemData":{"id":276,"type":"article-journal","abstract":"KEGG (Kyoto Encyclopedia of Genes and Genomes) is a knowledge base for systematic analysis of gene functions, linking genomic information with higher order functional information. The genomic information is stored in the GENES database, which is a collection of gene catalogs for all the completely sequenced genomes and some partial genomes with up-to-date annotation of gene functions. The higher order functional information is stored in the PATHWAY database, which contains graphical representations of cellular processes, such as metabolism, membrane transport, signal transduction and cell cycle. The PATHWAY database is supplemented by a set of ortholog group tables for the information about conserved subpathways (pathway motifs), which are often encoded by positionally coupled genes on the chromosome and which are especially useful in predicting gene functions. A third database in KEGG is LIGAND for the information about chemical compounds, enzyme molecules and enzymatic reactions. KEGG provides Java graphics tools for browsing genome maps, comparing two genome maps and manipulating expression maps, as well as computational tools for sequence comparison, graph comparison and path computation. The KEGG databases are daily updated and made freely available (http://www.genome.ad.jp/kegg/ ).","container-title":"Nucleic Acids Research","DOI":"10.1093/nar/28.1.27","ISSN":"0305-1048","issue":"1","journalAbbreviation":"Nucleic Acids Res","page":"27-30","source":"Silverchair","title":"KEGG: Kyoto Encyclopedia of Genes and Genomes","title-short":"KEGG","URL":"https://doi.org/10.1093/nar/28.1.27","volume":"28","author":[{"family":"Kanehisa","given":"Minoru"},{"family":"Goto","given":"Susumu"}],"accessed":{"date-parts":[["2026",8,25]]},"issued":{"date-parts":[["2000",1,1]]}}},{"id":270,"uris":["http://zotero.org/users/local/sechomLT/items/75FDJBHM"],"itemData":{"id":270,"type":"article-journal","abstract":"Functional enrichment analysis is pivotal for interpreting high-throughput omics data in life science. It is crucial for this type of tool to use the latest annotation databases for as many organisms as possible. To meet these requirements, we present here an updated version of our popular Bioconductor package, clusterProfiler 4.0. This package has been enhanced considerably compared with its original version published 9 years ago. The new version provides a universal interface for functional enrichment analysis in thousands of organisms based on internally supported ontologies and pathways as well as annotation data provided by users or derived from online databases. It also extends the dplyr and ggplot2 packages to offer tidy interfaces for data operation and visualization. Other new features include gene set enrichment analysis and comparison of enrichment results from multiple gene lists. We anticipate that clusterProfiler 4.0 will be applied to a wide range of scenarios across diverse organisms., •clusterProfiler supports exploring functional characteristics of both coding and non-coding genomics data for thousands of species with up-to-date gene annotation•It provides a universal interface for gene functional annotation from a variety of sources and thus can be applied in diverse scenarios•It provides a tidy interface to access, manipulate, and visualize enrichment results to help users achieve efficient data interpretation•Datasets obtained from multiple treatments and time points can be analyzed and compared in a single run, easily revealing functional consensus and differences among distinct conditions","container-title":"The Innovation","DOI":"10.1016/j.xinn.2021.100141","ISSN":"2666-6758","issue":"3","journalAbbreviation":"Innovation (Camb)","page":"100141","PMID":"34557778","PMCID":"PMC8454663","source":"PubMed Central","title":"clusterProfiler 4.0: A universal enrichment tool for interpreting omics data","title-short":"clusterProfiler 4.0","URL":"https://pmc.ncbi.nlm.nih.gov/articles/PMC8454663/","volume":"2","author":[{"family":"Wu","given":"Tianzhi"},{"family":"Hu","given":"Erqiang"},{"family":"Xu","given":"Shuangbin"},{"family":"Chen","given":"Meijun"},{"family":"Guo","given":"Pingfan"},{"family":"Dai","given":"Zehan"},{"family":"Feng","given":"Tingze"},{"family":"Zhou","given":"Lang"},{"family":"Tang","given":"Wenli"},{"family":"Zhan","given":"Li"},{"family":"Fu","given":"Xiaocong"},{"family":"Liu","given":"Shanshan"},{"family":"Bo","given":"Xiaochen"},{"family":"Yu","given":"Guangchuang"}],"accessed":{"date-parts":[["2026",8,25]]},"issued":{"date-parts":[["2021",7,1]]}}},{"id":279,"uris":["http://zotero.org/users/local/sechomLT/items/QR6MA7GV"],"itemData":{"id":279,"type":"article-journal","abstract":"The Gene Ontology (GO) project is the largest resource for cataloguing gene function. The combination of solid conceptual underpinnings and a practical set of features have made the GO a widely adopted resource in the research community and an essential resource for data analysis. In this chapter, we provide a concise primer for all users of the GO. We briefly introduce the structure of the ontology and explain how to interpret annotations associated with the GO.","container-title":"Methods in molecular biology (Clifton, N.J.)","DOI":"10.1007/978-1-4939-3743-1_3","ISSN":"1064-3745","journalAbbreviation":"Methods Mol Biol","page":"25-37","PMID":"27812933","PMCID":"PMC6377150","source":"PubMed Central","title":"Primer on the Gene Ontology","URL":"https://pmc.ncbi.nlm.nih.gov/articles/PMC6377150/","volume":"1446","author":[{"family":"Gaudet","given":"Pascale"},{"family":"Škunca","given":"Nives"},{"family":"Hu","given":"James C."},{"family":"Dessimoz","given":"Christophe"}],"accessed":{"date-parts":[["2026",8,26]]},"issued":{"date-parts":[["2017"]]}}},{"id":273,"uris":["http://zotero.org/users/local/sechomLT/items/UJJH2F6U"],"itemData":{"id":273,"type":"article-journal","abstract":"The Gene Ontology Consortium (GOC) provides the most comprehensive resource currently available for computable knowledge regarding the functions of genes and gene products. Here, we report the advances of the consortium over the past two years. The new GO-CAM annotation framework was notably improved, and we formalized the model with a computational schema to check and validate the rapidly increasing repository of 2838 GO-CAMs. In addition, we describe the impacts of several collaborations to refine GO and report a 10% increase in the number of GO annotations, a 25% increase in annotated gene products, and over 9,400 new scientific articles annotated. As the project matures, we continue our efforts to review older annotations in light of newer findings, and, to maintain consistency with other ontologies. As a result, 20 000 annotations derived from experimental data were reviewed, corresponding to 2.5% of experimental GO annotations. The website (http://geneontology.org) was redesigned for quick access to documentation, downloads and tools. To maintain an accurate resource and support traceability and reproducibility, we have made available a historical archive covering the past 15 years of GO data with a consistent format and file structure for both the ontology and annotations.","container-title":"Nucleic Acids Research","DOI":"10.1093/nar/gkaa1113","ISSN":"0305-1048","issue":"D1","journalAbbreviation":"Nucleic Acids Res","page":"D325-D334","PMID":"33290552","PMCID":"PMC7779012","source":"PubMed Central","title":"The Gene Ontology resource: enriching a GOld mine","title-short":"The Gene Ontology resource","URL":"https://pmc.ncbi.nlm.nih.gov/articles/PMC7779012/","volume":"49","accessed":{"date-parts":[["2026",8,25]]},"issued":{"date-parts":[["2020",12,8]]}}}],"schema":"https://github.com/citation-style-language/schema/raw/master/csl-citation.json"} </w:instrText>
      </w:r>
      <w:r w:rsidR="00C51AC5">
        <w:fldChar w:fldCharType="separate"/>
      </w:r>
      <w:r w:rsidR="00102321" w:rsidRPr="00102321">
        <w:rPr>
          <w:rFonts w:ascii="Calibri" w:hAnsi="Calibri" w:cs="Calibri"/>
        </w:rPr>
        <w:t>(28–33)</w:t>
      </w:r>
      <w:r w:rsidR="00C51AC5">
        <w:fldChar w:fldCharType="end"/>
      </w:r>
      <w:r w:rsidRPr="003A4A72">
        <w:t xml:space="preserve">. De este modo, el análisis trasciende la simple enumeración de alteraciones </w:t>
      </w:r>
      <w:r w:rsidR="00C27E19" w:rsidRPr="00C27E19">
        <w:t>transcripcionales</w:t>
      </w:r>
      <w:r w:rsidR="00C27E19">
        <w:t xml:space="preserve"> </w:t>
      </w:r>
      <w:r w:rsidRPr="003A4A72">
        <w:t>aisladas hacia una visión sistémica de las redes moleculares desreguladas en la célula tumoral, facilitando la interpretación de los hallazgos</w:t>
      </w:r>
      <w:r w:rsidR="00570271">
        <w:fldChar w:fldCharType="begin"/>
      </w:r>
      <w:r w:rsidR="00102321">
        <w:instrText xml:space="preserve"> ADDIN ZOTERO_ITEM CSL_CITATION {"citationID":"NVYpSQkj","properties":{"unsorted":false,"formattedCitation":"(28\\uc0\\u8211{}31)","plainCitation":"(28–31)","noteIndex":0},"citationItems":[{"id":282,"uris":["http://zotero.org/users/local/sechomLT/items/86YFQJPQ"],"itemData":{"id":282,"type":"article-journal","abstract":"Pathway analysis has become the first choice for gaining insight into the underlying biology of differentially expressed genes and proteins, as it reduces complexity and has increased explanatory power. We discuss the evolution of knowledge base–driven pathway analysis over its first decade, distinctly divided into three generations. We also discuss the limitations that are specific to each generation, and how they are addressed by successive generations of methods. We identify a number of annotation challenges that must be addressed to enable development of the next generation of pathway analysis methods. Furthermore, we identify a number of methodological challenges that the next generation of methods must tackle to take advantage of the technological advances in genomics and proteomics in order to improve specificity, sensitivity, and relevance of pathway analysis.","container-title":"PLoS Computational Biology","DOI":"10.1371/journal.pcbi.1002375","ISSN":"1553-734X","issue":"2","journalAbbreviation":"PLoS Comput Biol","page":"e1002375","PMID":"22383865","PMCID":"PMC3285573","source":"PubMed Central","title":"Ten Years of Pathway Analysis: Current Approaches and Outstanding Challenges","title-short":"Ten Years of Pathway Analysis","URL":"https://pmc.ncbi.nlm.nih.gov/articles/PMC3285573/","volume":"8","author":[{"family":"Khatri","given":"Purvesh"},{"family":"Sirota","given":"Marina"},{"family":"Butte","given":"Atul J."}],"accessed":{"date-parts":[["2026",8,26]]},"issued":{"date-parts":[["2012",2,23]]}}},{"id":285,"uris":["http://zotero.org/users/local/sechomLT/items/V7BAEJMA"],"itemData":{"id":285,"type":"article-journal","abstract":"Pathway enrichment analysis helps researchers gain mechanistic insight into gene lists generated from genome-scale (omics) experiments. This method identifies biological pathways that are enriched in a gene list more than would be expected by chance. We explain the procedures of pathway enrichment analysis and present a practical step-by-step guide to help interpret gene lists resulting from RNA-seq and genome-sequencing experiments. The protocol comprises three major steps: definition of a gene list from omics data, determination of statistically enriched pathways, and visualization and interpretation of the results. We describe how to use this protocol with published examples of differentially expressed genes and mutated cancer genes; however, the principles can be applied to diverse types of omics data. The protocol describes innovative visualization techniques, provides comprehensive background and troubleshooting guidelines, and uses freely available and frequently updated software, including g:Profiler, Gene Set Enrichment Analysis (GSEA), Cytoscape and EnrichmentMap. The complete protocol can be performed in ~4.5 h and is designed for use by biologists with no prior bioinformatics training.","container-title":"Nature protocols","DOI":"10.1038/s41596-018-0103-9","ISSN":"1754-2189","issue":"2","journalAbbreviation":"Nat Protoc","page":"482-517","PMID":"30664679","PMCID":"PMC6607905","source":"PubMed Central","title":"Pathway enrichment analysis and visualization of omics data using g:Profiler, GSEA, Cytoscape and EnrichmentMap","title-short":"Pathway enrichment analysis and visualization of omics data using g","URL":"https://pmc.ncbi.nlm.nih.gov/articles/PMC6607905/","volume":"14","author":[{"family":"Reimand","given":"Jüri"},{"family":"Isser","given":"Ruth"},{"family":"Voisin","given":"Veronique"},{"family":"Kucera","given":"Mike"},{"family":"Tannus-Lopes","given":"Christian"},{"family":"Rostamianfar","given":"Asha"},{"family":"Wadi","given":"Lina"},{"family":"Meyer","given":"Mona"},{"family":"Wong","given":"Jeff"},{"family":"Xu","given":"Changjiang"},{"family":"Merico","given":"Daniele"},{"family":"Bader","given":"Gary D."}],"accessed":{"date-parts":[["2026",8,27]]},"issued":{"date-parts":[["2019",2]]}}},{"id":276,"uris":["http://zotero.org/users/local/sechomLT/items/AQ5D72H4"],"itemData":{"id":276,"type":"article-journal","abstract":"KEGG (Kyoto Encyclopedia of Genes and Genomes) is a knowledge base for systematic analysis of gene functions, linking genomic information with higher order functional information. The genomic information is stored in the GENES database, which is a collection of gene catalogs for all the completely sequenced genomes and some partial genomes with up-to-date annotation of gene functions. The higher order functional information is stored in the PATHWAY database, which contains graphical representations of cellular processes, such as metabolism, membrane transport, signal transduction and cell cycle. The PATHWAY database is supplemented by a set of ortholog group tables for the information about conserved subpathways (pathway motifs), which are often encoded by positionally coupled genes on the chromosome and which are especially useful in predicting gene functions. A third database in KEGG is LIGAND for the information about chemical compounds, enzyme molecules and enzymatic reactions. KEGG provides Java graphics tools for browsing genome maps, comparing two genome maps and manipulating expression maps, as well as computational tools for sequence comparison, graph comparison and path computation. The KEGG databases are daily updated and made freely available (http://www.genome.ad.jp/kegg/ ).","container-title":"Nucleic Acids Research","DOI":"10.1093/nar/28.1.27","ISSN":"0305-1048","issue":"1","journalAbbreviation":"Nucleic Acids Res","page":"27-30","source":"Silverchair","title":"KEGG: Kyoto Encyclopedia of Genes and Genomes","title-short":"KEGG","URL":"https://doi.org/10.1093/nar/28.1.27","volume":"28","author":[{"family":"Kanehisa","given":"Minoru"},{"family":"Goto","given":"Susumu"}],"accessed":{"date-parts":[["2026",8,25]]},"issued":{"date-parts":[["2000",1,1]]}}},{"id":270,"uris":["http://zotero.org/users/local/sechomLT/items/75FDJBHM"],"itemData":{"id":270,"type":"article-journal","abstract":"Functional enrichment analysis is pivotal for interpreting high-throughput omics data in life science. It is crucial for this type of tool to use the latest annotation databases for as many organisms as possible. To meet these requirements, we present here an updated version of our popular Bioconductor package, clusterProfiler 4.0. This package has been enhanced considerably compared with its original version published 9 years ago. The new version provides a universal interface for functional enrichment analysis in thousands of organisms based on internally supported ontologies and pathways as well as annotation data provided by users or derived from online databases. It also extends the dplyr and ggplot2 packages to offer tidy interfaces for data operation and visualization. Other new features include gene set enrichment analysis and comparison of enrichment results from multiple gene lists. We anticipate that clusterProfiler 4.0 will be applied to a wide range of scenarios across diverse organisms., •clusterProfiler supports exploring functional characteristics of both coding and non-coding genomics data for thousands of species with up-to-date gene annotation•It provides a universal interface for gene functional annotation from a variety of sources and thus can be applied in diverse scenarios•It provides a tidy interface to access, manipulate, and visualize enrichment results to help users achieve efficient data interpretation•Datasets obtained from multiple treatments and time points can be analyzed and compared in a single run, easily revealing functional consensus and differences among distinct conditions","container-title":"The Innovation","DOI":"10.1016/j.xinn.2021.100141","ISSN":"2666-6758","issue":"3","journalAbbreviation":"Innovation (Camb)","page":"100141","PMID":"34557778","PMCID":"PMC8454663","source":"PubMed Central","title":"clusterProfiler 4.0: A universal enrichment tool for interpreting omics data","title-short":"clusterProfiler 4.0","URL":"https://pmc.ncbi.nlm.nih.gov/articles/PMC8454663/","volume":"2","author":[{"family":"Wu","given":"Tianzhi"},{"family":"Hu","given":"Erqiang"},{"family":"Xu","given":"Shuangbin"},{"family":"Chen","given":"Meijun"},{"family":"Guo","given":"Pingfan"},{"family":"Dai","given":"Zehan"},{"family":"Feng","given":"Tingze"},{"family":"Zhou","given":"Lang"},{"family":"Tang","given":"Wenli"},{"family":"Zhan","given":"Li"},{"family":"Fu","given":"Xiaocong"},{"family":"Liu","given":"Shanshan"},{"family":"Bo","given":"Xiaochen"},{"family":"Yu","given":"Guangchuang"}],"accessed":{"date-parts":[["2026",8,25]]},"issued":{"date-parts":[["2021",7,1]]}}}],"schema":"https://github.com/citation-style-language/schema/raw/master/csl-citation.json"} </w:instrText>
      </w:r>
      <w:r w:rsidR="00570271">
        <w:fldChar w:fldCharType="separate"/>
      </w:r>
      <w:r w:rsidR="00102321" w:rsidRPr="00102321">
        <w:rPr>
          <w:rFonts w:ascii="Calibri" w:hAnsi="Calibri" w:cs="Calibri"/>
        </w:rPr>
        <w:t>(28–31)</w:t>
      </w:r>
      <w:r w:rsidR="00570271">
        <w:fldChar w:fldCharType="end"/>
      </w:r>
      <w:r w:rsidRPr="003A4A72">
        <w:t>.</w:t>
      </w:r>
    </w:p>
    <w:p w14:paraId="289A41D4" w14:textId="3451C1E4" w:rsidR="00D167AC" w:rsidRDefault="00570271" w:rsidP="0095537C">
      <w:r w:rsidRPr="00570271">
        <w:t xml:space="preserve">Para estructurar este conocimiento, el consorcio </w:t>
      </w:r>
      <w:r w:rsidRPr="00570271">
        <w:rPr>
          <w:i/>
          <w:iCs/>
        </w:rPr>
        <w:t>Gene Ontology</w:t>
      </w:r>
      <w:r w:rsidRPr="00570271">
        <w:t xml:space="preserve"> (GO) constituye el recurso de anotación funcional más extendido en biología computacional</w:t>
      </w:r>
      <w:r w:rsidR="002702EE">
        <w:fldChar w:fldCharType="begin"/>
      </w:r>
      <w:r w:rsidR="007B3093">
        <w:instrText xml:space="preserve"> ADDIN ZOTERO_ITEM CSL_CITATION {"citationID":"gtMm7a94","properties":{"unsorted":false,"formattedCitation":"(28,29,32,33)","plainCitation":"(28,29,32,33)","noteIndex":0},"citationItems":[{"id":282,"uris":["http://zotero.org/users/local/sechomLT/items/86YFQJPQ"],"itemData":{"id":282,"type":"article-journal","abstract":"Pathway analysis has become the first choice for gaining insight into the underlying biology of differentially expressed genes and proteins, as it reduces complexity and has increased explanatory power. We discuss the evolution of knowledge base–driven pathway analysis over its first decade, distinctly divided into three generations. We also discuss the limitations that are specific to each generation, and how they are addressed by successive generations of methods. We identify a number of annotation challenges that must be addressed to enable development of the next generation of pathway analysis methods. Furthermore, we identify a number of methodological challenges that the next generation of methods must tackle to take advantage of the technological advances in genomics and proteomics in order to improve specificity, sensitivity, and relevance of pathway analysis.","container-title":"PLoS Computational Biology","DOI":"10.1371/journal.pcbi.1002375","ISSN":"1553-734X","issue":"2","journalAbbreviation":"PLoS Comput Biol","page":"e1002375","PMID":"22383865","PMCID":"PMC3285573","source":"PubMed Central","title":"Ten Years of Pathway Analysis: Current Approaches and Outstanding Challenges","title-short":"Ten Years of Pathway Analysis","URL":"https://pmc.ncbi.nlm.nih.gov/articles/PMC3285573/","volume":"8","author":[{"family":"Khatri","given":"Purvesh"},{"family":"Sirota","given":"Marina"},{"family":"Butte","given":"Atul J."}],"accessed":{"date-parts":[["2026",8,26]]},"issued":{"date-parts":[["2012",2,23]]}}},{"id":285,"uris":["http://zotero.org/users/local/sechomLT/items/V7BAEJMA"],"itemData":{"id":285,"type":"article-journal","abstract":"Pathway enrichment analysis helps researchers gain mechanistic insight into gene lists generated from genome-scale (omics) experiments. This method identifies biological pathways that are enriched in a gene list more than would be expected by chance. We explain the procedures of pathway enrichment analysis and present a practical step-by-step guide to help interpret gene lists resulting from RNA-seq and genome-sequencing experiments. The protocol comprises three major steps: definition of a gene list from omics data, determination of statistically enriched pathways, and visualization and interpretation of the results. We describe how to use this protocol with published examples of differentially expressed genes and mutated cancer genes; however, the principles can be applied to diverse types of omics data. The protocol describes innovative visualization techniques, provides comprehensive background and troubleshooting guidelines, and uses freely available and frequently updated software, including g:Profiler, Gene Set Enrichment Analysis (GSEA), Cytoscape and EnrichmentMap. The complete protocol can be performed in ~4.5 h and is designed for use by biologists with no prior bioinformatics training.","container-title":"Nature protocols","DOI":"10.1038/s41596-018-0103-9","ISSN":"1754-2189","issue":"2","journalAbbreviation":"Nat Protoc","page":"482-517","PMID":"30664679","PMCID":"PMC6607905","source":"PubMed Central","title":"Pathway enrichment analysis and visualization of omics data using g:Profiler, GSEA, Cytoscape and EnrichmentMap","title-short":"Pathway enrichment analysis and visualization of omics data using g","URL":"https://pmc.ncbi.nlm.nih.gov/articles/PMC6607905/","volume":"14","author":[{"family":"Reimand","given":"Jüri"},{"family":"Isser","given":"Ruth"},{"family":"Voisin","given":"Veronique"},{"family":"Kucera","given":"Mike"},{"family":"Tannus-Lopes","given":"Christian"},{"family":"Rostamianfar","given":"Asha"},{"family":"Wadi","given":"Lina"},{"family":"Meyer","given":"Mona"},{"family":"Wong","given":"Jeff"},{"family":"Xu","given":"Changjiang"},{"family":"Merico","given":"Daniele"},{"family":"Bader","given":"Gary D."}],"accessed":{"date-parts":[["2026",8,27]]},"issued":{"date-parts":[["2019",2]]}}},{"id":279,"uris":["http://zotero.org/users/local/sechomLT/items/QR6MA7GV"],"itemData":{"id":279,"type":"article-journal","abstract":"The Gene Ontology (GO) project is the largest resource for cataloguing gene function. The combination of solid conceptual underpinnings and a practical set of features have made the GO a widely adopted resource in the research community and an essential resource for data analysis. In this chapter, we provide a concise primer for all users of the GO. We briefly introduce the structure of the ontology and explain how to interpret annotations associated with the GO.","container-title":"Methods in molecular biology (Clifton, N.J.)","DOI":"10.1007/978-1-4939-3743-1_3","ISSN":"1064-3745","journalAbbreviation":"Methods Mol Biol","page":"25-37","PMID":"27812933","PMCID":"PMC6377150","source":"PubMed Central","title":"Primer on the Gene Ontology","URL":"https://pmc.ncbi.nlm.nih.gov/articles/PMC6377150/","volume":"1446","author":[{"family":"Gaudet","given":"Pascale"},{"family":"Škunca","given":"Nives"},{"family":"Hu","given":"James C."},{"family":"Dessimoz","given":"Christophe"}],"accessed":{"date-parts":[["2026",8,26]]},"issued":{"date-parts":[["2017"]]}}},{"id":273,"uris":["http://zotero.org/users/local/sechomLT/items/UJJH2F6U"],"itemData":{"id":273,"type":"article-journal","abstract":"The Gene Ontology Consortium (GOC) provides the most comprehensive resource currently available for computable knowledge regarding the functions of genes and gene products. Here, we report the advances of the consortium over the past two years. The new GO-CAM annotation framework was notably improved, and we formalized the model with a computational schema to check and validate the rapidly increasing repository of 2838 GO-CAMs. In addition, we describe the impacts of several collaborations to refine GO and report a 10% increase in the number of GO annotations, a 25% increase in annotated gene products, and over 9,400 new scientific articles annotated. As the project matures, we continue our efforts to review older annotations in light of newer findings, and, to maintain consistency with other ontologies. As a result, 20 000 annotations derived from experimental data were reviewed, corresponding to 2.5% of experimental GO annotations. The website (http://geneontology.org) was redesigned for quick access to documentation, downloads and tools. To maintain an accurate resource and support traceability and reproducibility, we have made available a historical archive covering the past 15 years of GO data with a consistent format and file structure for both the ontology and annotations.","container-title":"Nucleic Acids Research","DOI":"10.1093/nar/gkaa1113","ISSN":"0305-1048","issue":"D1","journalAbbreviation":"Nucleic Acids Res","page":"D325-D334","PMID":"33290552","PMCID":"PMC7779012","source":"PubMed Central","title":"The Gene Ontology resource: enriching a GOld mine","title-short":"The Gene Ontology resource","URL":"https://pmc.ncbi.nlm.nih.gov/articles/PMC7779012/","volume":"49","accessed":{"date-parts":[["2026",8,25]]},"issued":{"date-parts":[["2020",12,8]]}}}],"schema":"https://github.com/citation-style-language/schema/raw/master/csl-citation.json"} </w:instrText>
      </w:r>
      <w:r w:rsidR="002702EE">
        <w:fldChar w:fldCharType="separate"/>
      </w:r>
      <w:r w:rsidR="007B3093" w:rsidRPr="007B3093">
        <w:rPr>
          <w:rFonts w:ascii="Calibri" w:hAnsi="Calibri" w:cs="Calibri"/>
        </w:rPr>
        <w:t>(28,29,32,33)</w:t>
      </w:r>
      <w:r w:rsidR="002702EE">
        <w:fldChar w:fldCharType="end"/>
      </w:r>
      <w:r w:rsidRPr="00570271">
        <w:t xml:space="preserve">. </w:t>
      </w:r>
      <w:r w:rsidR="002702EE" w:rsidRPr="002702EE">
        <w:t>GO clasifica las funciones génicas a través de un vocabulario controlado y estructurado de forma jerárquica (mediante un gráfico acíclico dirigido), definiendo los términos y sus relaciones semánticas de parentesco</w:t>
      </w:r>
      <w:r w:rsidR="002702EE">
        <w:fldChar w:fldCharType="begin"/>
      </w:r>
      <w:r w:rsidR="00991CA6">
        <w:instrText xml:space="preserve"> ADDIN ZOTERO_ITEM CSL_CITATION {"citationID":"AXZM9yqu","properties":{"unsorted":false,"formattedCitation":"(31\\uc0\\u8211{}33)","plainCitation":"(31–33)","noteIndex":0},"citationItems":[{"id":270,"uris":["http://zotero.org/users/local/sechomLT/items/75FDJBHM"],"itemData":{"id":270,"type":"article-journal","abstract":"Functional enrichment analysis is pivotal for interpreting high-throughput omics data in life science. It is crucial for this type of tool to use the latest annotation databases for as many organisms as possible. To meet these requirements, we present here an updated version of our popular Bioconductor package, clusterProfiler 4.0. This package has been enhanced considerably compared with its original version published 9 years ago. The new version provides a universal interface for functional enrichment analysis in thousands of organisms based on internally supported ontologies and pathways as well as annotation data provided by users or derived from online databases. It also extends the dplyr and ggplot2 packages to offer tidy interfaces for data operation and visualization. Other new features include gene set enrichment analysis and comparison of enrichment results from multiple gene lists. We anticipate that clusterProfiler 4.0 will be applied to a wide range of scenarios across diverse organisms., •clusterProfiler supports exploring functional characteristics of both coding and non-coding genomics data for thousands of species with up-to-date gene annotation•It provides a universal interface for gene functional annotation from a variety of sources and thus can be applied in diverse scenarios•It provides a tidy interface to access, manipulate, and visualize enrichment results to help users achieve efficient data interpretation•Datasets obtained from multiple treatments and time points can be analyzed and compared in a single run, easily revealing functional consensus and differences among distinct conditions","container-title":"The Innovation","DOI":"10.1016/j.xinn.2021.100141","ISSN":"2666-6758","issue":"3","journalAbbreviation":"Innovation (Camb)","page":"100141","PMID":"34557778","PMCID":"PMC8454663","source":"PubMed Central","title":"clusterProfiler 4.0: A universal enrichment tool for interpreting omics data","title-short":"clusterProfiler 4.0","URL":"https://pmc.ncbi.nlm.nih.gov/articles/PMC8454663/","volume":"2","author":[{"family":"Wu","given":"Tianzhi"},{"family":"Hu","given":"Erqiang"},{"family":"Xu","given":"Shuangbin"},{"family":"Chen","given":"Meijun"},{"family":"Guo","given":"Pingfan"},{"family":"Dai","given":"Zehan"},{"family":"Feng","given":"Tingze"},{"family":"Zhou","given":"Lang"},{"family":"Tang","given":"Wenli"},{"family":"Zhan","given":"Li"},{"family":"Fu","given":"Xiaocong"},{"family":"Liu","given":"Shanshan"},{"family":"Bo","given":"Xiaochen"},{"family":"Yu","given":"Guangchuang"}],"accessed":{"date-parts":[["2026",8,25]]},"issued":{"date-parts":[["2021",7,1]]}}},{"id":279,"uris":["http://zotero.org/users/local/sechomLT/items/QR6MA7GV"],"itemData":{"id":279,"type":"article-journal","abstract":"The Gene Ontology (GO) project is the largest resource for cataloguing gene function. The combination of solid conceptual underpinnings and a practical set of features have made the GO a widely adopted resource in the research community and an essential resource for data analysis. In this chapter, we provide a concise primer for all users of the GO. We briefly introduce the structure of the ontology and explain how to interpret annotations associated with the GO.","container-title":"Methods in molecular biology (Clifton, N.J.)","DOI":"10.1007/978-1-4939-3743-1_3","ISSN":"1064-3745","journalAbbreviation":"Methods Mol Biol","page":"25-37","PMID":"27812933","PMCID":"PMC6377150","source":"PubMed Central","title":"Primer on the Gene Ontology","URL":"https://pmc.ncbi.nlm.nih.gov/articles/PMC6377150/","volume":"1446","author":[{"family":"Gaudet","given":"Pascale"},{"family":"Škunca","given":"Nives"},{"family":"Hu","given":"James C."},{"family":"Dessimoz","given":"Christophe"}],"accessed":{"date-parts":[["2026",8,26]]},"issued":{"date-parts":[["2017"]]}}},{"id":273,"uris":["http://zotero.org/users/local/sechomLT/items/UJJH2F6U"],"itemData":{"id":273,"type":"article-journal","abstract":"The Gene Ontology Consortium (GOC) provides the most comprehensive resource currently available for computable knowledge regarding the functions of genes and gene products. Here, we report the advances of the consortium over the past two years. The new GO-CAM annotation framework was notably improved, and we formalized the model with a computational schema to check and validate the rapidly increasing repository of 2838 GO-CAMs. In addition, we describe the impacts of several collaborations to refine GO and report a 10% increase in the number of GO annotations, a 25% increase in annotated gene products, and over 9,400 new scientific articles annotated. As the project matures, we continue our efforts to review older annotations in light of newer findings, and, to maintain consistency with other ontologies. As a result, 20 000 annotations derived from experimental data were reviewed, corresponding to 2.5% of experimental GO annotations. The website (http://geneontology.org) was redesigned for quick access to documentation, downloads and tools. To maintain an accurate resource and support traceability and reproducibility, we have made available a historical archive covering the past 15 years of GO data with a consistent format and file structure for both the ontology and annotations.","container-title":"Nucleic Acids Research","DOI":"10.1093/nar/gkaa1113","ISSN":"0305-1048","issue":"D1","journalAbbreviation":"Nucleic Acids Res","page":"D325-D334","PMID":"33290552","PMCID":"PMC7779012","source":"PubMed Central","title":"The Gene Ontology resource: enriching a GOld mine","title-short":"The Gene Ontology resource","URL":"https://pmc.ncbi.nlm.nih.gov/articles/PMC7779012/","volume":"49","accessed":{"date-parts":[["2026",8,25]]},"issued":{"date-parts":[["2020",12,8]]}}}],"schema":"https://github.com/citation-style-language/schema/raw/master/csl-citation.json"} </w:instrText>
      </w:r>
      <w:r w:rsidR="002702EE">
        <w:fldChar w:fldCharType="separate"/>
      </w:r>
      <w:r w:rsidR="00991CA6" w:rsidRPr="00991CA6">
        <w:rPr>
          <w:rFonts w:ascii="Calibri" w:hAnsi="Calibri" w:cs="Calibri"/>
        </w:rPr>
        <w:t>(31–33)</w:t>
      </w:r>
      <w:r w:rsidR="002702EE">
        <w:fldChar w:fldCharType="end"/>
      </w:r>
      <w:r w:rsidR="002702EE" w:rsidRPr="002702EE">
        <w:t>. Esta ontología está organizada en tres ramas independientes</w:t>
      </w:r>
      <w:r w:rsidR="0015173D">
        <w:fldChar w:fldCharType="begin"/>
      </w:r>
      <w:r w:rsidR="007B3093">
        <w:instrText xml:space="preserve"> ADDIN ZOTERO_ITEM CSL_CITATION {"citationID":"EAdGQgGZ","properties":{"unsorted":false,"formattedCitation":"(29,32)","plainCitation":"(29,32)","noteIndex":0},"citationItems":[{"id":285,"uris":["http://zotero.org/users/local/sechomLT/items/V7BAEJMA"],"itemData":{"id":285,"type":"article-journal","abstract":"Pathway enrichment analysis helps researchers gain mechanistic insight into gene lists generated from genome-scale (omics) experiments. This method identifies biological pathways that are enriched in a gene list more than would be expected by chance. We explain the procedures of pathway enrichment analysis and present a practical step-by-step guide to help interpret gene lists resulting from RNA-seq and genome-sequencing experiments. The protocol comprises three major steps: definition of a gene list from omics data, determination of statistically enriched pathways, and visualization and interpretation of the results. We describe how to use this protocol with published examples of differentially expressed genes and mutated cancer genes; however, the principles can be applied to diverse types of omics data. The protocol describes innovative visualization techniques, provides comprehensive background and troubleshooting guidelines, and uses freely available and frequently updated software, including g:Profiler, Gene Set Enrichment Analysis (GSEA), Cytoscape and EnrichmentMap. The complete protocol can be performed in ~4.5 h and is designed for use by biologists with no prior bioinformatics training.","container-title":"Nature protocols","DOI":"10.1038/s41596-018-0103-9","ISSN":"1754-2189","issue":"2","journalAbbreviation":"Nat Protoc","page":"482-517","PMID":"30664679","PMCID":"PMC6607905","source":"PubMed Central","title":"Pathway enrichment analysis and visualization of omics data using g:Profiler, GSEA, Cytoscape and EnrichmentMap","title-short":"Pathway enrichment analysis and visualization of omics data using g","URL":"https://pmc.ncbi.nlm.nih.gov/articles/PMC6607905/","volume":"14","author":[{"family":"Reimand","given":"Jüri"},{"family":"Isser","given":"Ruth"},{"family":"Voisin","given":"Veronique"},{"family":"Kucera","given":"Mike"},{"family":"Tannus-Lopes","given":"Christian"},{"family":"Rostamianfar","given":"Asha"},{"family":"Wadi","given":"Lina"},{"family":"Meyer","given":"Mona"},{"family":"Wong","given":"Jeff"},{"family":"Xu","given":"Changjiang"},{"family":"Merico","given":"Daniele"},{"family":"Bader","given":"Gary D."}],"accessed":{"date-parts":[["2026",8,27]]},"issued":{"date-parts":[["2019",2]]}}},{"id":279,"uris":["http://zotero.org/users/local/sechomLT/items/QR6MA7GV"],"itemData":{"id":279,"type":"article-journal","abstract":"The Gene Ontology (GO) project is the largest resource for cataloguing gene function. The combination of solid conceptual underpinnings and a practical set of features have made the GO a widely adopted resource in the research community and an essential resource for data analysis. In this chapter, we provide a concise primer for all users of the GO. We briefly introduce the structure of the ontology and explain how to interpret annotations associated with the GO.","container-title":"Methods in molecular biology (Clifton, N.J.)","DOI":"10.1007/978-1-4939-3743-1_3","ISSN":"1064-3745","journalAbbreviation":"Methods Mol Biol","page":"25-37","PMID":"27812933","PMCID":"PMC6377150","source":"PubMed Central","title":"Primer on the Gene Ontology","URL":"https://pmc.ncbi.nlm.nih.gov/articles/PMC6377150/","volume":"1446","author":[{"family":"Gaudet","given":"Pascale"},{"family":"Škunca","given":"Nives"},{"family":"Hu","given":"James C."},{"family":"Dessimoz","given":"Christophe"}],"accessed":{"date-parts":[["2026",8,26]]},"issued":{"date-parts":[["2017"]]}}}],"schema":"https://github.com/citation-style-language/schema/raw/master/csl-citation.json"} </w:instrText>
      </w:r>
      <w:r w:rsidR="0015173D">
        <w:fldChar w:fldCharType="separate"/>
      </w:r>
      <w:r w:rsidR="007B3093" w:rsidRPr="007B3093">
        <w:rPr>
          <w:rFonts w:ascii="Calibri" w:hAnsi="Calibri" w:cs="Calibri"/>
        </w:rPr>
        <w:t>(29,32)</w:t>
      </w:r>
      <w:r w:rsidR="0015173D">
        <w:fldChar w:fldCharType="end"/>
      </w:r>
      <w:r w:rsidR="002702EE" w:rsidRPr="002702EE">
        <w:t>.</w:t>
      </w:r>
      <w:r w:rsidR="002702EE">
        <w:t xml:space="preserve"> </w:t>
      </w:r>
      <w:r w:rsidR="00FB7035" w:rsidRPr="00FB7035">
        <w:t xml:space="preserve">En primer lugar, los Procesos Biológicos </w:t>
      </w:r>
      <w:r w:rsidR="00FB7035" w:rsidRPr="00570271">
        <w:t>(</w:t>
      </w:r>
      <w:proofErr w:type="spellStart"/>
      <w:r w:rsidR="00FB7035" w:rsidRPr="00570271">
        <w:rPr>
          <w:i/>
          <w:iCs/>
        </w:rPr>
        <w:t>Biological</w:t>
      </w:r>
      <w:proofErr w:type="spellEnd"/>
      <w:r w:rsidR="00FB7035" w:rsidRPr="00570271">
        <w:rPr>
          <w:i/>
          <w:iCs/>
        </w:rPr>
        <w:t xml:space="preserve"> Process</w:t>
      </w:r>
      <w:r w:rsidR="00FB7035" w:rsidRPr="00570271">
        <w:t>, BP)</w:t>
      </w:r>
      <w:r w:rsidR="00FB7035">
        <w:t xml:space="preserve"> </w:t>
      </w:r>
      <w:r w:rsidR="00FB7035" w:rsidRPr="00FB7035">
        <w:t>describen programas coordinados orientados a un objetivo celular, abarcando desde rutas de señalización hasta fenómenos complejos como la proliferación o la respuesta inmune</w:t>
      </w:r>
      <w:r w:rsidR="0097332C">
        <w:fldChar w:fldCharType="begin"/>
      </w:r>
      <w:r w:rsidR="00991CA6">
        <w:instrText xml:space="preserve"> ADDIN ZOTERO_ITEM CSL_CITATION {"citationID":"VFL8qWOt","properties":{"unsorted":false,"formattedCitation":"(32,33)","plainCitation":"(32,33)","noteIndex":0},"citationItems":[{"id":279,"uris":["http://zotero.org/users/local/sechomLT/items/QR6MA7GV"],"itemData":{"id":279,"type":"article-journal","abstract":"The Gene Ontology (GO) project is the largest resource for cataloguing gene function. The combination of solid conceptual underpinnings and a practical set of features have made the GO a widely adopted resource in the research community and an essential resource for data analysis. In this chapter, we provide a concise primer for all users of the GO. We briefly introduce the structure of the ontology and explain how to interpret annotations associated with the GO.","container-title":"Methods in molecular biology (Clifton, N.J.)","DOI":"10.1007/978-1-4939-3743-1_3","ISSN":"1064-3745","journalAbbreviation":"Methods Mol Biol","page":"25-37","PMID":"27812933","PMCID":"PMC6377150","source":"PubMed Central","title":"Primer on the Gene Ontology","URL":"https://pmc.ncbi.nlm.nih.gov/articles/PMC6377150/","volume":"1446","author":[{"family":"Gaudet","given":"Pascale"},{"family":"Škunca","given":"Nives"},{"family":"Hu","given":"James C."},{"family":"Dessimoz","given":"Christophe"}],"accessed":{"date-parts":[["2026",8,26]]},"issued":{"date-parts":[["2017"]]}}},{"id":273,"uris":["http://zotero.org/users/local/sechomLT/items/UJJH2F6U"],"itemData":{"id":273,"type":"article-journal","abstract":"The Gene Ontology Consortium (GOC) provides the most comprehensive resource currently available for computable knowledge regarding the functions of genes and gene products. Here, we report the advances of the consortium over the past two years. The new GO-CAM annotation framework was notably improved, and we formalized the model with a computational schema to check and validate the rapidly increasing repository of 2838 GO-CAMs. In addition, we describe the impacts of several collaborations to refine GO and report a 10% increase in the number of GO annotations, a 25% increase in annotated gene products, and over 9,400 new scientific articles annotated. As the project matures, we continue our efforts to review older annotations in light of newer findings, and, to maintain consistency with other ontologies. As a result, 20 000 annotations derived from experimental data were reviewed, corresponding to 2.5% of experimental GO annotations. The website (http://geneontology.org) was redesigned for quick access to documentation, downloads and tools. To maintain an accurate resource and support traceability and reproducibility, we have made available a historical archive covering the past 15 years of GO data with a consistent format and file structure for both the ontology and annotations.","container-title":"Nucleic Acids Research","DOI":"10.1093/nar/gkaa1113","ISSN":"0305-1048","issue":"D1","journalAbbreviation":"Nucleic Acids Res","page":"D325-D334","PMID":"33290552","PMCID":"PMC7779012","source":"PubMed Central","title":"The Gene Ontology resource: enriching a GOld mine","title-short":"The Gene Ontology resource","URL":"https://pmc.ncbi.nlm.nih.gov/articles/PMC7779012/","volume":"49","accessed":{"date-parts":[["2026",8,25]]},"issued":{"date-parts":[["2020",12,8]]}}}],"schema":"https://github.com/citation-style-language/schema/raw/master/csl-citation.json"} </w:instrText>
      </w:r>
      <w:r w:rsidR="0097332C">
        <w:fldChar w:fldCharType="separate"/>
      </w:r>
      <w:r w:rsidR="00991CA6" w:rsidRPr="00991CA6">
        <w:rPr>
          <w:rFonts w:ascii="Calibri" w:hAnsi="Calibri" w:cs="Calibri"/>
        </w:rPr>
        <w:t>(32,33)</w:t>
      </w:r>
      <w:r w:rsidR="0097332C">
        <w:fldChar w:fldCharType="end"/>
      </w:r>
      <w:r w:rsidR="00FB7035" w:rsidRPr="00FB7035">
        <w:t>. Por su parte, los Componentes Celulares</w:t>
      </w:r>
      <w:r w:rsidR="00FB7035" w:rsidRPr="00570271">
        <w:t xml:space="preserve"> (</w:t>
      </w:r>
      <w:proofErr w:type="spellStart"/>
      <w:r w:rsidR="00FB7035" w:rsidRPr="00570271">
        <w:rPr>
          <w:i/>
          <w:iCs/>
        </w:rPr>
        <w:t>Cellular</w:t>
      </w:r>
      <w:proofErr w:type="spellEnd"/>
      <w:r w:rsidR="00FB7035" w:rsidRPr="00570271">
        <w:rPr>
          <w:i/>
          <w:iCs/>
        </w:rPr>
        <w:t xml:space="preserve"> </w:t>
      </w:r>
      <w:proofErr w:type="spellStart"/>
      <w:r w:rsidR="00FB7035" w:rsidRPr="00570271">
        <w:rPr>
          <w:i/>
          <w:iCs/>
        </w:rPr>
        <w:t>Component</w:t>
      </w:r>
      <w:proofErr w:type="spellEnd"/>
      <w:r w:rsidR="00FB7035" w:rsidRPr="00570271">
        <w:t>, CC)</w:t>
      </w:r>
      <w:r w:rsidR="00FB7035">
        <w:t xml:space="preserve"> </w:t>
      </w:r>
      <w:r w:rsidR="00FB7035" w:rsidRPr="00FB7035">
        <w:t>definen las localizaciones subcelulares y los complejos macromoleculares donde actúan los productos génicos, tales como el núcleo, el citosol o las sinapsis</w:t>
      </w:r>
      <w:r w:rsidR="0097332C">
        <w:fldChar w:fldCharType="begin"/>
      </w:r>
      <w:r w:rsidR="00991CA6">
        <w:instrText xml:space="preserve"> ADDIN ZOTERO_ITEM CSL_CITATION {"citationID":"hHfSvhIQ","properties":{"unsorted":false,"formattedCitation":"(32,33)","plainCitation":"(32,33)","noteIndex":0},"citationItems":[{"id":279,"uris":["http://zotero.org/users/local/sechomLT/items/QR6MA7GV"],"itemData":{"id":279,"type":"article-journal","abstract":"The Gene Ontology (GO) project is the largest resource for cataloguing gene function. The combination of solid conceptual underpinnings and a practical set of features have made the GO a widely adopted resource in the research community and an essential resource for data analysis. In this chapter, we provide a concise primer for all users of the GO. We briefly introduce the structure of the ontology and explain how to interpret annotations associated with the GO.","container-title":"Methods in molecular biology (Clifton, N.J.)","DOI":"10.1007/978-1-4939-3743-1_3","ISSN":"1064-3745","journalAbbreviation":"Methods Mol Biol","page":"25-37","PMID":"27812933","PMCID":"PMC6377150","source":"PubMed Central","title":"Primer on the Gene Ontology","URL":"https://pmc.ncbi.nlm.nih.gov/articles/PMC6377150/","volume":"1446","author":[{"family":"Gaudet","given":"Pascale"},{"family":"Škunca","given":"Nives"},{"family":"Hu","given":"James C."},{"family":"Dessimoz","given":"Christophe"}],"accessed":{"date-parts":[["2026",8,26]]},"issued":{"date-parts":[["2017"]]}}},{"id":273,"uris":["http://zotero.org/users/local/sechomLT/items/UJJH2F6U"],"itemData":{"id":273,"type":"article-journal","abstract":"The Gene Ontology Consortium (GOC) provides the most comprehensive resource currently available for computable knowledge regarding the functions of genes and gene products. Here, we report the advances of the consortium over the past two years. The new GO-CAM annotation framework was notably improved, and we formalized the model with a computational schema to check and validate the rapidly increasing repository of 2838 GO-CAMs. In addition, we describe the impacts of several collaborations to refine GO and report a 10% increase in the number of GO annotations, a 25% increase in annotated gene products, and over 9,400 new scientific articles annotated. As the project matures, we continue our efforts to review older annotations in light of newer findings, and, to maintain consistency with other ontologies. As a result, 20 000 annotations derived from experimental data were reviewed, corresponding to 2.5% of experimental GO annotations. The website (http://geneontology.org) was redesigned for quick access to documentation, downloads and tools. To maintain an accurate resource and support traceability and reproducibility, we have made available a historical archive covering the past 15 years of GO data with a consistent format and file structure for both the ontology and annotations.","container-title":"Nucleic Acids Research","DOI":"10.1093/nar/gkaa1113","ISSN":"0305-1048","issue":"D1","journalAbbreviation":"Nucleic Acids Res","page":"D325-D334","PMID":"33290552","PMCID":"PMC7779012","source":"PubMed Central","title":"The Gene Ontology resource: enriching a GOld mine","title-short":"The Gene Ontology resource","URL":"https://pmc.ncbi.nlm.nih.gov/articles/PMC7779012/","volume":"49","accessed":{"date-parts":[["2026",8,25]]},"issued":{"date-parts":[["2020",12,8]]}}}],"schema":"https://github.com/citation-style-language/schema/raw/master/csl-citation.json"} </w:instrText>
      </w:r>
      <w:r w:rsidR="0097332C">
        <w:fldChar w:fldCharType="separate"/>
      </w:r>
      <w:r w:rsidR="00991CA6" w:rsidRPr="00991CA6">
        <w:rPr>
          <w:rFonts w:ascii="Calibri" w:hAnsi="Calibri" w:cs="Calibri"/>
        </w:rPr>
        <w:t>(32,33)</w:t>
      </w:r>
      <w:r w:rsidR="0097332C">
        <w:fldChar w:fldCharType="end"/>
      </w:r>
      <w:r w:rsidR="00FB7035" w:rsidRPr="00FB7035">
        <w:t xml:space="preserve">. Finalmente, las Funciones Moleculares </w:t>
      </w:r>
      <w:r w:rsidR="00FB7035" w:rsidRPr="00570271">
        <w:t>(</w:t>
      </w:r>
      <w:r w:rsidR="00FB7035" w:rsidRPr="00570271">
        <w:rPr>
          <w:i/>
          <w:iCs/>
        </w:rPr>
        <w:t xml:space="preserve">Molecular </w:t>
      </w:r>
      <w:proofErr w:type="spellStart"/>
      <w:r w:rsidR="00FB7035" w:rsidRPr="00570271">
        <w:rPr>
          <w:i/>
          <w:iCs/>
        </w:rPr>
        <w:t>Function</w:t>
      </w:r>
      <w:proofErr w:type="spellEnd"/>
      <w:r w:rsidR="00FB7035" w:rsidRPr="00570271">
        <w:t xml:space="preserve">, MF) </w:t>
      </w:r>
      <w:r w:rsidR="00FB7035" w:rsidRPr="00FB7035">
        <w:t>detallan las actividades bioquímicas a nivel molecular</w:t>
      </w:r>
      <w:r w:rsidR="0097332C">
        <w:fldChar w:fldCharType="begin"/>
      </w:r>
      <w:r w:rsidR="00991CA6">
        <w:instrText xml:space="preserve"> ADDIN ZOTERO_ITEM CSL_CITATION {"citationID":"beRrI9Qx","properties":{"unsorted":false,"formattedCitation":"(32,33)","plainCitation":"(32,33)","noteIndex":0},"citationItems":[{"id":279,"uris":["http://zotero.org/users/local/sechomLT/items/QR6MA7GV"],"itemData":{"id":279,"type":"article-journal","abstract":"The Gene Ontology (GO) project is the largest resource for cataloguing gene function. The combination of solid conceptual underpinnings and a practical set of features have made the GO a widely adopted resource in the research community and an essential resource for data analysis. In this chapter, we provide a concise primer for all users of the GO. We briefly introduce the structure of the ontology and explain how to interpret annotations associated with the GO.","container-title":"Methods in molecular biology (Clifton, N.J.)","DOI":"10.1007/978-1-4939-3743-1_3","ISSN":"1064-3745","journalAbbreviation":"Methods Mol Biol","page":"25-37","PMID":"27812933","PMCID":"PMC6377150","source":"PubMed Central","title":"Primer on the Gene Ontology","URL":"https://pmc.ncbi.nlm.nih.gov/articles/PMC6377150/","volume":"1446","author":[{"family":"Gaudet","given":"Pascale"},{"family":"Škunca","given":"Nives"},{"family":"Hu","given":"James C."},{"family":"Dessimoz","given":"Christophe"}],"accessed":{"date-parts":[["2026",8,26]]},"issued":{"date-parts":[["2017"]]}}},{"id":273,"uris":["http://zotero.org/users/local/sechomLT/items/UJJH2F6U"],"itemData":{"id":273,"type":"article-journal","abstract":"The Gene Ontology Consortium (GOC) provides the most comprehensive resource currently available for computable knowledge regarding the functions of genes and gene products. Here, we report the advances of the consortium over the past two years. The new GO-CAM annotation framework was notably improved, and we formalized the model with a computational schema to check and validate the rapidly increasing repository of 2838 GO-CAMs. In addition, we describe the impacts of several collaborations to refine GO and report a 10% increase in the number of GO annotations, a 25% increase in annotated gene products, and over 9,400 new scientific articles annotated. As the project matures, we continue our efforts to review older annotations in light of newer findings, and, to maintain consistency with other ontologies. As a result, 20 000 annotations derived from experimental data were reviewed, corresponding to 2.5% of experimental GO annotations. The website (http://geneontology.org) was redesigned for quick access to documentation, downloads and tools. To maintain an accurate resource and support traceability and reproducibility, we have made available a historical archive covering the past 15 years of GO data with a consistent format and file structure for both the ontology and annotations.","container-title":"Nucleic Acids Research","DOI":"10.1093/nar/gkaa1113","ISSN":"0305-1048","issue":"D1","journalAbbreviation":"Nucleic Acids Res","page":"D325-D334","PMID":"33290552","PMCID":"PMC7779012","source":"PubMed Central","title":"The Gene Ontology resource: enriching a GOld mine","title-short":"The Gene Ontology resource","URL":"https://pmc.ncbi.nlm.nih.gov/articles/PMC7779012/","volume":"49","accessed":{"date-parts":[["2026",8,25]]},"issued":{"date-parts":[["2020",12,8]]}}}],"schema":"https://github.com/citation-style-language/schema/raw/master/csl-citation.json"} </w:instrText>
      </w:r>
      <w:r w:rsidR="0097332C">
        <w:fldChar w:fldCharType="separate"/>
      </w:r>
      <w:r w:rsidR="00991CA6" w:rsidRPr="00991CA6">
        <w:rPr>
          <w:rFonts w:ascii="Calibri" w:hAnsi="Calibri" w:cs="Calibri"/>
        </w:rPr>
        <w:t>(32,33)</w:t>
      </w:r>
      <w:r w:rsidR="0097332C">
        <w:fldChar w:fldCharType="end"/>
      </w:r>
      <w:r w:rsidR="00FB7035" w:rsidRPr="00FB7035">
        <w:t>. Esta categoría incluye tanto actividades catalíticas (como quinasas y fosfatasas) como funciones de unión específica, ejemplificadas por los factores de transcripción que interactúan con el ADN</w:t>
      </w:r>
      <w:r w:rsidR="0097332C">
        <w:fldChar w:fldCharType="begin"/>
      </w:r>
      <w:r w:rsidR="00991CA6">
        <w:instrText xml:space="preserve"> ADDIN ZOTERO_ITEM CSL_CITATION {"citationID":"3RQzNgCi","properties":{"unsorted":false,"formattedCitation":"(33)","plainCitation":"(33)","noteIndex":0},"citationItems":[{"id":273,"uris":["http://zotero.org/users/local/sechomLT/items/UJJH2F6U"],"itemData":{"id":273,"type":"article-journal","abstract":"The Gene Ontology Consortium (GOC) provides the most comprehensive resource currently available for computable knowledge regarding the functions of genes and gene products. Here, we report the advances of the consortium over the past two years. The new GO-CAM annotation framework was notably improved, and we formalized the model with a computational schema to check and validate the rapidly increasing repository of 2838 GO-CAMs. In addition, we describe the impacts of several collaborations to refine GO and report a 10% increase in the number of GO annotations, a 25% increase in annotated gene products, and over 9,400 new scientific articles annotated. As the project matures, we continue our efforts to review older annotations in light of newer findings, and, to maintain consistency with other ontologies. As a result, 20 000 annotations derived from experimental data were reviewed, corresponding to 2.5% of experimental GO annotations. The website (http://geneontology.org) was redesigned for quick access to documentation, downloads and tools. To maintain an accurate resource and support traceability and reproducibility, we have made available a historical archive covering the past 15 years of GO data with a consistent format and file structure for both the ontology and annotations.","container-title":"Nucleic Acids Research","DOI":"10.1093/nar/gkaa1113","ISSN":"0305-1048","issue":"D1","journalAbbreviation":"Nucleic Acids Res","page":"D325-D334","PMID":"33290552","PMCID":"PMC7779012","source":"PubMed Central","title":"The Gene Ontology resource: enriching a GOld mine","title-short":"The Gene Ontology resource","URL":"https://pmc.ncbi.nlm.nih.gov/articles/PMC7779012/","volume":"49","accessed":{"date-parts":[["2026",8,25]]},"issued":{"date-parts":[["2020",12,8]]}}}],"schema":"https://github.com/citation-style-language/schema/raw/master/csl-citation.json"} </w:instrText>
      </w:r>
      <w:r w:rsidR="0097332C">
        <w:fldChar w:fldCharType="separate"/>
      </w:r>
      <w:r w:rsidR="00991CA6" w:rsidRPr="00991CA6">
        <w:rPr>
          <w:rFonts w:ascii="Calibri" w:hAnsi="Calibri" w:cs="Calibri"/>
        </w:rPr>
        <w:t>(33)</w:t>
      </w:r>
      <w:r w:rsidR="0097332C">
        <w:fldChar w:fldCharType="end"/>
      </w:r>
      <w:r w:rsidR="00FB7035" w:rsidRPr="00FB7035">
        <w:t>.</w:t>
      </w:r>
    </w:p>
    <w:p w14:paraId="7B5B4ECB" w14:textId="03751DD6" w:rsidR="00F66732" w:rsidRDefault="0097332C" w:rsidP="0097332C">
      <w:r w:rsidRPr="0097332C">
        <w:t>Como complemento a las categorías ontológicas de</w:t>
      </w:r>
      <w:r>
        <w:t xml:space="preserve"> GO</w:t>
      </w:r>
      <w:r w:rsidRPr="0097332C">
        <w:t>, el análisis funcional recurre a bases de datos especializadas en rutas biológicas como KEGG (</w:t>
      </w:r>
      <w:proofErr w:type="spellStart"/>
      <w:r w:rsidRPr="0097332C">
        <w:rPr>
          <w:i/>
          <w:iCs/>
        </w:rPr>
        <w:t>Kyoto</w:t>
      </w:r>
      <w:proofErr w:type="spellEnd"/>
      <w:r w:rsidRPr="0097332C">
        <w:rPr>
          <w:i/>
          <w:iCs/>
        </w:rPr>
        <w:t xml:space="preserve"> </w:t>
      </w:r>
      <w:proofErr w:type="spellStart"/>
      <w:r w:rsidRPr="0097332C">
        <w:rPr>
          <w:i/>
          <w:iCs/>
        </w:rPr>
        <w:t>Encyclopedia</w:t>
      </w:r>
      <w:proofErr w:type="spellEnd"/>
      <w:r w:rsidRPr="0097332C">
        <w:rPr>
          <w:i/>
          <w:iCs/>
        </w:rPr>
        <w:t xml:space="preserve"> </w:t>
      </w:r>
      <w:proofErr w:type="spellStart"/>
      <w:r w:rsidRPr="0097332C">
        <w:rPr>
          <w:i/>
          <w:iCs/>
        </w:rPr>
        <w:t>of</w:t>
      </w:r>
      <w:proofErr w:type="spellEnd"/>
      <w:r w:rsidRPr="0097332C">
        <w:rPr>
          <w:i/>
          <w:iCs/>
        </w:rPr>
        <w:t xml:space="preserve"> Genes and </w:t>
      </w:r>
      <w:proofErr w:type="spellStart"/>
      <w:r w:rsidRPr="0097332C">
        <w:rPr>
          <w:i/>
          <w:iCs/>
        </w:rPr>
        <w:t>Genomes</w:t>
      </w:r>
      <w:proofErr w:type="spellEnd"/>
      <w:r w:rsidRPr="0097332C">
        <w:t>)</w:t>
      </w:r>
      <w:r w:rsidR="00B35C38">
        <w:fldChar w:fldCharType="begin"/>
      </w:r>
      <w:r w:rsidR="007B3093">
        <w:instrText xml:space="preserve"> ADDIN ZOTERO_ITEM CSL_CITATION {"citationID":"n6rG53LT","properties":{"unsorted":false,"formattedCitation":"(28\\uc0\\u8211{}31)","plainCitation":"(28–31)","noteIndex":0},"citationItems":[{"id":282,"uris":["http://zotero.org/users/local/sechomLT/items/86YFQJPQ"],"itemData":{"id":282,"type":"article-journal","abstract":"Pathway analysis has become the first choice for gaining insight into the underlying biology of differentially expressed genes and proteins, as it reduces complexity and has increased explanatory power. We discuss the evolution of knowledge base–driven pathway analysis over its first decade, distinctly divided into three generations. We also discuss the limitations that are specific to each generation, and how they are addressed by successive generations of methods. We identify a number of annotation challenges that must be addressed to enable development of the next generation of pathway analysis methods. Furthermore, we identify a number of methodological challenges that the next generation of methods must tackle to take advantage of the technological advances in genomics and proteomics in order to improve specificity, sensitivity, and relevance of pathway analysis.","container-title":"PLoS Computational Biology","DOI":"10.1371/journal.pcbi.1002375","ISSN":"1553-734X","issue":"2","journalAbbreviation":"PLoS Comput Biol","page":"e1002375","PMID":"22383865","PMCID":"PMC3285573","source":"PubMed Central","title":"Ten Years of Pathway Analysis: Current Approaches and Outstanding Challenges","title-short":"Ten Years of Pathway Analysis","URL":"https://pmc.ncbi.nlm.nih.gov/articles/PMC3285573/","volume":"8","author":[{"family":"Khatri","given":"Purvesh"},{"family":"Sirota","given":"Marina"},{"family":"Butte","given":"Atul J."}],"accessed":{"date-parts":[["2026",8,26]]},"issued":{"date-parts":[["2012",2,23]]}}},{"id":285,"uris":["http://zotero.org/users/local/sechomLT/items/V7BAEJMA"],"itemData":{"id":285,"type":"article-journal","abstract":"Pathway enrichment analysis helps researchers gain mechanistic insight into gene lists generated from genome-scale (omics) experiments. This method identifies biological pathways that are enriched in a gene list more than would be expected by chance. We explain the procedures of pathway enrichment analysis and present a practical step-by-step guide to help interpret gene lists resulting from RNA-seq and genome-sequencing experiments. The protocol comprises three major steps: definition of a gene list from omics data, determination of statistically enriched pathways, and visualization and interpretation of the results. We describe how to use this protocol with published examples of differentially expressed genes and mutated cancer genes; however, the principles can be applied to diverse types of omics data. The protocol describes innovative visualization techniques, provides comprehensive background and troubleshooting guidelines, and uses freely available and frequently updated software, including g:Profiler, Gene Set Enrichment Analysis (GSEA), Cytoscape and EnrichmentMap. The complete protocol can be performed in ~4.5 h and is designed for use by biologists with no prior bioinformatics training.","container-title":"Nature protocols","DOI":"10.1038/s41596-018-0103-9","ISSN":"1754-2189","issue":"2","journalAbbreviation":"Nat Protoc","page":"482-517","PMID":"30664679","PMCID":"PMC6607905","source":"PubMed Central","title":"Pathway enrichment analysis and visualization of omics data using g:Profiler, GSEA, Cytoscape and EnrichmentMap","title-short":"Pathway enrichment analysis and visualization of omics data using g","URL":"https://pmc.ncbi.nlm.nih.gov/articles/PMC6607905/","volume":"14","author":[{"family":"Reimand","given":"Jüri"},{"family":"Isser","given":"Ruth"},{"family":"Voisin","given":"Veronique"},{"family":"Kucera","given":"Mike"},{"family":"Tannus-Lopes","given":"Christian"},{"family":"Rostamianfar","given":"Asha"},{"family":"Wadi","given":"Lina"},{"family":"Meyer","given":"Mona"},{"family":"Wong","given":"Jeff"},{"family":"Xu","given":"Changjiang"},{"family":"Merico","given":"Daniele"},{"family":"Bader","given":"Gary D."}],"accessed":{"date-parts":[["2026",8,27]]},"issued":{"date-parts":[["2019",2]]}}},{"id":276,"uris":["http://zotero.org/users/local/sechomLT/items/AQ5D72H4"],"itemData":{"id":276,"type":"article-journal","abstract":"KEGG (Kyoto Encyclopedia of Genes and Genomes) is a knowledge base for systematic analysis of gene functions, linking genomic information with higher order functional information. The genomic information is stored in the GENES database, which is a collection of gene catalogs for all the completely sequenced genomes and some partial genomes with up-to-date annotation of gene functions. The higher order functional information is stored in the PATHWAY database, which contains graphical representations of cellular processes, such as metabolism, membrane transport, signal transduction and cell cycle. The PATHWAY database is supplemented by a set of ortholog group tables for the information about conserved subpathways (pathway motifs), which are often encoded by positionally coupled genes on the chromosome and which are especially useful in predicting gene functions. A third database in KEGG is LIGAND for the information about chemical compounds, enzyme molecules and enzymatic reactions. KEGG provides Java graphics tools for browsing genome maps, comparing two genome maps and manipulating expression maps, as well as computational tools for sequence comparison, graph comparison and path computation. The KEGG databases are daily updated and made freely available (http://www.genome.ad.jp/kegg/ ).","container-title":"Nucleic Acids Research","DOI":"10.1093/nar/28.1.27","ISSN":"0305-1048","issue":"1","journalAbbreviation":"Nucleic Acids Res","page":"27-30","source":"Silverchair","title":"KEGG: Kyoto Encyclopedia of Genes and Genomes","title-short":"KEGG","URL":"https://doi.org/10.1093/nar/28.1.27","volume":"28","author":[{"family":"Kanehisa","given":"Minoru"},{"family":"Goto","given":"Susumu"}],"accessed":{"date-parts":[["2026",8,25]]},"issued":{"date-parts":[["2000",1,1]]}}},{"id":270,"uris":["http://zotero.org/users/local/sechomLT/items/75FDJBHM"],"itemData":{"id":270,"type":"article-journal","abstract":"Functional enrichment analysis is pivotal for interpreting high-throughput omics data in life science. It is crucial for this type of tool to use the latest annotation databases for as many organisms as possible. To meet these requirements, we present here an updated version of our popular Bioconductor package, clusterProfiler 4.0. This package has been enhanced considerably compared with its original version published 9 years ago. The new version provides a universal interface for functional enrichment analysis in thousands of organisms based on internally supported ontologies and pathways as well as annotation data provided by users or derived from online databases. It also extends the dplyr and ggplot2 packages to offer tidy interfaces for data operation and visualization. Other new features include gene set enrichment analysis and comparison of enrichment results from multiple gene lists. We anticipate that clusterProfiler 4.0 will be applied to a wide range of scenarios across diverse organisms., •clusterProfiler supports exploring functional characteristics of both coding and non-coding genomics data for thousands of species with up-to-date gene annotation•It provides a universal interface for gene functional annotation from a variety of sources and thus can be applied in diverse scenarios•It provides a tidy interface to access, manipulate, and visualize enrichment results to help users achieve efficient data interpretation•Datasets obtained from multiple treatments and time points can be analyzed and compared in a single run, easily revealing functional consensus and differences among distinct conditions","container-title":"The Innovation","DOI":"10.1016/j.xinn.2021.100141","ISSN":"2666-6758","issue":"3","journalAbbreviation":"Innovation (Camb)","page":"100141","PMID":"34557778","PMCID":"PMC8454663","source":"PubMed Central","title":"clusterProfiler 4.0: A universal enrichment tool for interpreting omics data","title-short":"clusterProfiler 4.0","URL":"https://pmc.ncbi.nlm.nih.gov/articles/PMC8454663/","volume":"2","author":[{"family":"Wu","given":"Tianzhi"},{"family":"Hu","given":"Erqiang"},{"family":"Xu","given":"Shuangbin"},{"family":"Chen","given":"Meijun"},{"family":"Guo","given":"Pingfan"},{"family":"Dai","given":"Zehan"},{"family":"Feng","given":"Tingze"},{"family":"Zhou","given":"Lang"},{"family":"Tang","given":"Wenli"},{"family":"Zhan","given":"Li"},{"family":"Fu","given":"Xiaocong"},{"family":"Liu","given":"Shanshan"},{"family":"Bo","given":"Xiaochen"},{"family":"Yu","given":"Guangchuang"}],"accessed":{"date-parts":[["2026",8,25]]},"issued":{"date-parts":[["2021",7,1]]}}}],"schema":"https://github.com/citation-style-language/schema/raw/master/csl-citation.json"} </w:instrText>
      </w:r>
      <w:r w:rsidR="00B35C38">
        <w:fldChar w:fldCharType="separate"/>
      </w:r>
      <w:r w:rsidR="007B3093" w:rsidRPr="007B3093">
        <w:rPr>
          <w:rFonts w:ascii="Calibri" w:hAnsi="Calibri" w:cs="Calibri"/>
        </w:rPr>
        <w:t>(28–31)</w:t>
      </w:r>
      <w:r w:rsidR="00B35C38">
        <w:fldChar w:fldCharType="end"/>
      </w:r>
      <w:r w:rsidRPr="0097332C">
        <w:t xml:space="preserve">. A diferencia de la estructura jerárquica de GO, KEGG organiza la información en mapas esquemáticos integrados que representan circuitos metabólicos y cascadas de señalización celular canónicas vinculadas a patologías humanas y </w:t>
      </w:r>
      <w:r w:rsidR="009B0DCF">
        <w:t xml:space="preserve"> </w:t>
      </w:r>
      <w:r w:rsidRPr="0097332C">
        <w:t>oncogénesis</w:t>
      </w:r>
      <w:r w:rsidR="00B35C38">
        <w:fldChar w:fldCharType="begin"/>
      </w:r>
      <w:r w:rsidR="007B3093">
        <w:instrText xml:space="preserve"> ADDIN ZOTERO_ITEM CSL_CITATION {"citationID":"zH5VgfOG","properties":{"unsorted":false,"formattedCitation":"(29\\uc0\\u8211{}31)","plainCitation":"(29–31)","noteIndex":0},"citationItems":[{"id":285,"uris":["http://zotero.org/users/local/sechomLT/items/V7BAEJMA"],"itemData":{"id":285,"type":"article-journal","abstract":"Pathway enrichment analysis helps researchers gain mechanistic insight into gene lists generated from genome-scale (omics) experiments. This method identifies biological pathways that are enriched in a gene list more than would be expected by chance. We explain the procedures of pathway enrichment analysis and present a practical step-by-step guide to help interpret gene lists resulting from RNA-seq and genome-sequencing experiments. The protocol comprises three major steps: definition of a gene list from omics data, determination of statistically enriched pathways, and visualization and interpretation of the results. We describe how to use this protocol with published examples of differentially expressed genes and mutated cancer genes; however, the principles can be applied to diverse types of omics data. The protocol describes innovative visualization techniques, provides comprehensive background and troubleshooting guidelines, and uses freely available and frequently updated software, including g:Profiler, Gene Set Enrichment Analysis (GSEA), Cytoscape and EnrichmentMap. The complete protocol can be performed in ~4.5 h and is designed for use by biologists with no prior bioinformatics training.","container-title":"Nature protocols","DOI":"10.1038/s41596-018-0103-9","ISSN":"1754-2189","issue":"2","journalAbbreviation":"Nat Protoc","page":"482-517","PMID":"30664679","PMCID":"PMC6607905","source":"PubMed Central","title":"Pathway enrichment analysis and visualization of omics data using g:Profiler, GSEA, Cytoscape and EnrichmentMap","title-short":"Pathway enrichment analysis and visualization of omics data using g","URL":"https://pmc.ncbi.nlm.nih.gov/articles/PMC6607905/","volume":"14","author":[{"family":"Reimand","given":"Jüri"},{"family":"Isser","given":"Ruth"},{"family":"Voisin","given":"Veronique"},{"family":"Kucera","given":"Mike"},{"family":"Tannus-Lopes","given":"Christian"},{"family":"Rostamianfar","given":"Asha"},{"family":"Wadi","given":"Lina"},{"family":"Meyer","given":"Mona"},{"family":"Wong","given":"Jeff"},{"family":"Xu","given":"Changjiang"},{"family":"Merico","given":"Daniele"},{"family":"Bader","given":"Gary D."}],"accessed":{"date-parts":[["2026",8,27]]},"issued":{"date-parts":[["2019",2]]}}},{"id":276,"uris":["http://zotero.org/users/local/sechomLT/items/AQ5D72H4"],"itemData":{"id":276,"type":"article-journal","abstract":"KEGG (Kyoto Encyclopedia of Genes and Genomes) is a knowledge base for systematic analysis of gene functions, linking genomic information with higher order functional information. The genomic information is stored in the GENES database, which is a collection of gene catalogs for all the completely sequenced genomes and some partial genomes with up-to-date annotation of gene functions. The higher order functional information is stored in the PATHWAY database, which contains graphical representations of cellular processes, such as metabolism, membrane transport, signal transduction and cell cycle. The PATHWAY database is supplemented by a set of ortholog group tables for the information about conserved subpathways (pathway motifs), which are often encoded by positionally coupled genes on the chromosome and which are especially useful in predicting gene functions. A third database in KEGG is LIGAND for the information about chemical compounds, enzyme molecules and enzymatic reactions. KEGG provides Java graphics tools for browsing genome maps, comparing two genome maps and manipulating expression maps, as well as computational tools for sequence comparison, graph comparison and path computation. The KEGG databases are daily updated and made freely available (http://www.genome.ad.jp/kegg/ ).","container-title":"Nucleic Acids Research","DOI":"10.1093/nar/28.1.27","ISSN":"0305-1048","issue":"1","journalAbbreviation":"Nucleic Acids Res","page":"27-30","source":"Silverchair","title":"KEGG: Kyoto Encyclopedia of Genes and Genomes","title-short":"KEGG","URL":"https://doi.org/10.1093/nar/28.1.27","volume":"28","author":[{"family":"Kanehisa","given":"Minoru"},{"family":"Goto","given":"Susumu"}],"accessed":{"date-parts":[["2026",8,25]]},"issued":{"date-parts":[["2000",1,1]]}}},{"id":270,"uris":["http://zotero.org/users/local/sechomLT/items/75FDJBHM"],"itemData":{"id":270,"type":"article-journal","abstract":"Functional enrichment analysis is pivotal for interpreting high-throughput omics data in life science. It is crucial for this type of tool to use the latest annotation databases for as many organisms as possible. To meet these requirements, we present here an updated version of our popular Bioconductor package, clusterProfiler 4.0. This package has been enhanced considerably compared with its original version published 9 years ago. The new version provides a universal interface for functional enrichment analysis in thousands of organisms based on internally supported ontologies and pathways as well as annotation data provided by users or derived from online databases. It also extends the dplyr and ggplot2 packages to offer tidy interfaces for data operation and visualization. Other new features include gene set enrichment analysis and comparison of enrichment results from multiple gene lists. We anticipate that clusterProfiler 4.0 will be applied to a wide range of scenarios across diverse organisms., •clusterProfiler supports exploring functional characteristics of both coding and non-coding genomics data for thousands of species with up-to-date gene annotation•It provides a universal interface for gene functional annotation from a variety of sources and thus can be applied in diverse scenarios•It provides a tidy interface to access, manipulate, and visualize enrichment results to help users achieve efficient data interpretation•Datasets obtained from multiple treatments and time points can be analyzed and compared in a single run, easily revealing functional consensus and differences among distinct conditions","container-title":"The Innovation","DOI":"10.1016/j.xinn.2021.100141","ISSN":"2666-6758","issue":"3","journalAbbreviation":"Innovation (Camb)","page":"100141","PMID":"34557778","PMCID":"PMC8454663","source":"PubMed Central","title":"clusterProfiler 4.0: A universal enrichment tool for interpreting omics data","title-short":"clusterProfiler 4.0","URL":"https://pmc.ncbi.nlm.nih.gov/articles/PMC8454663/","volume":"2","author":[{"family":"Wu","given":"Tianzhi"},{"family":"Hu","given":"Erqiang"},{"family":"Xu","given":"Shuangbin"},{"family":"Chen","given":"Meijun"},{"family":"Guo","given":"Pingfan"},{"family":"Dai","given":"Zehan"},{"family":"Feng","given":"Tingze"},{"family":"Zhou","given":"Lang"},{"family":"Tang","given":"Wenli"},{"family":"Zhan","given":"Li"},{"family":"Fu","given":"Xiaocong"},{"family":"Liu","given":"Shanshan"},{"family":"Bo","given":"Xiaochen"},{"family":"Yu","given":"Guangchuang"}],"accessed":{"date-parts":[["2026",8,25]]},"issued":{"date-parts":[["2021",7,1]]}}}],"schema":"https://github.com/citation-style-language/schema/raw/master/csl-citation.json"} </w:instrText>
      </w:r>
      <w:r w:rsidR="00B35C38">
        <w:fldChar w:fldCharType="separate"/>
      </w:r>
      <w:r w:rsidR="007B3093" w:rsidRPr="007B3093">
        <w:rPr>
          <w:rFonts w:ascii="Calibri" w:hAnsi="Calibri" w:cs="Calibri"/>
        </w:rPr>
        <w:t>(29–31)</w:t>
      </w:r>
      <w:r w:rsidR="00B35C38">
        <w:fldChar w:fldCharType="end"/>
      </w:r>
      <w:r w:rsidRPr="0097332C">
        <w:t xml:space="preserve">. La incorporación de este recurso permite situar los </w:t>
      </w:r>
      <w:r>
        <w:t>DEGs</w:t>
      </w:r>
      <w:r w:rsidRPr="0097332C">
        <w:t xml:space="preserve"> dentro de redes bioquímicas y funcionales interconectadas, facilitando la identificación de rutas metabólicas o vías efectoras alteradas en el tejido tumoral</w:t>
      </w:r>
      <w:r w:rsidR="00B35C38">
        <w:fldChar w:fldCharType="begin"/>
      </w:r>
      <w:r w:rsidR="007B3093">
        <w:instrText xml:space="preserve"> ADDIN ZOTERO_ITEM CSL_CITATION {"citationID":"XOcfZ60Z","properties":{"unsorted":false,"formattedCitation":"(28\\uc0\\u8211{}31)","plainCitation":"(28–31)","noteIndex":0},"citationItems":[{"id":282,"uris":["http://zotero.org/users/local/sechomLT/items/86YFQJPQ"],"itemData":{"id":282,"type":"article-journal","abstract":"Pathway analysis has become the first choice for gaining insight into the underlying biology of differentially expressed genes and proteins, as it reduces complexity and has increased explanatory power. We discuss the evolution of knowledge base–driven pathway analysis over its first decade, distinctly divided into three generations. We also discuss the limitations that are specific to each generation, and how they are addressed by successive generations of methods. We identify a number of annotation challenges that must be addressed to enable development of the next generation of pathway analysis methods. Furthermore, we identify a number of methodological challenges that the next generation of methods must tackle to take advantage of the technological advances in genomics and proteomics in order to improve specificity, sensitivity, and relevance of pathway analysis.","container-title":"PLoS Computational Biology","DOI":"10.1371/journal.pcbi.1002375","ISSN":"1553-734X","issue":"2","journalAbbreviation":"PLoS Comput Biol","page":"e1002375","PMID":"22383865","PMCID":"PMC3285573","source":"PubMed Central","title":"Ten Years of Pathway Analysis: Current Approaches and Outstanding Challenges","title-short":"Ten Years of Pathway Analysis","URL":"https://pmc.ncbi.nlm.nih.gov/articles/PMC3285573/","volume":"8","author":[{"family":"Khatri","given":"Purvesh"},{"family":"Sirota","given":"Marina"},{"family":"Butte","given":"Atul J."}],"accessed":{"date-parts":[["2026",8,26]]},"issued":{"date-parts":[["2012",2,23]]}}},{"id":285,"uris":["http://zotero.org/users/local/sechomLT/items/V7BAEJMA"],"itemData":{"id":285,"type":"article-journal","abstract":"Pathway enrichment analysis helps researchers gain mechanistic insight into gene lists generated from genome-scale (omics) experiments. This method identifies biological pathways that are enriched in a gene list more than would be expected by chance. We explain the procedures of pathway enrichment analysis and present a practical step-by-step guide to help interpret gene lists resulting from RNA-seq and genome-sequencing experiments. The protocol comprises three major steps: definition of a gene list from omics data, determination of statistically enriched pathways, and visualization and interpretation of the results. We describe how to use this protocol with published examples of differentially expressed genes and mutated cancer genes; however, the principles can be applied to diverse types of omics data. The protocol describes innovative visualization techniques, provides comprehensive background and troubleshooting guidelines, and uses freely available and frequently updated software, including g:Profiler, Gene Set Enrichment Analysis (GSEA), Cytoscape and EnrichmentMap. The complete protocol can be performed in ~4.5 h and is designed for use by biologists with no prior bioinformatics training.","container-title":"Nature protocols","DOI":"10.1038/s41596-018-0103-9","ISSN":"1754-2189","issue":"2","journalAbbreviation":"Nat Protoc","page":"482-517","PMID":"30664679","PMCID":"PMC6607905","source":"PubMed Central","title":"Pathway enrichment analysis and visualization of omics data using g:Profiler, GSEA, Cytoscape and EnrichmentMap","title-short":"Pathway enrichment analysis and visualization of omics data using g","URL":"https://pmc.ncbi.nlm.nih.gov/articles/PMC6607905/","volume":"14","author":[{"family":"Reimand","given":"Jüri"},{"family":"Isser","given":"Ruth"},{"family":"Voisin","given":"Veronique"},{"family":"Kucera","given":"Mike"},{"family":"Tannus-Lopes","given":"Christian"},{"family":"Rostamianfar","given":"Asha"},{"family":"Wadi","given":"Lina"},{"family":"Meyer","given":"Mona"},{"family":"Wong","given":"Jeff"},{"family":"Xu","given":"Changjiang"},{"family":"Merico","given":"Daniele"},{"family":"Bader","given":"Gary D."}],"accessed":{"date-parts":[["2026",8,27]]},"issued":{"date-parts":[["2019",2]]}}},{"id":276,"uris":["http://zotero.org/users/local/sechomLT/items/AQ5D72H4"],"itemData":{"id":276,"type":"article-journal","abstract":"KEGG (Kyoto Encyclopedia of Genes and Genomes) is a knowledge base for systematic analysis of gene functions, linking genomic information with higher order functional information. The genomic information is stored in the GENES database, which is a collection of gene catalogs for all the completely sequenced genomes and some partial genomes with up-to-date annotation of gene functions. The higher order functional information is stored in the PATHWAY database, which contains graphical representations of cellular processes, such as metabolism, membrane transport, signal transduction and cell cycle. The PATHWAY database is supplemented by a set of ortholog group tables for the information about conserved subpathways (pathway motifs), which are often encoded by positionally coupled genes on the chromosome and which are especially useful in predicting gene functions. A third database in KEGG is LIGAND for the information about chemical compounds, enzyme molecules and enzymatic reactions. KEGG provides Java graphics tools for browsing genome maps, comparing two genome maps and manipulating expression maps, as well as computational tools for sequence comparison, graph comparison and path computation. The KEGG databases are daily updated and made freely available (http://www.genome.ad.jp/kegg/ ).","container-title":"Nucleic Acids Research","DOI":"10.1093/nar/28.1.27","ISSN":"0305-1048","issue":"1","journalAbbreviation":"Nucleic Acids Res","page":"27-30","source":"Silverchair","title":"KEGG: Kyoto Encyclopedia of Genes and Genomes","title-short":"KEGG","URL":"https://doi.org/10.1093/nar/28.1.27","volume":"28","author":[{"family":"Kanehisa","given":"Minoru"},{"family":"Goto","given":"Susumu"}],"accessed":{"date-parts":[["2026",8,25]]},"issued":{"date-parts":[["2000",1,1]]}}},{"id":270,"uris":["http://zotero.org/users/local/sechomLT/items/75FDJBHM"],"itemData":{"id":270,"type":"article-journal","abstract":"Functional enrichment analysis is pivotal for interpreting high-throughput omics data in life science. It is crucial for this type of tool to use the latest annotation databases for as many organisms as possible. To meet these requirements, we present here an updated version of our popular Bioconductor package, clusterProfiler 4.0. This package has been enhanced considerably compared with its original version published 9 years ago. The new version provides a universal interface for functional enrichment analysis in thousands of organisms based on internally supported ontologies and pathways as well as annotation data provided by users or derived from online databases. It also extends the dplyr and ggplot2 packages to offer tidy interfaces for data operation and visualization. Other new features include gene set enrichment analysis and comparison of enrichment results from multiple gene lists. We anticipate that clusterProfiler 4.0 will be applied to a wide range of scenarios across diverse organisms., •clusterProfiler supports exploring functional characteristics of both coding and non-coding genomics data for thousands of species with up-to-date gene annotation•It provides a universal interface for gene functional annotation from a variety of sources and thus can be applied in diverse scenarios•It provides a tidy interface to access, manipulate, and visualize enrichment results to help users achieve efficient data interpretation•Datasets obtained from multiple treatments and time points can be analyzed and compared in a single run, easily revealing functional consensus and differences among distinct conditions","container-title":"The Innovation","DOI":"10.1016/j.xinn.2021.100141","ISSN":"2666-6758","issue":"3","journalAbbreviation":"Innovation (Camb)","page":"100141","PMID":"34557778","PMCID":"PMC8454663","source":"PubMed Central","title":"clusterProfiler 4.0: A universal enrichment tool for interpreting omics data","title-short":"clusterProfiler 4.0","URL":"https://pmc.ncbi.nlm.nih.gov/articles/PMC8454663/","volume":"2","author":[{"family":"Wu","given":"Tianzhi"},{"family":"Hu","given":"Erqiang"},{"family":"Xu","given":"Shuangbin"},{"family":"Chen","given":"Meijun"},{"family":"Guo","given":"Pingfan"},{"family":"Dai","given":"Zehan"},{"family":"Feng","given":"Tingze"},{"family":"Zhou","given":"Lang"},{"family":"Tang","given":"Wenli"},{"family":"Zhan","given":"Li"},{"family":"Fu","given":"Xiaocong"},{"family":"Liu","given":"Shanshan"},{"family":"Bo","given":"Xiaochen"},{"family":"Yu","given":"Guangchuang"}],"accessed":{"date-parts":[["2026",8,25]]},"issued":{"date-parts":[["2021",7,1]]}}}],"schema":"https://github.com/citation-style-language/schema/raw/master/csl-citation.json"} </w:instrText>
      </w:r>
      <w:r w:rsidR="00B35C38">
        <w:fldChar w:fldCharType="separate"/>
      </w:r>
      <w:r w:rsidR="007B3093" w:rsidRPr="007B3093">
        <w:rPr>
          <w:rFonts w:ascii="Calibri" w:hAnsi="Calibri" w:cs="Calibri"/>
        </w:rPr>
        <w:t>(28–31)</w:t>
      </w:r>
      <w:r w:rsidR="00B35C38">
        <w:fldChar w:fldCharType="end"/>
      </w:r>
      <w:r w:rsidRPr="0097332C">
        <w:t>.</w:t>
      </w:r>
    </w:p>
    <w:p w14:paraId="08091342" w14:textId="314EB88A" w:rsidR="00C8008E" w:rsidRPr="0097332C" w:rsidRDefault="0097332C" w:rsidP="0097332C">
      <w:r w:rsidRPr="0097332C">
        <w:lastRenderedPageBreak/>
        <w:t xml:space="preserve">Para evaluar el enriquecimiento biológico, la metodología computacional estándar se basa en el Análisis de </w:t>
      </w:r>
      <w:proofErr w:type="spellStart"/>
      <w:r w:rsidRPr="0097332C">
        <w:t>Sobre-representación</w:t>
      </w:r>
      <w:proofErr w:type="spellEnd"/>
      <w:r w:rsidRPr="0097332C">
        <w:t xml:space="preserve"> (ORA). Este enfoque aplica pruebas estadísticas</w:t>
      </w:r>
      <w:r w:rsidR="0064600C">
        <w:t xml:space="preserve"> (basadas en </w:t>
      </w:r>
      <w:r w:rsidR="0064600C" w:rsidRPr="0097332C">
        <w:t>la distribución hipergeométric</w:t>
      </w:r>
      <w:r w:rsidR="0064600C">
        <w:t>a o binomial, o en la prueba de Chi-cuadrado)</w:t>
      </w:r>
      <w:r w:rsidRPr="0097332C">
        <w:t xml:space="preserve"> para determinar si una categoría funcional o ruta biológica contiene un número de genes de la firma consenso significativamente mayor al esperado por simple azar</w:t>
      </w:r>
      <w:r w:rsidR="0064600C">
        <w:fldChar w:fldCharType="begin"/>
      </w:r>
      <w:r w:rsidR="007B3093">
        <w:instrText xml:space="preserve"> ADDIN ZOTERO_ITEM CSL_CITATION {"citationID":"k8Acqpst","properties":{"unsorted":false,"formattedCitation":"(17,28,29)","plainCitation":"(17,28,29)","noteIndex":0},"citationItems":[{"id":241,"uris":["http://zotero.org/users/local/sechomLT/items/4I38JXMT"],"itemData":{"id":241,"type":"article-journal","abstract":"RNA-sequencing (RNA-seq) has a wide variety of applications, but no single analysis pipeline can be used in all cases. We review all of the major steps in RNA-seq data analysis, including experimental design, quality control, read alignment, quantification of gene and transcript levels, visualization, differential gene expression, alternative splicing, functional analysis, gene fusion detection and eQTL mapping. We highlight the challenges associated with each step. We discuss the analysis of small RNAs and the integration of RNA-seq with other functional genomics techniques. Finally, we discuss the outlook for novel technologies that are changing the state of the art in transcriptomics.","container-title":"Genome Biology","DOI":"10.1186/s13059-016-0881-8","ISSN":"1474-760X","issue":"1","journalAbbreviation":"Genome Biol","language":"en","page":"13","source":"Springer Link","title":"A survey of best practices for RNA-seq data analysis","URL":"https://doi.org/10.1186/s13059-016-0881-8","volume":"17","author":[{"family":"Conesa","given":"Ana"},{"family":"Madrigal","given":"Pedro"},{"family":"Tarazona","given":"Sonia"},{"family":"Gomez-Cabrero","given":"David"},{"family":"Cervera","given":"Alejandra"},{"family":"McPherson","given":"Andrew"},{"family":"Szcześniak","given":"Michał Wojciech"},{"family":"Gaffney","given":"Daniel J."},{"family":"Elo","given":"Laura L."},{"family":"Zhang","given":"Xuegong"},{"family":"Mortazavi","given":"Ali"}],"accessed":{"date-parts":[["2026",8,9]]},"issued":{"date-parts":[["2016",1,26]]}}},{"id":282,"uris":["http://zotero.org/users/local/sechomLT/items/86YFQJPQ"],"itemData":{"id":282,"type":"article-journal","abstract":"Pathway analysis has become the first choice for gaining insight into the underlying biology of differentially expressed genes and proteins, as it reduces complexity and has increased explanatory power. We discuss the evolution of knowledge base–driven pathway analysis over its first decade, distinctly divided into three generations. We also discuss the limitations that are specific to each generation, and how they are addressed by successive generations of methods. We identify a number of annotation challenges that must be addressed to enable development of the next generation of pathway analysis methods. Furthermore, we identify a number of methodological challenges that the next generation of methods must tackle to take advantage of the technological advances in genomics and proteomics in order to improve specificity, sensitivity, and relevance of pathway analysis.","container-title":"PLoS Computational Biology","DOI":"10.1371/journal.pcbi.1002375","ISSN":"1553-734X","issue":"2","journalAbbreviation":"PLoS Comput Biol","page":"e1002375","PMID":"22383865","PMCID":"PMC3285573","source":"PubMed Central","title":"Ten Years of Pathway Analysis: Current Approaches and Outstanding Challenges","title-short":"Ten Years of Pathway Analysis","URL":"https://pmc.ncbi.nlm.nih.gov/articles/PMC3285573/","volume":"8","author":[{"family":"Khatri","given":"Purvesh"},{"family":"Sirota","given":"Marina"},{"family":"Butte","given":"Atul J."}],"accessed":{"date-parts":[["2026",8,26]]},"issued":{"date-parts":[["2012",2,23]]}}},{"id":285,"uris":["http://zotero.org/users/local/sechomLT/items/V7BAEJMA"],"itemData":{"id":285,"type":"article-journal","abstract":"Pathway enrichment analysis helps researchers gain mechanistic insight into gene lists generated from genome-scale (omics) experiments. This method identifies biological pathways that are enriched in a gene list more than would be expected by chance. We explain the procedures of pathway enrichment analysis and present a practical step-by-step guide to help interpret gene lists resulting from RNA-seq and genome-sequencing experiments. The protocol comprises three major steps: definition of a gene list from omics data, determination of statistically enriched pathways, and visualization and interpretation of the results. We describe how to use this protocol with published examples of differentially expressed genes and mutated cancer genes; however, the principles can be applied to diverse types of omics data. The protocol describes innovative visualization techniques, provides comprehensive background and troubleshooting guidelines, and uses freely available and frequently updated software, including g:Profiler, Gene Set Enrichment Analysis (GSEA), Cytoscape and EnrichmentMap. The complete protocol can be performed in ~4.5 h and is designed for use by biologists with no prior bioinformatics training.","container-title":"Nature protocols","DOI":"10.1038/s41596-018-0103-9","ISSN":"1754-2189","issue":"2","journalAbbreviation":"Nat Protoc","page":"482-517","PMID":"30664679","PMCID":"PMC6607905","source":"PubMed Central","title":"Pathway enrichment analysis and visualization of omics data using g:Profiler, GSEA, Cytoscape and EnrichmentMap","title-short":"Pathway enrichment analysis and visualization of omics data using g","URL":"https://pmc.ncbi.nlm.nih.gov/articles/PMC6607905/","volume":"14","author":[{"family":"Reimand","given":"Jüri"},{"family":"Isser","given":"Ruth"},{"family":"Voisin","given":"Veronique"},{"family":"Kucera","given":"Mike"},{"family":"Tannus-Lopes","given":"Christian"},{"family":"Rostamianfar","given":"Asha"},{"family":"Wadi","given":"Lina"},{"family":"Meyer","given":"Mona"},{"family":"Wong","given":"Jeff"},{"family":"Xu","given":"Changjiang"},{"family":"Merico","given":"Daniele"},{"family":"Bader","given":"Gary D."}],"accessed":{"date-parts":[["2026",8,27]]},"issued":{"date-parts":[["2019",2]]}}}],"schema":"https://github.com/citation-style-language/schema/raw/master/csl-citation.json"} </w:instrText>
      </w:r>
      <w:r w:rsidR="0064600C">
        <w:fldChar w:fldCharType="separate"/>
      </w:r>
      <w:r w:rsidR="007B3093" w:rsidRPr="007B3093">
        <w:rPr>
          <w:rFonts w:ascii="Calibri" w:hAnsi="Calibri" w:cs="Calibri"/>
        </w:rPr>
        <w:t>(17,28,29)</w:t>
      </w:r>
      <w:r w:rsidR="0064600C">
        <w:fldChar w:fldCharType="end"/>
      </w:r>
      <w:r w:rsidRPr="0097332C">
        <w:t xml:space="preserve">. </w:t>
      </w:r>
      <w:r w:rsidR="0064600C">
        <w:t>Además</w:t>
      </w:r>
      <w:r w:rsidRPr="0097332C">
        <w:t>, la definición precisa del universo génico de referencia (</w:t>
      </w:r>
      <w:proofErr w:type="spellStart"/>
      <w:r w:rsidRPr="0097332C">
        <w:rPr>
          <w:i/>
          <w:iCs/>
        </w:rPr>
        <w:t>background</w:t>
      </w:r>
      <w:proofErr w:type="spellEnd"/>
      <w:r w:rsidRPr="0097332C">
        <w:t>) resulta un factor determinante</w:t>
      </w:r>
      <w:r w:rsidR="0064600C">
        <w:fldChar w:fldCharType="begin"/>
      </w:r>
      <w:r w:rsidR="004C324E">
        <w:instrText xml:space="preserve"> ADDIN ZOTERO_ITEM CSL_CITATION {"citationID":"p6LGxqdU","properties":{"unsorted":false,"formattedCitation":"(28,29)","plainCitation":"(28,29)","noteIndex":0},"citationItems":[{"id":282,"uris":["http://zotero.org/users/local/sechomLT/items/86YFQJPQ"],"itemData":{"id":282,"type":"article-journal","abstract":"Pathway analysis has become the first choice for gaining insight into the underlying biology of differentially expressed genes and proteins, as it reduces complexity and has increased explanatory power. We discuss the evolution of knowledge base–driven pathway analysis over its first decade, distinctly divided into three generations. We also discuss the limitations that are specific to each generation, and how they are addressed by successive generations of methods. We identify a number of annotation challenges that must be addressed to enable development of the next generation of pathway analysis methods. Furthermore, we identify a number of methodological challenges that the next generation of methods must tackle to take advantage of the technological advances in genomics and proteomics in order to improve specificity, sensitivity, and relevance of pathway analysis.","container-title":"PLoS Computational Biology","DOI":"10.1371/journal.pcbi.1002375","ISSN":"1553-734X","issue":"2","journalAbbreviation":"PLoS Comput Biol","page":"e1002375","PMID":"22383865","PMCID":"PMC3285573","source":"PubMed Central","title":"Ten Years of Pathway Analysis: Current Approaches and Outstanding Challenges","title-short":"Ten Years of Pathway Analysis","URL":"https://pmc.ncbi.nlm.nih.gov/articles/PMC3285573/","volume":"8","author":[{"family":"Khatri","given":"Purvesh"},{"family":"Sirota","given":"Marina"},{"family":"Butte","given":"Atul J."}],"accessed":{"date-parts":[["2026",8,26]]},"issued":{"date-parts":[["2012",2,23]]}}},{"id":285,"uris":["http://zotero.org/users/local/sechomLT/items/V7BAEJMA"],"itemData":{"id":285,"type":"article-journal","abstract":"Pathway enrichment analysis helps researchers gain mechanistic insight into gene lists generated from genome-scale (omics) experiments. This method identifies biological pathways that are enriched in a gene list more than would be expected by chance. We explain the procedures of pathway enrichment analysis and present a practical step-by-step guide to help interpret gene lists resulting from RNA-seq and genome-sequencing experiments. The protocol comprises three major steps: definition of a gene list from omics data, determination of statistically enriched pathways, and visualization and interpretation of the results. We describe how to use this protocol with published examples of differentially expressed genes and mutated cancer genes; however, the principles can be applied to diverse types of omics data. The protocol describes innovative visualization techniques, provides comprehensive background and troubleshooting guidelines, and uses freely available and frequently updated software, including g:Profiler, Gene Set Enrichment Analysis (GSEA), Cytoscape and EnrichmentMap. The complete protocol can be performed in ~4.5 h and is designed for use by biologists with no prior bioinformatics training.","container-title":"Nature protocols","DOI":"10.1038/s41596-018-0103-9","ISSN":"1754-2189","issue":"2","journalAbbreviation":"Nat Protoc","page":"482-517","PMID":"30664679","PMCID":"PMC6607905","source":"PubMed Central","title":"Pathway enrichment analysis and visualization of omics data using g:Profiler, GSEA, Cytoscape and EnrichmentMap","title-short":"Pathway enrichment analysis and visualization of omics data using g","URL":"https://pmc.ncbi.nlm.nih.gov/articles/PMC6607905/","volume":"14","author":[{"family":"Reimand","given":"Jüri"},{"family":"Isser","given":"Ruth"},{"family":"Voisin","given":"Veronique"},{"family":"Kucera","given":"Mike"},{"family":"Tannus-Lopes","given":"Christian"},{"family":"Rostamianfar","given":"Asha"},{"family":"Wadi","given":"Lina"},{"family":"Meyer","given":"Mona"},{"family":"Wong","given":"Jeff"},{"family":"Xu","given":"Changjiang"},{"family":"Merico","given":"Daniele"},{"family":"Bader","given":"Gary D."}],"accessed":{"date-parts":[["2026",8,27]]},"issued":{"date-parts":[["2019",2]]}}}],"schema":"https://github.com/citation-style-language/schema/raw/master/csl-citation.json"} </w:instrText>
      </w:r>
      <w:r w:rsidR="0064600C">
        <w:fldChar w:fldCharType="separate"/>
      </w:r>
      <w:r w:rsidR="004C324E" w:rsidRPr="004C324E">
        <w:rPr>
          <w:rFonts w:ascii="Calibri" w:hAnsi="Calibri" w:cs="Calibri"/>
        </w:rPr>
        <w:t>(28,29)</w:t>
      </w:r>
      <w:r w:rsidR="0064600C">
        <w:fldChar w:fldCharType="end"/>
      </w:r>
      <w:r w:rsidRPr="0097332C">
        <w:t xml:space="preserve">. </w:t>
      </w:r>
      <w:r w:rsidR="003B5B46" w:rsidRPr="003B5B46">
        <w:t>Este parámetro delimita el conjunto de genes evaluados frente al cual se calcula la probabilidad, evitando los sesgos estadísticos derivados de asumir el genoma completo por defecto</w:t>
      </w:r>
      <w:r w:rsidR="003B5B46">
        <w:fldChar w:fldCharType="begin"/>
      </w:r>
      <w:r w:rsidR="004C324E">
        <w:instrText xml:space="preserve"> ADDIN ZOTERO_ITEM CSL_CITATION {"citationID":"XwODxKOr","properties":{"unsorted":false,"formattedCitation":"(28,29)","plainCitation":"(28,29)","noteIndex":0},"citationItems":[{"id":282,"uris":["http://zotero.org/users/local/sechomLT/items/86YFQJPQ"],"itemData":{"id":282,"type":"article-journal","abstract":"Pathway analysis has become the first choice for gaining insight into the underlying biology of differentially expressed genes and proteins, as it reduces complexity and has increased explanatory power. We discuss the evolution of knowledge base–driven pathway analysis over its first decade, distinctly divided into three generations. We also discuss the limitations that are specific to each generation, and how they are addressed by successive generations of methods. We identify a number of annotation challenges that must be addressed to enable development of the next generation of pathway analysis methods. Furthermore, we identify a number of methodological challenges that the next generation of methods must tackle to take advantage of the technological advances in genomics and proteomics in order to improve specificity, sensitivity, and relevance of pathway analysis.","container-title":"PLoS Computational Biology","DOI":"10.1371/journal.pcbi.1002375","ISSN":"1553-734X","issue":"2","journalAbbreviation":"PLoS Comput Biol","page":"e1002375","PMID":"22383865","PMCID":"PMC3285573","source":"PubMed Central","title":"Ten Years of Pathway Analysis: Current Approaches and Outstanding Challenges","title-short":"Ten Years of Pathway Analysis","URL":"https://pmc.ncbi.nlm.nih.gov/articles/PMC3285573/","volume":"8","author":[{"family":"Khatri","given":"Purvesh"},{"family":"Sirota","given":"Marina"},{"family":"Butte","given":"Atul J."}],"accessed":{"date-parts":[["2026",8,26]]},"issued":{"date-parts":[["2012",2,23]]}}},{"id":285,"uris":["http://zotero.org/users/local/sechomLT/items/V7BAEJMA"],"itemData":{"id":285,"type":"article-journal","abstract":"Pathway enrichment analysis helps researchers gain mechanistic insight into gene lists generated from genome-scale (omics) experiments. This method identifies biological pathways that are enriched in a gene list more than would be expected by chance. We explain the procedures of pathway enrichment analysis and present a practical step-by-step guide to help interpret gene lists resulting from RNA-seq and genome-sequencing experiments. The protocol comprises three major steps: definition of a gene list from omics data, determination of statistically enriched pathways, and visualization and interpretation of the results. We describe how to use this protocol with published examples of differentially expressed genes and mutated cancer genes; however, the principles can be applied to diverse types of omics data. The protocol describes innovative visualization techniques, provides comprehensive background and troubleshooting guidelines, and uses freely available and frequently updated software, including g:Profiler, Gene Set Enrichment Analysis (GSEA), Cytoscape and EnrichmentMap. The complete protocol can be performed in ~4.5 h and is designed for use by biologists with no prior bioinformatics training.","container-title":"Nature protocols","DOI":"10.1038/s41596-018-0103-9","ISSN":"1754-2189","issue":"2","journalAbbreviation":"Nat Protoc","page":"482-517","PMID":"30664679","PMCID":"PMC6607905","source":"PubMed Central","title":"Pathway enrichment analysis and visualization of omics data using g:Profiler, GSEA, Cytoscape and EnrichmentMap","title-short":"Pathway enrichment analysis and visualization of omics data using g","URL":"https://pmc.ncbi.nlm.nih.gov/articles/PMC6607905/","volume":"14","author":[{"family":"Reimand","given":"Jüri"},{"family":"Isser","given":"Ruth"},{"family":"Voisin","given":"Veronique"},{"family":"Kucera","given":"Mike"},{"family":"Tannus-Lopes","given":"Christian"},{"family":"Rostamianfar","given":"Asha"},{"family":"Wadi","given":"Lina"},{"family":"Meyer","given":"Mona"},{"family":"Wong","given":"Jeff"},{"family":"Xu","given":"Changjiang"},{"family":"Merico","given":"Daniele"},{"family":"Bader","given":"Gary D."}],"accessed":{"date-parts":[["2026",8,27]]},"issued":{"date-parts":[["2019",2]]}}}],"schema":"https://github.com/citation-style-language/schema/raw/master/csl-citation.json"} </w:instrText>
      </w:r>
      <w:r w:rsidR="003B5B46">
        <w:fldChar w:fldCharType="separate"/>
      </w:r>
      <w:r w:rsidR="004C324E" w:rsidRPr="004C324E">
        <w:rPr>
          <w:rFonts w:ascii="Calibri" w:hAnsi="Calibri" w:cs="Calibri"/>
        </w:rPr>
        <w:t>(28,29)</w:t>
      </w:r>
      <w:r w:rsidR="003B5B46">
        <w:fldChar w:fldCharType="end"/>
      </w:r>
      <w:r w:rsidRPr="0097332C">
        <w:t>. Posteriormente, los valores de significación obtenidos se ajustan mediante el control de la Tasa de Falsos Descubrimientos (FDR), garantizando la validez estadística de los términos enriquecidos</w:t>
      </w:r>
      <w:r w:rsidR="003B5B46">
        <w:fldChar w:fldCharType="begin"/>
      </w:r>
      <w:r w:rsidR="004C324E">
        <w:instrText xml:space="preserve"> ADDIN ZOTERO_ITEM CSL_CITATION {"citationID":"l7xeGWFf","properties":{"unsorted":false,"formattedCitation":"(17,28,29)","plainCitation":"(17,28,29)","noteIndex":0},"citationItems":[{"id":241,"uris":["http://zotero.org/users/local/sechomLT/items/4I38JXMT"],"itemData":{"id":241,"type":"article-journal","abstract":"RNA-sequencing (RNA-seq) has a wide variety of applications, but no single analysis pipeline can be used in all cases. We review all of the major steps in RNA-seq data analysis, including experimental design, quality control, read alignment, quantification of gene and transcript levels, visualization, differential gene expression, alternative splicing, functional analysis, gene fusion detection and eQTL mapping. We highlight the challenges associated with each step. We discuss the analysis of small RNAs and the integration of RNA-seq with other functional genomics techniques. Finally, we discuss the outlook for novel technologies that are changing the state of the art in transcriptomics.","container-title":"Genome Biology","DOI":"10.1186/s13059-016-0881-8","ISSN":"1474-760X","issue":"1","journalAbbreviation":"Genome Biol","language":"en","page":"13","source":"Springer Link","title":"A survey of best practices for RNA-seq data analysis","URL":"https://doi.org/10.1186/s13059-016-0881-8","volume":"17","author":[{"family":"Conesa","given":"Ana"},{"family":"Madrigal","given":"Pedro"},{"family":"Tarazona","given":"Sonia"},{"family":"Gomez-Cabrero","given":"David"},{"family":"Cervera","given":"Alejandra"},{"family":"McPherson","given":"Andrew"},{"family":"Szcześniak","given":"Michał Wojciech"},{"family":"Gaffney","given":"Daniel J."},{"family":"Elo","given":"Laura L."},{"family":"Zhang","given":"Xuegong"},{"family":"Mortazavi","given":"Ali"}],"accessed":{"date-parts":[["2026",8,9]]},"issued":{"date-parts":[["2016",1,26]]}}},{"id":282,"uris":["http://zotero.org/users/local/sechomLT/items/86YFQJPQ"],"itemData":{"id":282,"type":"article-journal","abstract":"Pathway analysis has become the first choice for gaining insight into the underlying biology of differentially expressed genes and proteins, as it reduces complexity and has increased explanatory power. We discuss the evolution of knowledge base–driven pathway analysis over its first decade, distinctly divided into three generations. We also discuss the limitations that are specific to each generation, and how they are addressed by successive generations of methods. We identify a number of annotation challenges that must be addressed to enable development of the next generation of pathway analysis methods. Furthermore, we identify a number of methodological challenges that the next generation of methods must tackle to take advantage of the technological advances in genomics and proteomics in order to improve specificity, sensitivity, and relevance of pathway analysis.","container-title":"PLoS Computational Biology","DOI":"10.1371/journal.pcbi.1002375","ISSN":"1553-734X","issue":"2","journalAbbreviation":"PLoS Comput Biol","page":"e1002375","PMID":"22383865","PMCID":"PMC3285573","source":"PubMed Central","title":"Ten Years of Pathway Analysis: Current Approaches and Outstanding Challenges","title-short":"Ten Years of Pathway Analysis","URL":"https://pmc.ncbi.nlm.nih.gov/articles/PMC3285573/","volume":"8","author":[{"family":"Khatri","given":"Purvesh"},{"family":"Sirota","given":"Marina"},{"family":"Butte","given":"Atul J."}],"accessed":{"date-parts":[["2026",8,26]]},"issued":{"date-parts":[["2012",2,23]]}}},{"id":285,"uris":["http://zotero.org/users/local/sechomLT/items/V7BAEJMA"],"itemData":{"id":285,"type":"article-journal","abstract":"Pathway enrichment analysis helps researchers gain mechanistic insight into gene lists generated from genome-scale (omics) experiments. This method identifies biological pathways that are enriched in a gene list more than would be expected by chance. We explain the procedures of pathway enrichment analysis and present a practical step-by-step guide to help interpret gene lists resulting from RNA-seq and genome-sequencing experiments. The protocol comprises three major steps: definition of a gene list from omics data, determination of statistically enriched pathways, and visualization and interpretation of the results. We describe how to use this protocol with published examples of differentially expressed genes and mutated cancer genes; however, the principles can be applied to diverse types of omics data. The protocol describes innovative visualization techniques, provides comprehensive background and troubleshooting guidelines, and uses freely available and frequently updated software, including g:Profiler, Gene Set Enrichment Analysis (GSEA), Cytoscape and EnrichmentMap. The complete protocol can be performed in ~4.5 h and is designed for use by biologists with no prior bioinformatics training.","container-title":"Nature protocols","DOI":"10.1038/s41596-018-0103-9","ISSN":"1754-2189","issue":"2","journalAbbreviation":"Nat Protoc","page":"482-517","PMID":"30664679","PMCID":"PMC6607905","source":"PubMed Central","title":"Pathway enrichment analysis and visualization of omics data using g:Profiler, GSEA, Cytoscape and EnrichmentMap","title-short":"Pathway enrichment analysis and visualization of omics data using g","URL":"https://pmc.ncbi.nlm.nih.gov/articles/PMC6607905/","volume":"14","author":[{"family":"Reimand","given":"Jüri"},{"family":"Isser","given":"Ruth"},{"family":"Voisin","given":"Veronique"},{"family":"Kucera","given":"Mike"},{"family":"Tannus-Lopes","given":"Christian"},{"family":"Rostamianfar","given":"Asha"},{"family":"Wadi","given":"Lina"},{"family":"Meyer","given":"Mona"},{"family":"Wong","given":"Jeff"},{"family":"Xu","given":"Changjiang"},{"family":"Merico","given":"Daniele"},{"family":"Bader","given":"Gary D."}],"accessed":{"date-parts":[["2026",8,27]]},"issued":{"date-parts":[["2019",2]]}}}],"schema":"https://github.com/citation-style-language/schema/raw/master/csl-citation.json"} </w:instrText>
      </w:r>
      <w:r w:rsidR="003B5B46">
        <w:fldChar w:fldCharType="separate"/>
      </w:r>
      <w:r w:rsidR="004C324E" w:rsidRPr="004C324E">
        <w:rPr>
          <w:rFonts w:ascii="Calibri" w:hAnsi="Calibri" w:cs="Calibri"/>
        </w:rPr>
        <w:t>(17,28,29)</w:t>
      </w:r>
      <w:r w:rsidR="003B5B46">
        <w:fldChar w:fldCharType="end"/>
      </w:r>
      <w:r w:rsidRPr="0097332C">
        <w:t>.</w:t>
      </w:r>
    </w:p>
    <w:p w14:paraId="18A0B788" w14:textId="774A4CA8" w:rsidR="00E93673" w:rsidRPr="00E93673" w:rsidRDefault="0097332C" w:rsidP="00E93673">
      <w:r w:rsidRPr="00E93673">
        <w:t xml:space="preserve">En el ecosistema bioinformático de </w:t>
      </w:r>
      <w:r w:rsidRPr="00E93673">
        <w:rPr>
          <w:i/>
          <w:iCs/>
        </w:rPr>
        <w:t>R</w:t>
      </w:r>
      <w:r w:rsidRPr="00E93673">
        <w:t xml:space="preserve">, paquetes especializados de </w:t>
      </w:r>
      <w:proofErr w:type="spellStart"/>
      <w:r w:rsidRPr="00E93673">
        <w:t>Bioconductor</w:t>
      </w:r>
      <w:proofErr w:type="spellEnd"/>
      <w:r w:rsidRPr="00E93673">
        <w:t xml:space="preserve"> como </w:t>
      </w:r>
      <w:proofErr w:type="spellStart"/>
      <w:r w:rsidRPr="00E93673">
        <w:rPr>
          <w:i/>
          <w:iCs/>
        </w:rPr>
        <w:t>clusterProfiler</w:t>
      </w:r>
      <w:proofErr w:type="spellEnd"/>
      <w:r w:rsidRPr="00E93673">
        <w:t xml:space="preserve"> y </w:t>
      </w:r>
      <w:proofErr w:type="spellStart"/>
      <w:r w:rsidRPr="00E93673">
        <w:rPr>
          <w:i/>
          <w:iCs/>
        </w:rPr>
        <w:t>enrichplot</w:t>
      </w:r>
      <w:proofErr w:type="spellEnd"/>
      <w:r w:rsidRPr="00E93673">
        <w:t xml:space="preserve"> permiten automatizar el cálculo estadístico y la interpretación de estos enriquecimiento</w:t>
      </w:r>
      <w:r w:rsidR="007B3093">
        <w:t>s</w:t>
      </w:r>
      <w:r w:rsidR="004C324E">
        <w:fldChar w:fldCharType="begin"/>
      </w:r>
      <w:r w:rsidR="004C324E">
        <w:instrText xml:space="preserve"> ADDIN ZOTERO_ITEM CSL_CITATION {"citationID":"zwRrWl0d","properties":{"unsorted":false,"formattedCitation":"(31)","plainCitation":"(31)","noteIndex":0},"citationItems":[{"id":270,"uris":["http://zotero.org/users/local/sechomLT/items/75FDJBHM"],"itemData":{"id":270,"type":"article-journal","abstract":"Functional enrichment analysis is pivotal for interpreting high-throughput omics data in life science. It is crucial for this type of tool to use the latest annotation databases for as many organisms as possible. To meet these requirements, we present here an updated version of our popular Bioconductor package, clusterProfiler 4.0. This package has been enhanced considerably compared with its original version published 9 years ago. The new version provides a universal interface for functional enrichment analysis in thousands of organisms based on internally supported ontologies and pathways as well as annotation data provided by users or derived from online databases. It also extends the dplyr and ggplot2 packages to offer tidy interfaces for data operation and visualization. Other new features include gene set enrichment analysis and comparison of enrichment results from multiple gene lists. We anticipate that clusterProfiler 4.0 will be applied to a wide range of scenarios across diverse organisms., •clusterProfiler supports exploring functional characteristics of both coding and non-coding genomics data for thousands of species with up-to-date gene annotation•It provides a universal interface for gene functional annotation from a variety of sources and thus can be applied in diverse scenarios•It provides a tidy interface to access, manipulate, and visualize enrichment results to help users achieve efficient data interpretation•Datasets obtained from multiple treatments and time points can be analyzed and compared in a single run, easily revealing functional consensus and differences among distinct conditions","container-title":"The Innovation","DOI":"10.1016/j.xinn.2021.100141","ISSN":"2666-6758","issue":"3","journalAbbreviation":"Innovation (Camb)","page":"100141","PMID":"34557778","PMCID":"PMC8454663","source":"PubMed Central","title":"clusterProfiler 4.0: A universal enrichment tool for interpreting omics data","title-short":"clusterProfiler 4.0","URL":"https://pmc.ncbi.nlm.nih.gov/articles/PMC8454663/","volume":"2","author":[{"family":"Wu","given":"Tianzhi"},{"family":"Hu","given":"Erqiang"},{"family":"Xu","given":"Shuangbin"},{"family":"Chen","given":"Meijun"},{"family":"Guo","given":"Pingfan"},{"family":"Dai","given":"Zehan"},{"family":"Feng","given":"Tingze"},{"family":"Zhou","given":"Lang"},{"family":"Tang","given":"Wenli"},{"family":"Zhan","given":"Li"},{"family":"Fu","given":"Xiaocong"},{"family":"Liu","given":"Shanshan"},{"family":"Bo","given":"Xiaochen"},{"family":"Yu","given":"Guangchuang"}],"accessed":{"date-parts":[["2026",8,25]]},"issued":{"date-parts":[["2021",7,1]]}}}],"schema":"https://github.com/citation-style-language/schema/raw/master/csl-citation.json"} </w:instrText>
      </w:r>
      <w:r w:rsidR="004C324E">
        <w:fldChar w:fldCharType="separate"/>
      </w:r>
      <w:r w:rsidR="004C324E" w:rsidRPr="004C324E">
        <w:rPr>
          <w:rFonts w:ascii="Calibri" w:hAnsi="Calibri" w:cs="Calibri"/>
        </w:rPr>
        <w:t>(31)</w:t>
      </w:r>
      <w:r w:rsidR="004C324E">
        <w:fldChar w:fldCharType="end"/>
      </w:r>
      <w:r w:rsidRPr="00E93673">
        <w:t xml:space="preserve">. </w:t>
      </w:r>
      <w:r w:rsidR="00E93673" w:rsidRPr="00E93673">
        <w:t>Para facilitar la interpretación de los listados estadísticos</w:t>
      </w:r>
      <w:r w:rsidRPr="00E93673">
        <w:t xml:space="preserve">, estas herramientas </w:t>
      </w:r>
      <w:r w:rsidR="00E93673" w:rsidRPr="00E93673">
        <w:t>apoyan</w:t>
      </w:r>
      <w:r w:rsidRPr="00E93673">
        <w:t xml:space="preserve"> la exploración de los resultados mediante representaciones gráficas complementarias</w:t>
      </w:r>
      <w:r w:rsidR="006F334E">
        <w:fldChar w:fldCharType="begin"/>
      </w:r>
      <w:r w:rsidR="006F334E">
        <w:instrText xml:space="preserve"> ADDIN ZOTERO_ITEM CSL_CITATION {"citationID":"3UHxBNej","properties":{"unsorted":false,"formattedCitation":"(31)","plainCitation":"(31)","noteIndex":0},"citationItems":[{"id":270,"uris":["http://zotero.org/users/local/sechomLT/items/75FDJBHM"],"itemData":{"id":270,"type":"article-journal","abstract":"Functional enrichment analysis is pivotal for interpreting high-throughput omics data in life science. It is crucial for this type of tool to use the latest annotation databases for as many organisms as possible. To meet these requirements, we present here an updated version of our popular Bioconductor package, clusterProfiler 4.0. This package has been enhanced considerably compared with its original version published 9 years ago. The new version provides a universal interface for functional enrichment analysis in thousands of organisms based on internally supported ontologies and pathways as well as annotation data provided by users or derived from online databases. It also extends the dplyr and ggplot2 packages to offer tidy interfaces for data operation and visualization. Other new features include gene set enrichment analysis and comparison of enrichment results from multiple gene lists. We anticipate that clusterProfiler 4.0 will be applied to a wide range of scenarios across diverse organisms., •clusterProfiler supports exploring functional characteristics of both coding and non-coding genomics data for thousands of species with up-to-date gene annotation•It provides a universal interface for gene functional annotation from a variety of sources and thus can be applied in diverse scenarios•It provides a tidy interface to access, manipulate, and visualize enrichment results to help users achieve efficient data interpretation•Datasets obtained from multiple treatments and time points can be analyzed and compared in a single run, easily revealing functional consensus and differences among distinct conditions","container-title":"The Innovation","DOI":"10.1016/j.xinn.2021.100141","ISSN":"2666-6758","issue":"3","journalAbbreviation":"Innovation (Camb)","page":"100141","PMID":"34557778","PMCID":"PMC8454663","source":"PubMed Central","title":"clusterProfiler 4.0: A universal enrichment tool for interpreting omics data","title-short":"clusterProfiler 4.0","URL":"https://pmc.ncbi.nlm.nih.gov/articles/PMC8454663/","volume":"2","author":[{"family":"Wu","given":"Tianzhi"},{"family":"Hu","given":"Erqiang"},{"family":"Xu","given":"Shuangbin"},{"family":"Chen","given":"Meijun"},{"family":"Guo","given":"Pingfan"},{"family":"Dai","given":"Zehan"},{"family":"Feng","given":"Tingze"},{"family":"Zhou","given":"Lang"},{"family":"Tang","given":"Wenli"},{"family":"Zhan","given":"Li"},{"family":"Fu","given":"Xiaocong"},{"family":"Liu","given":"Shanshan"},{"family":"Bo","given":"Xiaochen"},{"family":"Yu","given":"Guangchuang"}],"accessed":{"date-parts":[["2026",8,25]]},"issued":{"date-parts":[["2021",7,1]]}}}],"schema":"https://github.com/citation-style-language/schema/raw/master/csl-citation.json"} </w:instrText>
      </w:r>
      <w:r w:rsidR="006F334E">
        <w:fldChar w:fldCharType="separate"/>
      </w:r>
      <w:r w:rsidR="006F334E" w:rsidRPr="006F334E">
        <w:rPr>
          <w:rFonts w:ascii="Calibri" w:hAnsi="Calibri" w:cs="Calibri"/>
        </w:rPr>
        <w:t>(31)</w:t>
      </w:r>
      <w:r w:rsidR="006F334E">
        <w:fldChar w:fldCharType="end"/>
      </w:r>
      <w:r w:rsidRPr="00E93673">
        <w:t>. Entre ellas destacan los diagramas de puntos (</w:t>
      </w:r>
      <w:proofErr w:type="spellStart"/>
      <w:r w:rsidRPr="00E93673">
        <w:rPr>
          <w:i/>
          <w:iCs/>
        </w:rPr>
        <w:t>dotplots</w:t>
      </w:r>
      <w:proofErr w:type="spellEnd"/>
      <w:r w:rsidRPr="00E93673">
        <w:t>), que sintetizan simultáneamente la significación estadística, el número de genes y la proporción de la ruta cubierta</w:t>
      </w:r>
      <w:r w:rsidR="006F334E">
        <w:fldChar w:fldCharType="begin"/>
      </w:r>
      <w:r w:rsidR="006F334E">
        <w:instrText xml:space="preserve"> ADDIN ZOTERO_ITEM CSL_CITATION {"citationID":"rFBwdwHN","properties":{"unsorted":false,"formattedCitation":"(31)","plainCitation":"(31)","noteIndex":0},"citationItems":[{"id":270,"uris":["http://zotero.org/users/local/sechomLT/items/75FDJBHM"],"itemData":{"id":270,"type":"article-journal","abstract":"Functional enrichment analysis is pivotal for interpreting high-throughput omics data in life science. It is crucial for this type of tool to use the latest annotation databases for as many organisms as possible. To meet these requirements, we present here an updated version of our popular Bioconductor package, clusterProfiler 4.0. This package has been enhanced considerably compared with its original version published 9 years ago. The new version provides a universal interface for functional enrichment analysis in thousands of organisms based on internally supported ontologies and pathways as well as annotation data provided by users or derived from online databases. It also extends the dplyr and ggplot2 packages to offer tidy interfaces for data operation and visualization. Other new features include gene set enrichment analysis and comparison of enrichment results from multiple gene lists. We anticipate that clusterProfiler 4.0 will be applied to a wide range of scenarios across diverse organisms., •clusterProfiler supports exploring functional characteristics of both coding and non-coding genomics data for thousands of species with up-to-date gene annotation•It provides a universal interface for gene functional annotation from a variety of sources and thus can be applied in diverse scenarios•It provides a tidy interface to access, manipulate, and visualize enrichment results to help users achieve efficient data interpretation•Datasets obtained from multiple treatments and time points can be analyzed and compared in a single run, easily revealing functional consensus and differences among distinct conditions","container-title":"The Innovation","DOI":"10.1016/j.xinn.2021.100141","ISSN":"2666-6758","issue":"3","journalAbbreviation":"Innovation (Camb)","page":"100141","PMID":"34557778","PMCID":"PMC8454663","source":"PubMed Central","title":"clusterProfiler 4.0: A universal enrichment tool for interpreting omics data","title-short":"clusterProfiler 4.0","URL":"https://pmc.ncbi.nlm.nih.gov/articles/PMC8454663/","volume":"2","author":[{"family":"Wu","given":"Tianzhi"},{"family":"Hu","given":"Erqiang"},{"family":"Xu","given":"Shuangbin"},{"family":"Chen","given":"Meijun"},{"family":"Guo","given":"Pingfan"},{"family":"Dai","given":"Zehan"},{"family":"Feng","given":"Tingze"},{"family":"Zhou","given":"Lang"},{"family":"Tang","given":"Wenli"},{"family":"Zhan","given":"Li"},{"family":"Fu","given":"Xiaocong"},{"family":"Liu","given":"Shanshan"},{"family":"Bo","given":"Xiaochen"},{"family":"Yu","given":"Guangchuang"}],"accessed":{"date-parts":[["2026",8,25]]},"issued":{"date-parts":[["2021",7,1]]}}}],"schema":"https://github.com/citation-style-language/schema/raw/master/csl-citation.json"} </w:instrText>
      </w:r>
      <w:r w:rsidR="006F334E">
        <w:fldChar w:fldCharType="separate"/>
      </w:r>
      <w:r w:rsidR="006F334E" w:rsidRPr="006F334E">
        <w:rPr>
          <w:rFonts w:ascii="Calibri" w:hAnsi="Calibri" w:cs="Calibri"/>
        </w:rPr>
        <w:t>(31)</w:t>
      </w:r>
      <w:r w:rsidR="006F334E">
        <w:fldChar w:fldCharType="end"/>
      </w:r>
      <w:r w:rsidRPr="00E93673">
        <w:t>; los mapas de enriquecimiento (</w:t>
      </w:r>
      <w:proofErr w:type="spellStart"/>
      <w:r w:rsidRPr="00E93673">
        <w:rPr>
          <w:i/>
          <w:iCs/>
        </w:rPr>
        <w:t>emapplots</w:t>
      </w:r>
      <w:proofErr w:type="spellEnd"/>
      <w:r w:rsidRPr="00E93673">
        <w:t>), que calculan la similitud semántica entre términos para agrupar funciones redundantes</w:t>
      </w:r>
      <w:r w:rsidR="006F334E">
        <w:fldChar w:fldCharType="begin"/>
      </w:r>
      <w:r w:rsidR="006F334E">
        <w:instrText xml:space="preserve"> ADDIN ZOTERO_ITEM CSL_CITATION {"citationID":"7YMDyNFI","properties":{"unsorted":false,"formattedCitation":"(29,31)","plainCitation":"(29,31)","noteIndex":0},"citationItems":[{"id":285,"uris":["http://zotero.org/users/local/sechomLT/items/V7BAEJMA"],"itemData":{"id":285,"type":"article-journal","abstract":"Pathway enrichment analysis helps researchers gain mechanistic insight into gene lists generated from genome-scale (omics) experiments. This method identifies biological pathways that are enriched in a gene list more than would be expected by chance. We explain the procedures of pathway enrichment analysis and present a practical step-by-step guide to help interpret gene lists resulting from RNA-seq and genome-sequencing experiments. The protocol comprises three major steps: definition of a gene list from omics data, determination of statistically enriched pathways, and visualization and interpretation of the results. We describe how to use this protocol with published examples of differentially expressed genes and mutated cancer genes; however, the principles can be applied to diverse types of omics data. The protocol describes innovative visualization techniques, provides comprehensive background and troubleshooting guidelines, and uses freely available and frequently updated software, including g:Profiler, Gene Set Enrichment Analysis (GSEA), Cytoscape and EnrichmentMap. The complete protocol can be performed in ~4.5 h and is designed for use by biologists with no prior bioinformatics training.","container-title":"Nature protocols","DOI":"10.1038/s41596-018-0103-9","ISSN":"1754-2189","issue":"2","journalAbbreviation":"Nat Protoc","page":"482-517","PMID":"30664679","PMCID":"PMC6607905","source":"PubMed Central","title":"Pathway enrichment analysis and visualization of omics data using g:Profiler, GSEA, Cytoscape and EnrichmentMap","title-short":"Pathway enrichment analysis and visualization of omics data using g","URL":"https://pmc.ncbi.nlm.nih.gov/articles/PMC6607905/","volume":"14","author":[{"family":"Reimand","given":"Jüri"},{"family":"Isser","given":"Ruth"},{"family":"Voisin","given":"Veronique"},{"family":"Kucera","given":"Mike"},{"family":"Tannus-Lopes","given":"Christian"},{"family":"Rostamianfar","given":"Asha"},{"family":"Wadi","given":"Lina"},{"family":"Meyer","given":"Mona"},{"family":"Wong","given":"Jeff"},{"family":"Xu","given":"Changjiang"},{"family":"Merico","given":"Daniele"},{"family":"Bader","given":"Gary D."}],"accessed":{"date-parts":[["2026",8,27]]},"issued":{"date-parts":[["2019",2]]}}},{"id":270,"uris":["http://zotero.org/users/local/sechomLT/items/75FDJBHM"],"itemData":{"id":270,"type":"article-journal","abstract":"Functional enrichment analysis is pivotal for interpreting high-throughput omics data in life science. It is crucial for this type of tool to use the latest annotation databases for as many organisms as possible. To meet these requirements, we present here an updated version of our popular Bioconductor package, clusterProfiler 4.0. This package has been enhanced considerably compared with its original version published 9 years ago. The new version provides a universal interface for functional enrichment analysis in thousands of organisms based on internally supported ontologies and pathways as well as annotation data provided by users or derived from online databases. It also extends the dplyr and ggplot2 packages to offer tidy interfaces for data operation and visualization. Other new features include gene set enrichment analysis and comparison of enrichment results from multiple gene lists. We anticipate that clusterProfiler 4.0 will be applied to a wide range of scenarios across diverse organisms., •clusterProfiler supports exploring functional characteristics of both coding and non-coding genomics data for thousands of species with up-to-date gene annotation•It provides a universal interface for gene functional annotation from a variety of sources and thus can be applied in diverse scenarios•It provides a tidy interface to access, manipulate, and visualize enrichment results to help users achieve efficient data interpretation•Datasets obtained from multiple treatments and time points can be analyzed and compared in a single run, easily revealing functional consensus and differences among distinct conditions","container-title":"The Innovation","DOI":"10.1016/j.xinn.2021.100141","ISSN":"2666-6758","issue":"3","journalAbbreviation":"Innovation (Camb)","page":"100141","PMID":"34557778","PMCID":"PMC8454663","source":"PubMed Central","title":"clusterProfiler 4.0: A universal enrichment tool for interpreting omics data","title-short":"clusterProfiler 4.0","URL":"https://pmc.ncbi.nlm.nih.gov/articles/PMC8454663/","volume":"2","author":[{"family":"Wu","given":"Tianzhi"},{"family":"Hu","given":"Erqiang"},{"family":"Xu","given":"Shuangbin"},{"family":"Chen","given":"Meijun"},{"family":"Guo","given":"Pingfan"},{"family":"Dai","given":"Zehan"},{"family":"Feng","given":"Tingze"},{"family":"Zhou","given":"Lang"},{"family":"Tang","given":"Wenli"},{"family":"Zhan","given":"Li"},{"family":"Fu","given":"Xiaocong"},{"family":"Liu","given":"Shanshan"},{"family":"Bo","given":"Xiaochen"},{"family":"Yu","given":"Guangchuang"}],"accessed":{"date-parts":[["2026",8,25]]},"issued":{"date-parts":[["2021",7,1]]}}}],"schema":"https://github.com/citation-style-language/schema/raw/master/csl-citation.json"} </w:instrText>
      </w:r>
      <w:r w:rsidR="006F334E">
        <w:fldChar w:fldCharType="separate"/>
      </w:r>
      <w:r w:rsidR="006F334E" w:rsidRPr="006F334E">
        <w:rPr>
          <w:rFonts w:ascii="Calibri" w:hAnsi="Calibri" w:cs="Calibri"/>
        </w:rPr>
        <w:t>(29,31)</w:t>
      </w:r>
      <w:r w:rsidR="006F334E">
        <w:fldChar w:fldCharType="end"/>
      </w:r>
      <w:r w:rsidRPr="00E93673">
        <w:t>; y las redes de conceptos génicos (</w:t>
      </w:r>
      <w:proofErr w:type="spellStart"/>
      <w:r w:rsidRPr="00E93673">
        <w:rPr>
          <w:i/>
          <w:iCs/>
        </w:rPr>
        <w:t>cnetplots</w:t>
      </w:r>
      <w:proofErr w:type="spellEnd"/>
      <w:r w:rsidRPr="00E93673">
        <w:t>), las cuales vinculan visualmente las rutas alteradas con los genes específicos que las integran</w:t>
      </w:r>
      <w:r w:rsidR="006F334E">
        <w:fldChar w:fldCharType="begin"/>
      </w:r>
      <w:r w:rsidR="006F334E">
        <w:instrText xml:space="preserve"> ADDIN ZOTERO_ITEM CSL_CITATION {"citationID":"Z4QpvjXF","properties":{"unsorted":false,"formattedCitation":"(31)","plainCitation":"(31)","noteIndex":0},"citationItems":[{"id":270,"uris":["http://zotero.org/users/local/sechomLT/items/75FDJBHM"],"itemData":{"id":270,"type":"article-journal","abstract":"Functional enrichment analysis is pivotal for interpreting high-throughput omics data in life science. It is crucial for this type of tool to use the latest annotation databases for as many organisms as possible. To meet these requirements, we present here an updated version of our popular Bioconductor package, clusterProfiler 4.0. This package has been enhanced considerably compared with its original version published 9 years ago. The new version provides a universal interface for functional enrichment analysis in thousands of organisms based on internally supported ontologies and pathways as well as annotation data provided by users or derived from online databases. It also extends the dplyr and ggplot2 packages to offer tidy interfaces for data operation and visualization. Other new features include gene set enrichment analysis and comparison of enrichment results from multiple gene lists. We anticipate that clusterProfiler 4.0 will be applied to a wide range of scenarios across diverse organisms., •clusterProfiler supports exploring functional characteristics of both coding and non-coding genomics data for thousands of species with up-to-date gene annotation•It provides a universal interface for gene functional annotation from a variety of sources and thus can be applied in diverse scenarios•It provides a tidy interface to access, manipulate, and visualize enrichment results to help users achieve efficient data interpretation•Datasets obtained from multiple treatments and time points can be analyzed and compared in a single run, easily revealing functional consensus and differences among distinct conditions","container-title":"The Innovation","DOI":"10.1016/j.xinn.2021.100141","ISSN":"2666-6758","issue":"3","journalAbbreviation":"Innovation (Camb)","page":"100141","PMID":"34557778","PMCID":"PMC8454663","source":"PubMed Central","title":"clusterProfiler 4.0: A universal enrichment tool for interpreting omics data","title-short":"clusterProfiler 4.0","URL":"https://pmc.ncbi.nlm.nih.gov/articles/PMC8454663/","volume":"2","author":[{"family":"Wu","given":"Tianzhi"},{"family":"Hu","given":"Erqiang"},{"family":"Xu","given":"Shuangbin"},{"family":"Chen","given":"Meijun"},{"family":"Guo","given":"Pingfan"},{"family":"Dai","given":"Zehan"},{"family":"Feng","given":"Tingze"},{"family":"Zhou","given":"Lang"},{"family":"Tang","given":"Wenli"},{"family":"Zhan","given":"Li"},{"family":"Fu","given":"Xiaocong"},{"family":"Liu","given":"Shanshan"},{"family":"Bo","given":"Xiaochen"},{"family":"Yu","given":"Guangchuang"}],"accessed":{"date-parts":[["2026",8,25]]},"issued":{"date-parts":[["2021",7,1]]}}}],"schema":"https://github.com/citation-style-language/schema/raw/master/csl-citation.json"} </w:instrText>
      </w:r>
      <w:r w:rsidR="006F334E">
        <w:fldChar w:fldCharType="separate"/>
      </w:r>
      <w:r w:rsidR="006F334E" w:rsidRPr="006F334E">
        <w:rPr>
          <w:rFonts w:ascii="Calibri" w:hAnsi="Calibri" w:cs="Calibri"/>
        </w:rPr>
        <w:t>(31)</w:t>
      </w:r>
      <w:r w:rsidR="006F334E">
        <w:fldChar w:fldCharType="end"/>
      </w:r>
      <w:r w:rsidRPr="00E93673">
        <w:t>.</w:t>
      </w:r>
      <w:r w:rsidR="00E93673" w:rsidRPr="00E93673">
        <w:rPr>
          <w:rFonts w:ascii="Times New Roman" w:hAnsi="Times New Roman"/>
        </w:rPr>
        <w:t xml:space="preserve"> </w:t>
      </w:r>
      <w:r w:rsidR="00E93673" w:rsidRPr="00E93673">
        <w:t>De este modo, la integración de estas herramientas culmina el flujo analítico transformando los datos transcriptómicos en conocimiento biológico, un paso esencial para comprender la fisiopatología tumoral a nivel de sistemas</w:t>
      </w:r>
      <w:r w:rsidR="006F334E">
        <w:fldChar w:fldCharType="begin"/>
      </w:r>
      <w:r w:rsidR="006F334E">
        <w:instrText xml:space="preserve"> ADDIN ZOTERO_ITEM CSL_CITATION {"citationID":"zkUJLyHC","properties":{"unsorted":false,"formattedCitation":"(29,31)","plainCitation":"(29,31)","noteIndex":0},"citationItems":[{"id":285,"uris":["http://zotero.org/users/local/sechomLT/items/V7BAEJMA"],"itemData":{"id":285,"type":"article-journal","abstract":"Pathway enrichment analysis helps researchers gain mechanistic insight into gene lists generated from genome-scale (omics) experiments. This method identifies biological pathways that are enriched in a gene list more than would be expected by chance. We explain the procedures of pathway enrichment analysis and present a practical step-by-step guide to help interpret gene lists resulting from RNA-seq and genome-sequencing experiments. The protocol comprises three major steps: definition of a gene list from omics data, determination of statistically enriched pathways, and visualization and interpretation of the results. We describe how to use this protocol with published examples of differentially expressed genes and mutated cancer genes; however, the principles can be applied to diverse types of omics data. The protocol describes innovative visualization techniques, provides comprehensive background and troubleshooting guidelines, and uses freely available and frequently updated software, including g:Profiler, Gene Set Enrichment Analysis (GSEA), Cytoscape and EnrichmentMap. The complete protocol can be performed in ~4.5 h and is designed for use by biologists with no prior bioinformatics training.","container-title":"Nature protocols","DOI":"10.1038/s41596-018-0103-9","ISSN":"1754-2189","issue":"2","journalAbbreviation":"Nat Protoc","page":"482-517","PMID":"30664679","PMCID":"PMC6607905","source":"PubMed Central","title":"Pathway enrichment analysis and visualization of omics data using g:Profiler, GSEA, Cytoscape and EnrichmentMap","title-short":"Pathway enrichment analysis and visualization of omics data using g","URL":"https://pmc.ncbi.nlm.nih.gov/articles/PMC6607905/","volume":"14","author":[{"family":"Reimand","given":"Jüri"},{"family":"Isser","given":"Ruth"},{"family":"Voisin","given":"Veronique"},{"family":"Kucera","given":"Mike"},{"family":"Tannus-Lopes","given":"Christian"},{"family":"Rostamianfar","given":"Asha"},{"family":"Wadi","given":"Lina"},{"family":"Meyer","given":"Mona"},{"family":"Wong","given":"Jeff"},{"family":"Xu","given":"Changjiang"},{"family":"Merico","given":"Daniele"},{"family":"Bader","given":"Gary D."}],"accessed":{"date-parts":[["2026",8,27]]},"issued":{"date-parts":[["2019",2]]}}},{"id":270,"uris":["http://zotero.org/users/local/sechomLT/items/75FDJBHM"],"itemData":{"id":270,"type":"article-journal","abstract":"Functional enrichment analysis is pivotal for interpreting high-throughput omics data in life science. It is crucial for this type of tool to use the latest annotation databases for as many organisms as possible. To meet these requirements, we present here an updated version of our popular Bioconductor package, clusterProfiler 4.0. This package has been enhanced considerably compared with its original version published 9 years ago. The new version provides a universal interface for functional enrichment analysis in thousands of organisms based on internally supported ontologies and pathways as well as annotation data provided by users or derived from online databases. It also extends the dplyr and ggplot2 packages to offer tidy interfaces for data operation and visualization. Other new features include gene set enrichment analysis and comparison of enrichment results from multiple gene lists. We anticipate that clusterProfiler 4.0 will be applied to a wide range of scenarios across diverse organisms., •clusterProfiler supports exploring functional characteristics of both coding and non-coding genomics data for thousands of species with up-to-date gene annotation•It provides a universal interface for gene functional annotation from a variety of sources and thus can be applied in diverse scenarios•It provides a tidy interface to access, manipulate, and visualize enrichment results to help users achieve efficient data interpretation•Datasets obtained from multiple treatments and time points can be analyzed and compared in a single run, easily revealing functional consensus and differences among distinct conditions","container-title":"The Innovation","DOI":"10.1016/j.xinn.2021.100141","ISSN":"2666-6758","issue":"3","journalAbbreviation":"Innovation (Camb)","page":"100141","PMID":"34557778","PMCID":"PMC8454663","source":"PubMed Central","title":"clusterProfiler 4.0: A universal enrichment tool for interpreting omics data","title-short":"clusterProfiler 4.0","URL":"https://pmc.ncbi.nlm.nih.gov/articles/PMC8454663/","volume":"2","author":[{"family":"Wu","given":"Tianzhi"},{"family":"Hu","given":"Erqiang"},{"family":"Xu","given":"Shuangbin"},{"family":"Chen","given":"Meijun"},{"family":"Guo","given":"Pingfan"},{"family":"Dai","given":"Zehan"},{"family":"Feng","given":"Tingze"},{"family":"Zhou","given":"Lang"},{"family":"Tang","given":"Wenli"},{"family":"Zhan","given":"Li"},{"family":"Fu","given":"Xiaocong"},{"family":"Liu","given":"Shanshan"},{"family":"Bo","given":"Xiaochen"},{"family":"Yu","given":"Guangchuang"}],"accessed":{"date-parts":[["2026",8,25]]},"issued":{"date-parts":[["2021",7,1]]}}}],"schema":"https://github.com/citation-style-language/schema/raw/master/csl-citation.json"} </w:instrText>
      </w:r>
      <w:r w:rsidR="006F334E">
        <w:fldChar w:fldCharType="separate"/>
      </w:r>
      <w:r w:rsidR="006F334E" w:rsidRPr="006F334E">
        <w:rPr>
          <w:rFonts w:ascii="Calibri" w:hAnsi="Calibri" w:cs="Calibri"/>
        </w:rPr>
        <w:t>(29,31)</w:t>
      </w:r>
      <w:r w:rsidR="006F334E">
        <w:fldChar w:fldCharType="end"/>
      </w:r>
      <w:r w:rsidR="00E93673" w:rsidRPr="00E93673">
        <w:t>.</w:t>
      </w:r>
    </w:p>
    <w:p w14:paraId="57C25AE3" w14:textId="5BF62E56" w:rsidR="002033D4" w:rsidRPr="0097332C" w:rsidRDefault="002033D4" w:rsidP="00E93673">
      <w:r w:rsidRPr="0097332C">
        <w:rPr>
          <w:rFonts w:asciiTheme="majorHAnsi" w:hAnsiTheme="majorHAnsi"/>
          <w:bCs/>
          <w:color w:val="0098CD"/>
          <w:kern w:val="32"/>
          <w:sz w:val="36"/>
          <w:szCs w:val="32"/>
        </w:rPr>
        <w:br w:type="page"/>
      </w:r>
    </w:p>
    <w:p w14:paraId="6A277C3F" w14:textId="5E5AAD97" w:rsidR="00F3241D" w:rsidRDefault="00F3241D" w:rsidP="00F3241D">
      <w:pPr>
        <w:pStyle w:val="Ttulo1"/>
        <w:rPr>
          <w:caps w:val="0"/>
        </w:rPr>
      </w:pPr>
      <w:bookmarkStart w:id="10" w:name="_Toc239417038"/>
      <w:r w:rsidRPr="00D17170">
        <w:rPr>
          <w:caps w:val="0"/>
        </w:rPr>
        <w:lastRenderedPageBreak/>
        <w:t>Metodología</w:t>
      </w:r>
      <w:bookmarkEnd w:id="10"/>
    </w:p>
    <w:p w14:paraId="12A6EFFF" w14:textId="694B3D32" w:rsidR="0099114B" w:rsidRDefault="00B54C94" w:rsidP="00B54C94">
      <w:pPr>
        <w:rPr>
          <w:rFonts w:ascii="Times New Roman" w:hAnsi="Times New Roman"/>
        </w:rPr>
      </w:pPr>
      <w:r>
        <w:t xml:space="preserve">Con el propósito de garantizar la transparencia y la reproducibilidad de este estudio, todos los recursos empleados y generados a lo largo del flujo de trabajo se han puesto a disposición pública. De este modo, tanto los datos de entrada como los </w:t>
      </w:r>
      <w:r>
        <w:rPr>
          <w:i/>
          <w:iCs/>
        </w:rPr>
        <w:t>scripts</w:t>
      </w:r>
      <w:r>
        <w:t xml:space="preserve"> de código desarrollados y los resultados derivados del análisis se encuentran alojados en un repositorio de GitHub. Todo este material puede ser consultado de forma íntegra a través del siguiente enlace: </w:t>
      </w:r>
      <w:hyperlink r:id="rId11" w:tgtFrame="_blank" w:history="1">
        <w:r>
          <w:rPr>
            <w:rStyle w:val="Hipervnculo"/>
          </w:rPr>
          <w:t>https://github.com/VeronicaCVT/TFM_Bioinfo_Colon_Cancer</w:t>
        </w:r>
      </w:hyperlink>
      <w:r>
        <w:t>.</w:t>
      </w:r>
      <w:r w:rsidR="00A97DA8" w:rsidRPr="00A97DA8">
        <w:t xml:space="preserve"> Este flujo de trabajo se resume en la Figura 1.</w:t>
      </w:r>
    </w:p>
    <w:p w14:paraId="07D6651E" w14:textId="77777777" w:rsidR="00F3241D" w:rsidRDefault="00F3241D" w:rsidP="00F3241D">
      <w:pPr>
        <w:pStyle w:val="Ttulo2"/>
        <w:rPr>
          <w:caps w:val="0"/>
        </w:rPr>
      </w:pPr>
      <w:bookmarkStart w:id="11" w:name="_Toc239417039"/>
      <w:r w:rsidRPr="00352D17">
        <w:rPr>
          <w:caps w:val="0"/>
        </w:rPr>
        <w:t>Obtención de los Datos y Criterios de Selección</w:t>
      </w:r>
      <w:bookmarkEnd w:id="11"/>
    </w:p>
    <w:p w14:paraId="46F1E4CC" w14:textId="3476A4E0" w:rsidR="00F3241D" w:rsidRPr="004A1570" w:rsidRDefault="00F3241D" w:rsidP="00F3241D">
      <w:r w:rsidRPr="00C661F2">
        <w:t>La recopilación de datos adecuados para el estudio es un paso fundamental, ya que estos constituyen la base de todos los análisis bioinformáticos y estadísticos posteriores. En este apartado se describe detalladamente el procedimiento seguido para la búsqueda de información y los criterios técnicos aplicados para garantizar la calidad de los datos.</w:t>
      </w:r>
    </w:p>
    <w:p w14:paraId="48E34917" w14:textId="370DCB78" w:rsidR="00F3241D" w:rsidRDefault="00F3241D" w:rsidP="00F3241D">
      <w:pPr>
        <w:pStyle w:val="Ttulo3"/>
      </w:pPr>
      <w:bookmarkStart w:id="12" w:name="_Toc239417040"/>
      <w:r>
        <w:t xml:space="preserve">Fuente de </w:t>
      </w:r>
      <w:r w:rsidR="00766E7A">
        <w:t>d</w:t>
      </w:r>
      <w:r>
        <w:t>atos</w:t>
      </w:r>
      <w:bookmarkEnd w:id="12"/>
    </w:p>
    <w:p w14:paraId="5953A054" w14:textId="066CADEA" w:rsidR="00F3241D" w:rsidRDefault="00F3241D" w:rsidP="006055C8">
      <w:r w:rsidRPr="00C661F2">
        <w:t>Las bases de datos consultadas en esta investigación son de carácter público, específicamente los repositorios</w:t>
      </w:r>
      <w:r w:rsidR="0045010B" w:rsidRPr="0045010B">
        <w:t xml:space="preserve"> </w:t>
      </w:r>
      <w:hyperlink r:id="rId12" w:history="1">
        <w:r w:rsidR="0045010B" w:rsidRPr="0045010B">
          <w:rPr>
            <w:rStyle w:val="Hipervnculo"/>
          </w:rPr>
          <w:t xml:space="preserve">Gene </w:t>
        </w:r>
        <w:proofErr w:type="spellStart"/>
        <w:r w:rsidR="0045010B" w:rsidRPr="0045010B">
          <w:rPr>
            <w:rStyle w:val="Hipervnculo"/>
          </w:rPr>
          <w:t>Expression</w:t>
        </w:r>
        <w:proofErr w:type="spellEnd"/>
        <w:r w:rsidR="0045010B" w:rsidRPr="0045010B">
          <w:rPr>
            <w:rStyle w:val="Hipervnculo"/>
          </w:rPr>
          <w:t xml:space="preserve"> </w:t>
        </w:r>
        <w:proofErr w:type="spellStart"/>
        <w:r w:rsidR="0045010B" w:rsidRPr="0045010B">
          <w:rPr>
            <w:rStyle w:val="Hipervnculo"/>
          </w:rPr>
          <w:t>Omnibus</w:t>
        </w:r>
        <w:proofErr w:type="spellEnd"/>
      </w:hyperlink>
      <w:r w:rsidR="0045010B" w:rsidRPr="00C661F2">
        <w:t xml:space="preserve"> (GEO) </w:t>
      </w:r>
      <w:r w:rsidR="0045010B" w:rsidRPr="00CB7DBC">
        <w:t xml:space="preserve">del </w:t>
      </w:r>
      <w:hyperlink r:id="rId13" w:history="1">
        <w:proofErr w:type="spellStart"/>
        <w:r w:rsidR="0045010B" w:rsidRPr="0045010B">
          <w:rPr>
            <w:rStyle w:val="Hipervnculo"/>
          </w:rPr>
          <w:t>National</w:t>
        </w:r>
        <w:proofErr w:type="spellEnd"/>
        <w:r w:rsidR="0045010B" w:rsidRPr="0045010B">
          <w:rPr>
            <w:rStyle w:val="Hipervnculo"/>
          </w:rPr>
          <w:t xml:space="preserve"> Center </w:t>
        </w:r>
        <w:proofErr w:type="spellStart"/>
        <w:r w:rsidR="0045010B" w:rsidRPr="0045010B">
          <w:rPr>
            <w:rStyle w:val="Hipervnculo"/>
          </w:rPr>
          <w:t>for</w:t>
        </w:r>
        <w:proofErr w:type="spellEnd"/>
        <w:r w:rsidR="0045010B" w:rsidRPr="0045010B">
          <w:rPr>
            <w:rStyle w:val="Hipervnculo"/>
          </w:rPr>
          <w:t xml:space="preserve"> </w:t>
        </w:r>
        <w:proofErr w:type="spellStart"/>
        <w:r w:rsidR="0045010B" w:rsidRPr="0045010B">
          <w:rPr>
            <w:rStyle w:val="Hipervnculo"/>
          </w:rPr>
          <w:t>Biotechnology</w:t>
        </w:r>
        <w:proofErr w:type="spellEnd"/>
        <w:r w:rsidR="0045010B" w:rsidRPr="0045010B">
          <w:rPr>
            <w:rStyle w:val="Hipervnculo"/>
          </w:rPr>
          <w:t xml:space="preserve"> </w:t>
        </w:r>
        <w:proofErr w:type="spellStart"/>
        <w:r w:rsidR="0045010B" w:rsidRPr="0045010B">
          <w:rPr>
            <w:rStyle w:val="Hipervnculo"/>
          </w:rPr>
          <w:t>Information</w:t>
        </w:r>
        <w:proofErr w:type="spellEnd"/>
      </w:hyperlink>
      <w:r w:rsidR="0045010B" w:rsidRPr="00CB7DBC">
        <w:t xml:space="preserve"> (NCBI)</w:t>
      </w:r>
      <w:r w:rsidRPr="00C661F2">
        <w:t xml:space="preserve"> y </w:t>
      </w:r>
      <w:hyperlink r:id="rId14" w:history="1">
        <w:r w:rsidRPr="0045010B">
          <w:rPr>
            <w:rStyle w:val="Hipervnculo"/>
          </w:rPr>
          <w:t xml:space="preserve">The </w:t>
        </w:r>
        <w:proofErr w:type="spellStart"/>
        <w:r w:rsidRPr="0045010B">
          <w:rPr>
            <w:rStyle w:val="Hipervnculo"/>
          </w:rPr>
          <w:t>Cancer</w:t>
        </w:r>
        <w:proofErr w:type="spellEnd"/>
        <w:r w:rsidRPr="0045010B">
          <w:rPr>
            <w:rStyle w:val="Hipervnculo"/>
          </w:rPr>
          <w:t xml:space="preserve"> Genome Atlas</w:t>
        </w:r>
      </w:hyperlink>
      <w:r w:rsidRPr="00C661F2">
        <w:t xml:space="preserve"> (TCGA). </w:t>
      </w:r>
      <w:r w:rsidR="00577BE2" w:rsidRPr="00D42156">
        <w:t>Al trabajar con datos secundarios de acceso abierto, no se requirió la obtención de consentimientos informados adicionales ni compromisos específicos de confidencialidad. De hecho, el anonimato de los participantes originales está plenamente garantizado por los protocolos de las plataformas de origen</w:t>
      </w:r>
      <w:r w:rsidR="00577BE2">
        <w:t>.</w:t>
      </w:r>
    </w:p>
    <w:p w14:paraId="5805C29A" w14:textId="77777777" w:rsidR="00577BE2" w:rsidRDefault="00577BE2" w:rsidP="00577BE2">
      <w:r w:rsidRPr="00D42156">
        <w:t>A fin de garantizar la validez estadística y la relevancia biológica de los resultados, la selección de los conjuntos de datos se realizó de manera minuciosa. Para ello, se aplicaron los siguientes criterios estrictos de inclusión y exclusión:</w:t>
      </w:r>
    </w:p>
    <w:p w14:paraId="791CEC19" w14:textId="77777777" w:rsidR="00F3241D" w:rsidRPr="00CB7DBC" w:rsidRDefault="00F3241D" w:rsidP="00F3241D">
      <w:pPr>
        <w:tabs>
          <w:tab w:val="num" w:pos="360"/>
        </w:tabs>
        <w:rPr>
          <w:u w:val="single"/>
        </w:rPr>
      </w:pPr>
      <w:r w:rsidRPr="00CB7DBC">
        <w:rPr>
          <w:u w:val="single"/>
        </w:rPr>
        <w:t>Criterios de inclusión</w:t>
      </w:r>
    </w:p>
    <w:p w14:paraId="659A7FA1" w14:textId="6C29BDC3" w:rsidR="00F3241D" w:rsidRDefault="00F3241D">
      <w:pPr>
        <w:pStyle w:val="Prrafodelista"/>
        <w:numPr>
          <w:ilvl w:val="0"/>
          <w:numId w:val="5"/>
        </w:numPr>
        <w:tabs>
          <w:tab w:val="num" w:pos="720"/>
        </w:tabs>
      </w:pPr>
      <w:r w:rsidRPr="00CB7DBC">
        <w:rPr>
          <w:b/>
          <w:bCs/>
        </w:rPr>
        <w:t>Organismo y Patología</w:t>
      </w:r>
      <w:r w:rsidRPr="00CB7DBC">
        <w:t>: Muestras de origen humano</w:t>
      </w:r>
      <w:r w:rsidR="0045010B">
        <w:t xml:space="preserve"> </w:t>
      </w:r>
      <w:r w:rsidRPr="00CB7DBC">
        <w:t>con diagnóstico confirmado de adenocarcinoma colorrectal.</w:t>
      </w:r>
    </w:p>
    <w:p w14:paraId="731F29C3" w14:textId="56F133F4" w:rsidR="00F3241D" w:rsidRDefault="00F3241D">
      <w:pPr>
        <w:pStyle w:val="Prrafodelista"/>
        <w:numPr>
          <w:ilvl w:val="0"/>
          <w:numId w:val="5"/>
        </w:numPr>
        <w:tabs>
          <w:tab w:val="num" w:pos="720"/>
        </w:tabs>
      </w:pPr>
      <w:r w:rsidRPr="00CB7DBC">
        <w:rPr>
          <w:b/>
          <w:bCs/>
        </w:rPr>
        <w:t>Tipo de Secuenciación</w:t>
      </w:r>
      <w:r w:rsidRPr="00CB7DBC">
        <w:t xml:space="preserve">: Estudios basados exclusivamente en secuenciación </w:t>
      </w:r>
      <w:r w:rsidR="0045010B" w:rsidRPr="00CB7DBC">
        <w:t xml:space="preserve">masiva </w:t>
      </w:r>
      <w:r w:rsidRPr="00CB7DBC">
        <w:t>de ARN (</w:t>
      </w:r>
      <w:r w:rsidRPr="00CB7DBC">
        <w:rPr>
          <w:i/>
          <w:iCs/>
        </w:rPr>
        <w:t>Bulk RNA-</w:t>
      </w:r>
      <w:proofErr w:type="spellStart"/>
      <w:r w:rsidRPr="00CB7DBC">
        <w:rPr>
          <w:i/>
          <w:iCs/>
        </w:rPr>
        <w:t>seq</w:t>
      </w:r>
      <w:proofErr w:type="spellEnd"/>
      <w:r w:rsidRPr="00CB7DBC">
        <w:t>).</w:t>
      </w:r>
    </w:p>
    <w:p w14:paraId="0D921BB9" w14:textId="77777777" w:rsidR="00F3241D" w:rsidRDefault="00F3241D">
      <w:pPr>
        <w:pStyle w:val="Prrafodelista"/>
        <w:numPr>
          <w:ilvl w:val="0"/>
          <w:numId w:val="5"/>
        </w:numPr>
        <w:tabs>
          <w:tab w:val="num" w:pos="720"/>
        </w:tabs>
      </w:pPr>
      <w:r w:rsidRPr="00CB7DBC">
        <w:rPr>
          <w:b/>
          <w:bCs/>
        </w:rPr>
        <w:lastRenderedPageBreak/>
        <w:t>Diseño Experimental</w:t>
      </w:r>
      <w:r w:rsidRPr="00CB7DBC">
        <w:t>: Muestras que permitan la comparación directa entre tejido tumoral colorrectal y tejido no tumoral (normal/adyacente).</w:t>
      </w:r>
    </w:p>
    <w:p w14:paraId="4B03C287" w14:textId="347BB7AE" w:rsidR="00ED735F" w:rsidRPr="0020681F" w:rsidRDefault="00F3241D">
      <w:pPr>
        <w:pStyle w:val="Prrafodelista"/>
        <w:numPr>
          <w:ilvl w:val="0"/>
          <w:numId w:val="5"/>
        </w:numPr>
        <w:tabs>
          <w:tab w:val="num" w:pos="720"/>
        </w:tabs>
        <w:rPr>
          <w:u w:val="single"/>
        </w:rPr>
      </w:pPr>
      <w:r w:rsidRPr="00CB7DBC">
        <w:rPr>
          <w:b/>
          <w:bCs/>
        </w:rPr>
        <w:t>Naturaleza de los Datos</w:t>
      </w:r>
      <w:r w:rsidRPr="00CB7DBC">
        <w:t>: Disponibilidad de matrices de conteos crudos (</w:t>
      </w:r>
      <w:r w:rsidRPr="0045010B">
        <w:rPr>
          <w:i/>
          <w:iCs/>
        </w:rPr>
        <w:t>Raw Counts</w:t>
      </w:r>
      <w:r w:rsidRPr="00CB7DBC">
        <w:t>).</w:t>
      </w:r>
      <w:r>
        <w:t xml:space="preserve"> Esto implica que las matrices están compuestas por </w:t>
      </w:r>
      <w:r w:rsidRPr="00CB7DBC">
        <w:t>números enteros</w:t>
      </w:r>
      <w:r>
        <w:t xml:space="preserve">, </w:t>
      </w:r>
      <w:r w:rsidRPr="00CB7DBC">
        <w:t>criterio indispensable para la correcta aplicación del paquete bioinformático DESeq2</w:t>
      </w:r>
      <w:r>
        <w:t>.</w:t>
      </w:r>
    </w:p>
    <w:p w14:paraId="246A6FE7" w14:textId="19898017" w:rsidR="00F3241D" w:rsidRDefault="00F3241D" w:rsidP="00F3241D">
      <w:pPr>
        <w:ind w:left="360"/>
        <w:rPr>
          <w:u w:val="single"/>
        </w:rPr>
      </w:pPr>
      <w:r w:rsidRPr="00F31CF8">
        <w:rPr>
          <w:u w:val="single"/>
        </w:rPr>
        <w:t>Criterios de exclusión</w:t>
      </w:r>
    </w:p>
    <w:p w14:paraId="2253B388" w14:textId="28FD087E" w:rsidR="00F3241D" w:rsidRPr="00F31CF8" w:rsidRDefault="00F3241D">
      <w:pPr>
        <w:pStyle w:val="Prrafodelista"/>
        <w:numPr>
          <w:ilvl w:val="0"/>
          <w:numId w:val="6"/>
        </w:numPr>
        <w:tabs>
          <w:tab w:val="num" w:pos="720"/>
        </w:tabs>
      </w:pPr>
      <w:r w:rsidRPr="00F31CF8">
        <w:rPr>
          <w:b/>
          <w:bCs/>
        </w:rPr>
        <w:t>Datos de Lectura Primaria (Archivos FASTQ)</w:t>
      </w:r>
      <w:r w:rsidRPr="00F31CF8">
        <w:t xml:space="preserve">: Se excluyó el procesamiento inicial de lecturas crudas y el correspondiente flujo de preprocesamiento (control de calidad de lecturas, </w:t>
      </w:r>
      <w:proofErr w:type="spellStart"/>
      <w:r w:rsidRPr="0045010B">
        <w:rPr>
          <w:i/>
          <w:iCs/>
        </w:rPr>
        <w:t>trimming</w:t>
      </w:r>
      <w:proofErr w:type="spellEnd"/>
      <w:r w:rsidRPr="00F31CF8">
        <w:t xml:space="preserve">, alineamiento genómico y cuantificación). </w:t>
      </w:r>
      <w:r w:rsidR="0045010B" w:rsidRPr="001800DA">
        <w:t>Esta decisión se fundamenta en la limitación de recursos computacionales de alto rendimiento (HPC) necesarios para gestionar el elevado volumen de datos y la carga de CPU/RAM que demandan los algoritmos de alineamiento (ej. STAR o HISAT2).</w:t>
      </w:r>
    </w:p>
    <w:p w14:paraId="59AD6554" w14:textId="77777777" w:rsidR="00D8579A" w:rsidRDefault="00D8579A">
      <w:pPr>
        <w:pStyle w:val="Prrafodelista"/>
        <w:numPr>
          <w:ilvl w:val="0"/>
          <w:numId w:val="6"/>
        </w:numPr>
        <w:tabs>
          <w:tab w:val="num" w:pos="720"/>
        </w:tabs>
      </w:pPr>
      <w:r w:rsidRPr="00C4392D">
        <w:rPr>
          <w:b/>
          <w:bCs/>
        </w:rPr>
        <w:t>Datos Normalizados o Transformados: </w:t>
      </w:r>
      <w:r w:rsidRPr="00345CDD">
        <w:t>Se excluyeron los conjuntos de datos que proporcionaban exclusivamente valores ya normalizados (ej. RPKM, FPKM o TPM). Esta restricción es necesaria debido a que el modelo estadístico de DESeq2 requiere obligatoriamente conteo</w:t>
      </w:r>
      <w:r>
        <w:t>s crudos</w:t>
      </w:r>
      <w:r w:rsidRPr="00345CDD">
        <w:t xml:space="preserve"> para estimar la dispersión y aplicar sus propios algoritmos de normalización interna.</w:t>
      </w:r>
    </w:p>
    <w:p w14:paraId="3BBC7FE0" w14:textId="77777777" w:rsidR="00577BE2" w:rsidRPr="00EA15E4" w:rsidRDefault="00577BE2">
      <w:pPr>
        <w:pStyle w:val="Prrafodelista"/>
        <w:numPr>
          <w:ilvl w:val="0"/>
          <w:numId w:val="6"/>
        </w:numPr>
        <w:tabs>
          <w:tab w:val="num" w:pos="720"/>
        </w:tabs>
      </w:pPr>
      <w:r w:rsidRPr="00EA15E4">
        <w:rPr>
          <w:b/>
          <w:bCs/>
        </w:rPr>
        <w:t>Otras Fracciones de ARN</w:t>
      </w:r>
      <w:r w:rsidRPr="00EA15E4">
        <w:t>:</w:t>
      </w:r>
      <w:r>
        <w:t xml:space="preserve"> </w:t>
      </w:r>
      <w:r w:rsidRPr="00D42156">
        <w:t>Se descartaron los datos procedentes de micro-ARN (</w:t>
      </w:r>
      <w:proofErr w:type="spellStart"/>
      <w:r w:rsidRPr="00D42156">
        <w:t>miRNA</w:t>
      </w:r>
      <w:proofErr w:type="spellEnd"/>
      <w:r w:rsidRPr="00D42156">
        <w:t>), ARN pequeño nuclear (</w:t>
      </w:r>
      <w:proofErr w:type="spellStart"/>
      <w:r w:rsidRPr="00D42156">
        <w:t>snRNA</w:t>
      </w:r>
      <w:proofErr w:type="spellEnd"/>
      <w:r w:rsidRPr="00D42156">
        <w:t>) y otros tipos de ARN no codificante de cadena corta. Su exclusión se debió a que estos perfiles de expresión requieren librerías de secuenciación y métodos de normalización específicos.</w:t>
      </w:r>
    </w:p>
    <w:p w14:paraId="2FB4A289" w14:textId="4C99B5DB" w:rsidR="00F3241D" w:rsidRPr="00EA15E4" w:rsidRDefault="00F3241D">
      <w:pPr>
        <w:pStyle w:val="Prrafodelista"/>
        <w:numPr>
          <w:ilvl w:val="0"/>
          <w:numId w:val="6"/>
        </w:numPr>
        <w:tabs>
          <w:tab w:val="num" w:pos="720"/>
        </w:tabs>
        <w:rPr>
          <w:u w:val="single"/>
        </w:rPr>
      </w:pPr>
      <w:r w:rsidRPr="00EA15E4">
        <w:rPr>
          <w:b/>
          <w:bCs/>
        </w:rPr>
        <w:t>Enfoque Mitocondrial Específico</w:t>
      </w:r>
      <w:r w:rsidRPr="00EA15E4">
        <w:t xml:space="preserve">: </w:t>
      </w:r>
      <w:r>
        <w:t xml:space="preserve">Exclusión de </w:t>
      </w:r>
      <w:r w:rsidRPr="00EA15E4">
        <w:t>aquellos trabajos cuyo objetivo de estudio fuera el transcriptoma mitocondrial o patologías de herencia mitocondrial, manteniendo el foco de la investigación en la regulación génica del genoma nuclear.</w:t>
      </w:r>
    </w:p>
    <w:p w14:paraId="3FCC2714" w14:textId="77777777" w:rsidR="00F3241D" w:rsidRPr="00F31CF8" w:rsidRDefault="00F3241D">
      <w:pPr>
        <w:pStyle w:val="Prrafodelista"/>
        <w:numPr>
          <w:ilvl w:val="0"/>
          <w:numId w:val="6"/>
        </w:numPr>
        <w:tabs>
          <w:tab w:val="num" w:pos="720"/>
        </w:tabs>
        <w:rPr>
          <w:u w:val="single"/>
        </w:rPr>
      </w:pPr>
      <w:r w:rsidRPr="00EA15E4">
        <w:rPr>
          <w:b/>
          <w:bCs/>
        </w:rPr>
        <w:t>Tecnologías Alternativas</w:t>
      </w:r>
      <w:r w:rsidRPr="00F31CF8">
        <w:t xml:space="preserve">: Estudios de </w:t>
      </w:r>
      <w:proofErr w:type="spellStart"/>
      <w:r w:rsidRPr="00F31CF8">
        <w:t>microarrays</w:t>
      </w:r>
      <w:proofErr w:type="spellEnd"/>
      <w:r w:rsidRPr="00F31CF8">
        <w:t xml:space="preserve"> o de célula única (single-</w:t>
      </w:r>
      <w:proofErr w:type="spellStart"/>
      <w:r w:rsidRPr="00F31CF8">
        <w:t>cell</w:t>
      </w:r>
      <w:proofErr w:type="spellEnd"/>
      <w:r w:rsidRPr="00F31CF8">
        <w:t>), por requerir pipelines de análisis distintos al objetivo de este estudio.</w:t>
      </w:r>
    </w:p>
    <w:p w14:paraId="35A52141" w14:textId="77777777" w:rsidR="00D8579A" w:rsidRPr="008A5115" w:rsidRDefault="00D8579A">
      <w:pPr>
        <w:pStyle w:val="Prrafodelista"/>
        <w:numPr>
          <w:ilvl w:val="0"/>
          <w:numId w:val="6"/>
        </w:numPr>
        <w:tabs>
          <w:tab w:val="num" w:pos="720"/>
        </w:tabs>
      </w:pPr>
      <w:r w:rsidRPr="00C4392D">
        <w:rPr>
          <w:b/>
          <w:bCs/>
        </w:rPr>
        <w:t>Preservación de las Muestras:</w:t>
      </w:r>
      <w:r w:rsidRPr="00C4392D">
        <w:t> Se excluyeron los tejidos fijados en formalina y embebidos en parafina (FFPE), seleccionando únicamente muestras conservadas mediante congelación inmediata (</w:t>
      </w:r>
      <w:proofErr w:type="spellStart"/>
      <w:r w:rsidRPr="00C4392D">
        <w:rPr>
          <w:i/>
          <w:iCs/>
        </w:rPr>
        <w:t>fresh</w:t>
      </w:r>
      <w:proofErr w:type="spellEnd"/>
      <w:r w:rsidRPr="00C4392D">
        <w:rPr>
          <w:i/>
          <w:iCs/>
        </w:rPr>
        <w:t xml:space="preserve"> </w:t>
      </w:r>
      <w:proofErr w:type="spellStart"/>
      <w:r w:rsidRPr="00C4392D">
        <w:rPr>
          <w:i/>
          <w:iCs/>
        </w:rPr>
        <w:t>frozen</w:t>
      </w:r>
      <w:proofErr w:type="spellEnd"/>
      <w:r w:rsidRPr="00C4392D">
        <w:t>). Esto garantiza una mayor integridad del ARN y evita los sesgos de degradación técnica asociados al proceso de fijación.</w:t>
      </w:r>
    </w:p>
    <w:p w14:paraId="0DA26E18" w14:textId="79775F61" w:rsidR="00F3241D" w:rsidRDefault="00B31CC2" w:rsidP="00F3241D">
      <w:r w:rsidRPr="00B31CC2">
        <w:lastRenderedPageBreak/>
        <w:t xml:space="preserve">En consonancia con </w:t>
      </w:r>
      <w:r>
        <w:t>los criterios de selección establecidos</w:t>
      </w:r>
      <w:r w:rsidRPr="00B31CC2">
        <w:t>, el primer repositorio analizado fue GEO</w:t>
      </w:r>
      <w:r>
        <w:t xml:space="preserve">. </w:t>
      </w:r>
      <w:r w:rsidRPr="00B31CC2">
        <w:t xml:space="preserve">El proceso de búsqueda y selección de datos transcriptómicos en esta plataforma se ejecutó a través de la base de datos </w:t>
      </w:r>
      <w:r w:rsidRPr="00B31CC2">
        <w:rPr>
          <w:i/>
          <w:iCs/>
        </w:rPr>
        <w:t xml:space="preserve">GEO </w:t>
      </w:r>
      <w:proofErr w:type="spellStart"/>
      <w:r w:rsidRPr="00B31CC2">
        <w:rPr>
          <w:i/>
          <w:iCs/>
        </w:rPr>
        <w:t>DataSets</w:t>
      </w:r>
      <w:proofErr w:type="spellEnd"/>
      <w:r w:rsidRPr="00B31CC2">
        <w:t>, diseñando una estrategia orientada a maximizar la especificidad mediante el uso de operadores booleanos y términos controlados:</w:t>
      </w:r>
    </w:p>
    <w:p w14:paraId="6B016543" w14:textId="2F201CD2" w:rsidR="00D8579A" w:rsidRPr="00CB7DBC" w:rsidRDefault="00D8579A" w:rsidP="00D8579A">
      <w:pPr>
        <w:jc w:val="center"/>
      </w:pPr>
      <w:r w:rsidRPr="00345CDD">
        <w:rPr>
          <w:i/>
          <w:iCs/>
          <w:lang w:val="en-US"/>
        </w:rPr>
        <w:t xml:space="preserve">(colon </w:t>
      </w:r>
      <w:proofErr w:type="gramStart"/>
      <w:r w:rsidRPr="00345CDD">
        <w:rPr>
          <w:i/>
          <w:iCs/>
          <w:lang w:val="en-US"/>
        </w:rPr>
        <w:t>cancer[</w:t>
      </w:r>
      <w:proofErr w:type="gramEnd"/>
      <w:r w:rsidRPr="00345CDD">
        <w:rPr>
          <w:i/>
          <w:iCs/>
          <w:lang w:val="en-US"/>
        </w:rPr>
        <w:t xml:space="preserve">Title] OR colorectal </w:t>
      </w:r>
      <w:proofErr w:type="gramStart"/>
      <w:r w:rsidRPr="00345CDD">
        <w:rPr>
          <w:i/>
          <w:iCs/>
          <w:lang w:val="en-US"/>
        </w:rPr>
        <w:t>cancer[</w:t>
      </w:r>
      <w:proofErr w:type="gramEnd"/>
      <w:r w:rsidRPr="00345CDD">
        <w:rPr>
          <w:i/>
          <w:iCs/>
          <w:lang w:val="en-US"/>
        </w:rPr>
        <w:t>Title]) AND "Homo sapiens"[Organism] AND "Expression profiling by high throughput sequencing"[All Fields]</w:t>
      </w:r>
    </w:p>
    <w:p w14:paraId="0E396A1D" w14:textId="1D9E9FD7" w:rsidR="00577BE2" w:rsidRDefault="00577BE2" w:rsidP="00577BE2">
      <w:r w:rsidRPr="0096477E">
        <w:t>A excepción del dataset </w:t>
      </w:r>
      <w:r w:rsidRPr="00345CDD">
        <w:t>GSE164541</w:t>
      </w:r>
      <w:r w:rsidRPr="0096477E">
        <w:t>, que facilita la matriz de conteos crudos en formato </w:t>
      </w:r>
      <w:r w:rsidRPr="00345CDD">
        <w:rPr>
          <w:i/>
          <w:iCs/>
        </w:rPr>
        <w:t>.</w:t>
      </w:r>
      <w:proofErr w:type="spellStart"/>
      <w:r w:rsidRPr="00345CDD">
        <w:rPr>
          <w:i/>
          <w:iCs/>
        </w:rPr>
        <w:t>csv</w:t>
      </w:r>
      <w:proofErr w:type="spellEnd"/>
      <w:r w:rsidRPr="0096477E">
        <w:t>, los demás estudios (</w:t>
      </w:r>
      <w:r w:rsidRPr="00345CDD">
        <w:t>GSE50760</w:t>
      </w:r>
      <w:r w:rsidRPr="0096477E">
        <w:t>, </w:t>
      </w:r>
      <w:r w:rsidRPr="00345CDD">
        <w:t>GSE104836</w:t>
      </w:r>
      <w:r w:rsidRPr="0096477E">
        <w:t>, </w:t>
      </w:r>
      <w:r w:rsidRPr="00345CDD">
        <w:t>GSE142279</w:t>
      </w:r>
      <w:r w:rsidRPr="0096477E">
        <w:t> y </w:t>
      </w:r>
      <w:r w:rsidRPr="00345CDD">
        <w:t>GSE156451</w:t>
      </w:r>
      <w:r w:rsidRPr="0096477E">
        <w:t>) fueron obtenidos como matrices de conteo preprocesadas mediante el </w:t>
      </w:r>
      <w:r w:rsidRPr="009268FF">
        <w:rPr>
          <w:i/>
          <w:iCs/>
        </w:rPr>
        <w:t>pipeline</w:t>
      </w:r>
      <w:r w:rsidR="00E6450F">
        <w:t xml:space="preserve"> d</w:t>
      </w:r>
      <w:r w:rsidRPr="0096477E">
        <w:t>e análisis estandarizado del NCBI (GEO)</w:t>
      </w:r>
      <w:r w:rsidR="009268FF">
        <w:fldChar w:fldCharType="begin"/>
      </w:r>
      <w:r w:rsidR="009268FF">
        <w:instrText xml:space="preserve"> ADDIN ZOTERO_ITEM CSL_CITATION {"citationID":"Bpjilyrf","properties":{"unsorted":false,"formattedCitation":"(18)","plainCitation":"(18)","noteIndex":0},"citationItems":[{"id":247,"uris":["http://zotero.org/users/local/sechomLT/items/99XGZYP5"],"itemData":{"id":247,"type":"article-journal","abstract":"The Gene Expression Omnibus (GEO) is an international public repository that archives gene expression and epigenomics data sets generated by next-generation sequencing and microarray technologies. Data are typically submitted to GEO by researchers in compliance with widespread journal and funder mandates to make generated data publicly accessible. The resource handles raw data files, processed data files and descriptive metadata for over 200 000 studies and 6.5 million samples, all of which are indexed, searchable and downloadable. Additionally, GEO offers web-based tools that facilitate analysis and visualization of differential gene expression. This article presents the current status and recent advancements in GEO, including the generation of consistently computed gene expression count matrices for thousands of RNA-seq studies, and new interactive graphical plots in GEO2R that help users identify differentially expressed genes and assess data set quality. The GEO repository is built and maintained by the National Center for Biotechnology Information (NCBI), a division of the National Library of Medicine (NLM), and is publicly accessible at https://www.ncbi.nlm.nih.gov/geo/., \nGraphical Abstract","container-title":"Nucleic Acids Research","DOI":"10.1093/nar/gkad965","ISSN":"0305-1048","issue":"D1","journalAbbreviation":"Nucleic Acids Res","page":"D138-D144","PMID":"37933855","PMCID":"PMC10767856","source":"PubMed Central","title":"NCBI GEO: archive for gene expression and epigenomics data sets: 23-year update","title-short":"NCBI GEO","URL":"https://pmc.ncbi.nlm.nih.gov/articles/PMC10767856/","volume":"52","author":[{"family":"Clough","given":"Emily"},{"family":"Barrett","given":"Tanya"},{"family":"Wilhite","given":"Stephen E"},{"family":"Ledoux","given":"Pierre"},{"family":"Evangelista","given":"Carlos"},{"family":"Kim","given":"Irene F"},{"family":"Tomashevsky","given":"Maxim"},{"family":"Marshall","given":"Kimberly A"},{"family":"Phillippy","given":"Katherine H"},{"family":"Sherman","given":"Patti M"},{"family":"Lee","given":"Hyeseung"},{"family":"Zhang","given":"Naigong"},{"family":"Serova","given":"Nadezhda"},{"family":"Wagner","given":"Lukas"},{"family":"Zalunin","given":"Vadim"},{"family":"Kochergin","given":"Andrey"},{"family":"Soboleva","given":"Alexandra"}],"accessed":{"date-parts":[["2026",8,11]]},"issued":{"date-parts":[["2023",11,2]]}}}],"schema":"https://github.com/citation-style-language/schema/raw/master/csl-citation.json"} </w:instrText>
      </w:r>
      <w:r w:rsidR="009268FF">
        <w:fldChar w:fldCharType="separate"/>
      </w:r>
      <w:r w:rsidR="009268FF" w:rsidRPr="009268FF">
        <w:rPr>
          <w:rFonts w:ascii="Calibri" w:hAnsi="Calibri" w:cs="Calibri"/>
        </w:rPr>
        <w:t>(18)</w:t>
      </w:r>
      <w:r w:rsidR="009268FF">
        <w:fldChar w:fldCharType="end"/>
      </w:r>
      <w:r>
        <w:t xml:space="preserve">. </w:t>
      </w:r>
      <w:r w:rsidRPr="00DF66A3">
        <w:t xml:space="preserve">Es fundamental destacar que, aunque algunas de estas series se asociaron originalmente a publicaciones basadas en el ensamblaje antiguo hg19 (GRCh37), el reanálisis centralizado de GEO actualiza y unifica la versión del genoma a hg38 (GRCh38). Este procedimiento </w:t>
      </w:r>
      <w:r>
        <w:t xml:space="preserve">consiste en el alineamiento de </w:t>
      </w:r>
      <w:r w:rsidRPr="00A90667">
        <w:t xml:space="preserve">las ejecuciones de secuenciación del </w:t>
      </w:r>
      <w:proofErr w:type="spellStart"/>
      <w:r w:rsidRPr="00A90667">
        <w:rPr>
          <w:i/>
          <w:iCs/>
        </w:rPr>
        <w:t>Sequence</w:t>
      </w:r>
      <w:proofErr w:type="spellEnd"/>
      <w:r w:rsidRPr="00A90667">
        <w:rPr>
          <w:i/>
          <w:iCs/>
        </w:rPr>
        <w:t xml:space="preserve"> Read Archive</w:t>
      </w:r>
      <w:r w:rsidRPr="00A90667">
        <w:t xml:space="preserve"> (SRA) clasificadas como transcriptómicas y correspondientes a </w:t>
      </w:r>
      <w:r w:rsidRPr="00A90667">
        <w:rPr>
          <w:i/>
          <w:iCs/>
        </w:rPr>
        <w:t>Homo sapiens</w:t>
      </w:r>
      <w:r w:rsidRPr="00A90667">
        <w:t xml:space="preserve"> contra el ensamblaje del genoma de referencia GCA_000001405.15 utilizando el algoritmo HISAT2. Aquellas ejecuciones que logran superar una tasa de alineamiento mínima del 50% son procesadas a continuación con el programa </w:t>
      </w:r>
      <w:proofErr w:type="spellStart"/>
      <w:r w:rsidRPr="00A90667">
        <w:rPr>
          <w:i/>
          <w:iCs/>
        </w:rPr>
        <w:t>featureCounts</w:t>
      </w:r>
      <w:proofErr w:type="spellEnd"/>
      <w:r w:rsidRPr="00A90667">
        <w:t xml:space="preserve"> (paquete </w:t>
      </w:r>
      <w:proofErr w:type="spellStart"/>
      <w:r w:rsidRPr="00801974">
        <w:rPr>
          <w:i/>
          <w:iCs/>
        </w:rPr>
        <w:t>Subread</w:t>
      </w:r>
      <w:proofErr w:type="spellEnd"/>
      <w:r w:rsidRPr="00A90667">
        <w:t>), el cual genera un archivo de conteo crudo individual para cada ejecución. Posteriormente, GEO integra estos archivos individuales en matrices de conteo crudo a nivel de Serie (</w:t>
      </w:r>
      <w:r w:rsidRPr="00A90667">
        <w:rPr>
          <w:i/>
          <w:iCs/>
        </w:rPr>
        <w:t xml:space="preserve">GEO Series raw </w:t>
      </w:r>
      <w:proofErr w:type="spellStart"/>
      <w:r w:rsidRPr="00A90667">
        <w:rPr>
          <w:i/>
          <w:iCs/>
        </w:rPr>
        <w:t>counts</w:t>
      </w:r>
      <w:proofErr w:type="spellEnd"/>
      <w:r w:rsidRPr="00A90667">
        <w:rPr>
          <w:i/>
          <w:iCs/>
        </w:rPr>
        <w:t xml:space="preserve"> matrices</w:t>
      </w:r>
      <w:r w:rsidRPr="00A90667">
        <w:t xml:space="preserve">). Como paso final </w:t>
      </w:r>
      <w:r>
        <w:t xml:space="preserve">de este </w:t>
      </w:r>
      <w:r w:rsidRPr="003C39D5">
        <w:rPr>
          <w:i/>
          <w:iCs/>
        </w:rPr>
        <w:t>pipeline</w:t>
      </w:r>
      <w:r w:rsidRPr="00A90667">
        <w:t xml:space="preserve">, los valores cuantitativos de las matrices se redondean para asegurar que sean </w:t>
      </w:r>
      <w:r w:rsidRPr="00A90667">
        <w:rPr>
          <w:i/>
          <w:iCs/>
        </w:rPr>
        <w:t>inputs</w:t>
      </w:r>
      <w:r w:rsidRPr="00A90667">
        <w:t xml:space="preserve"> compatibles con los programas estándar de análisis de expresión diferencial.</w:t>
      </w:r>
    </w:p>
    <w:p w14:paraId="5DEC7B50" w14:textId="55713671" w:rsidR="0081706E" w:rsidRPr="0081706E" w:rsidRDefault="0081706E" w:rsidP="0081706E">
      <w:r w:rsidRPr="0081706E">
        <w:t>Aunque este procesamiento automatizado del NCBI es una herramienta valiosa, presenta limitaciones en el control de calidad y en la consistencia con las publicaciones originales</w:t>
      </w:r>
      <w:r w:rsidR="009268FF">
        <w:fldChar w:fldCharType="begin"/>
      </w:r>
      <w:r w:rsidR="009268FF">
        <w:instrText xml:space="preserve"> ADDIN ZOTERO_ITEM CSL_CITATION {"citationID":"FWUPJLPn","properties":{"unsorted":false,"formattedCitation":"(18)","plainCitation":"(18)","noteIndex":0},"citationItems":[{"id":247,"uris":["http://zotero.org/users/local/sechomLT/items/99XGZYP5"],"itemData":{"id":247,"type":"article-journal","abstract":"The Gene Expression Omnibus (GEO) is an international public repository that archives gene expression and epigenomics data sets generated by next-generation sequencing and microarray technologies. Data are typically submitted to GEO by researchers in compliance with widespread journal and funder mandates to make generated data publicly accessible. The resource handles raw data files, processed data files and descriptive metadata for over 200 000 studies and 6.5 million samples, all of which are indexed, searchable and downloadable. Additionally, GEO offers web-based tools that facilitate analysis and visualization of differential gene expression. This article presents the current status and recent advancements in GEO, including the generation of consistently computed gene expression count matrices for thousands of RNA-seq studies, and new interactive graphical plots in GEO2R that help users identify differentially expressed genes and assess data set quality. The GEO repository is built and maintained by the National Center for Biotechnology Information (NCBI), a division of the National Library of Medicine (NLM), and is publicly accessible at https://www.ncbi.nlm.nih.gov/geo/., \nGraphical Abstract","container-title":"Nucleic Acids Research","DOI":"10.1093/nar/gkad965","ISSN":"0305-1048","issue":"D1","journalAbbreviation":"Nucleic Acids Res","page":"D138-D144","PMID":"37933855","PMCID":"PMC10767856","source":"PubMed Central","title":"NCBI GEO: archive for gene expression and epigenomics data sets: 23-year update","title-short":"NCBI GEO","URL":"https://pmc.ncbi.nlm.nih.gov/articles/PMC10767856/","volume":"52","author":[{"family":"Clough","given":"Emily"},{"family":"Barrett","given":"Tanya"},{"family":"Wilhite","given":"Stephen E"},{"family":"Ledoux","given":"Pierre"},{"family":"Evangelista","given":"Carlos"},{"family":"Kim","given":"Irene F"},{"family":"Tomashevsky","given":"Maxim"},{"family":"Marshall","given":"Kimberly A"},{"family":"Phillippy","given":"Katherine H"},{"family":"Sherman","given":"Patti M"},{"family":"Lee","given":"Hyeseung"},{"family":"Zhang","given":"Naigong"},{"family":"Serova","given":"Nadezhda"},{"family":"Wagner","given":"Lukas"},{"family":"Zalunin","given":"Vadim"},{"family":"Kochergin","given":"Andrey"},{"family":"Soboleva","given":"Alexandra"}],"accessed":{"date-parts":[["2026",8,11]]},"issued":{"date-parts":[["2023",11,2]]}}}],"schema":"https://github.com/citation-style-language/schema/raw/master/csl-citation.json"} </w:instrText>
      </w:r>
      <w:r w:rsidR="009268FF">
        <w:fldChar w:fldCharType="separate"/>
      </w:r>
      <w:r w:rsidR="009268FF" w:rsidRPr="009268FF">
        <w:rPr>
          <w:rFonts w:ascii="Calibri" w:hAnsi="Calibri" w:cs="Calibri"/>
        </w:rPr>
        <w:t>(18)</w:t>
      </w:r>
      <w:r w:rsidR="009268FF">
        <w:fldChar w:fldCharType="end"/>
      </w:r>
      <w:r w:rsidRPr="0081706E">
        <w:t>. Pese a ello, el uso de estas matrices se adoptó como una decisión estratégica. De este modo se optimizaron los recursos del proyecto, evitando el análisis de lecturas primarias que requiere una gran capacidad de cómputo.</w:t>
      </w:r>
    </w:p>
    <w:p w14:paraId="7E723419" w14:textId="77777777" w:rsidR="0081706E" w:rsidRPr="0081706E" w:rsidRDefault="0081706E" w:rsidP="0081706E">
      <w:r w:rsidRPr="0081706E">
        <w:t>Finalmente, se ha obtenido la información clínica a partir de la plataforma GREIN (</w:t>
      </w:r>
      <w:r w:rsidRPr="0081706E">
        <w:rPr>
          <w:i/>
          <w:iCs/>
        </w:rPr>
        <w:t>GEO RNA-</w:t>
      </w:r>
      <w:proofErr w:type="spellStart"/>
      <w:r w:rsidRPr="0081706E">
        <w:rPr>
          <w:i/>
          <w:iCs/>
        </w:rPr>
        <w:t>seq</w:t>
      </w:r>
      <w:proofErr w:type="spellEnd"/>
      <w:r w:rsidRPr="0081706E">
        <w:rPr>
          <w:i/>
          <w:iCs/>
        </w:rPr>
        <w:t xml:space="preserve"> </w:t>
      </w:r>
      <w:proofErr w:type="spellStart"/>
      <w:r w:rsidRPr="0081706E">
        <w:rPr>
          <w:i/>
          <w:iCs/>
        </w:rPr>
        <w:t>Experiments</w:t>
      </w:r>
      <w:proofErr w:type="spellEnd"/>
      <w:r w:rsidRPr="0081706E">
        <w:rPr>
          <w:i/>
          <w:iCs/>
        </w:rPr>
        <w:t xml:space="preserve"> Interactive </w:t>
      </w:r>
      <w:proofErr w:type="spellStart"/>
      <w:r w:rsidRPr="0081706E">
        <w:rPr>
          <w:i/>
          <w:iCs/>
        </w:rPr>
        <w:t>Navigator</w:t>
      </w:r>
      <w:proofErr w:type="spellEnd"/>
      <w:r w:rsidRPr="0081706E">
        <w:t xml:space="preserve">), puesto que permite la descarga de los metadatos en formato </w:t>
      </w:r>
      <w:r w:rsidRPr="0081706E">
        <w:rPr>
          <w:i/>
          <w:iCs/>
        </w:rPr>
        <w:t>.</w:t>
      </w:r>
      <w:proofErr w:type="spellStart"/>
      <w:r w:rsidRPr="0081706E">
        <w:rPr>
          <w:i/>
          <w:iCs/>
        </w:rPr>
        <w:t>csv</w:t>
      </w:r>
      <w:proofErr w:type="spellEnd"/>
      <w:r w:rsidRPr="0081706E">
        <w:t xml:space="preserve">. Esta elección técnica facilita la interoperabilidad con el entorno R y agiliza la </w:t>
      </w:r>
      <w:r w:rsidRPr="0081706E">
        <w:lastRenderedPageBreak/>
        <w:t xml:space="preserve">estructuración de los objetos de datos necesarios. Como medida de control de calidad, la información obtenida se contrasta sistemáticamente con los archivos </w:t>
      </w:r>
      <w:r w:rsidRPr="0081706E">
        <w:rPr>
          <w:i/>
          <w:iCs/>
        </w:rPr>
        <w:t>Series Matrix</w:t>
      </w:r>
      <w:r w:rsidRPr="0081706E">
        <w:t xml:space="preserve"> originales de GEO; garantizando así una correspondencia precisa entre las condiciones biológicas y las muestras procesadas.</w:t>
      </w:r>
    </w:p>
    <w:p w14:paraId="2CEEBAA0" w14:textId="77777777" w:rsidR="0081706E" w:rsidRPr="0081706E" w:rsidRDefault="0081706E" w:rsidP="0081706E">
      <w:r w:rsidRPr="0081706E">
        <w:t xml:space="preserve">Con el objetivo de ampliar el espectro de análisis e integrar una cohorte independiente de gran dimensionalidad, el presente estudio incorporó también los datos procedentes de </w:t>
      </w:r>
      <w:r w:rsidRPr="0081706E">
        <w:rPr>
          <w:i/>
          <w:iCs/>
        </w:rPr>
        <w:t xml:space="preserve">The </w:t>
      </w:r>
      <w:proofErr w:type="spellStart"/>
      <w:r w:rsidRPr="0081706E">
        <w:rPr>
          <w:i/>
          <w:iCs/>
        </w:rPr>
        <w:t>Cancer</w:t>
      </w:r>
      <w:proofErr w:type="spellEnd"/>
      <w:r w:rsidRPr="0081706E">
        <w:rPr>
          <w:i/>
          <w:iCs/>
        </w:rPr>
        <w:t xml:space="preserve"> Genome Atlas</w:t>
      </w:r>
      <w:r w:rsidRPr="0081706E">
        <w:t xml:space="preserve"> (TCGA). A tal efecto, se accedió a la plataforma oficial </w:t>
      </w:r>
      <w:hyperlink r:id="rId15" w:history="1">
        <w:proofErr w:type="spellStart"/>
        <w:r w:rsidRPr="0081706E">
          <w:rPr>
            <w:rStyle w:val="Hipervnculo"/>
            <w:i/>
            <w:iCs/>
          </w:rPr>
          <w:t>Genomics</w:t>
        </w:r>
        <w:proofErr w:type="spellEnd"/>
        <w:r w:rsidRPr="0081706E">
          <w:rPr>
            <w:rStyle w:val="Hipervnculo"/>
            <w:i/>
            <w:iCs/>
          </w:rPr>
          <w:t xml:space="preserve"> Data Commons</w:t>
        </w:r>
        <w:r w:rsidRPr="0081706E">
          <w:rPr>
            <w:rStyle w:val="Hipervnculo"/>
          </w:rPr>
          <w:t xml:space="preserve"> (GDC) Data Portal</w:t>
        </w:r>
      </w:hyperlink>
      <w:r w:rsidRPr="0081706E">
        <w:t xml:space="preserve">. Mediante la interfaz interactiva </w:t>
      </w:r>
      <w:proofErr w:type="spellStart"/>
      <w:r w:rsidRPr="0081706E">
        <w:rPr>
          <w:i/>
          <w:iCs/>
        </w:rPr>
        <w:t>Cohort</w:t>
      </w:r>
      <w:proofErr w:type="spellEnd"/>
      <w:r w:rsidRPr="0081706E">
        <w:rPr>
          <w:i/>
          <w:iCs/>
        </w:rPr>
        <w:t xml:space="preserve"> </w:t>
      </w:r>
      <w:proofErr w:type="spellStart"/>
      <w:r w:rsidRPr="0081706E">
        <w:rPr>
          <w:i/>
          <w:iCs/>
        </w:rPr>
        <w:t>Builder</w:t>
      </w:r>
      <w:proofErr w:type="spellEnd"/>
      <w:r w:rsidRPr="0081706E">
        <w:t>, se delimitó la población de estudio seleccionando el proyecto TCGA-COAD (</w:t>
      </w:r>
      <w:proofErr w:type="spellStart"/>
      <w:r w:rsidRPr="0081706E">
        <w:rPr>
          <w:i/>
          <w:iCs/>
        </w:rPr>
        <w:t>Colorectal</w:t>
      </w:r>
      <w:proofErr w:type="spellEnd"/>
      <w:r w:rsidRPr="0081706E">
        <w:rPr>
          <w:i/>
          <w:iCs/>
        </w:rPr>
        <w:t xml:space="preserve"> Adenocarcinoma</w:t>
      </w:r>
      <w:r w:rsidRPr="0081706E">
        <w:t xml:space="preserve">) dentro de los filtros de categorización de proyectos. Posteriormente, a través del módulo </w:t>
      </w:r>
      <w:proofErr w:type="spellStart"/>
      <w:r w:rsidRPr="0081706E">
        <w:rPr>
          <w:i/>
          <w:iCs/>
        </w:rPr>
        <w:t>Repository</w:t>
      </w:r>
      <w:proofErr w:type="spellEnd"/>
      <w:r w:rsidRPr="0081706E">
        <w:t xml:space="preserve">, se aplicaron restricciones técnicas dirigidas a aislar la fracción transcriptómica de interés. Estos parámetros incluyeron la selección de </w:t>
      </w:r>
      <w:proofErr w:type="spellStart"/>
      <w:r w:rsidRPr="0081706E">
        <w:rPr>
          <w:i/>
          <w:iCs/>
        </w:rPr>
        <w:t>Transcriptome</w:t>
      </w:r>
      <w:proofErr w:type="spellEnd"/>
      <w:r w:rsidRPr="0081706E">
        <w:rPr>
          <w:i/>
          <w:iCs/>
        </w:rPr>
        <w:t xml:space="preserve"> </w:t>
      </w:r>
      <w:proofErr w:type="spellStart"/>
      <w:r w:rsidRPr="0081706E">
        <w:rPr>
          <w:i/>
          <w:iCs/>
        </w:rPr>
        <w:t>Profiling</w:t>
      </w:r>
      <w:proofErr w:type="spellEnd"/>
      <w:r w:rsidRPr="0081706E">
        <w:t xml:space="preserve"> en la categoría de datos (</w:t>
      </w:r>
      <w:r w:rsidRPr="0081706E">
        <w:rPr>
          <w:i/>
          <w:iCs/>
        </w:rPr>
        <w:t xml:space="preserve">Data </w:t>
      </w:r>
      <w:proofErr w:type="spellStart"/>
      <w:r w:rsidRPr="0081706E">
        <w:rPr>
          <w:i/>
          <w:iCs/>
        </w:rPr>
        <w:t>Category</w:t>
      </w:r>
      <w:proofErr w:type="spellEnd"/>
      <w:r w:rsidRPr="0081706E">
        <w:t xml:space="preserve">), </w:t>
      </w:r>
      <w:r w:rsidRPr="0081706E">
        <w:rPr>
          <w:i/>
          <w:iCs/>
        </w:rPr>
        <w:t xml:space="preserve">Gene </w:t>
      </w:r>
      <w:proofErr w:type="spellStart"/>
      <w:r w:rsidRPr="0081706E">
        <w:rPr>
          <w:i/>
          <w:iCs/>
        </w:rPr>
        <w:t>Expression</w:t>
      </w:r>
      <w:proofErr w:type="spellEnd"/>
      <w:r w:rsidRPr="0081706E">
        <w:rPr>
          <w:i/>
          <w:iCs/>
        </w:rPr>
        <w:t xml:space="preserve"> </w:t>
      </w:r>
      <w:proofErr w:type="spellStart"/>
      <w:r w:rsidRPr="0081706E">
        <w:rPr>
          <w:i/>
          <w:iCs/>
        </w:rPr>
        <w:t>Quantification</w:t>
      </w:r>
      <w:proofErr w:type="spellEnd"/>
      <w:r w:rsidRPr="0081706E">
        <w:t xml:space="preserve"> como tipo de dato (</w:t>
      </w:r>
      <w:r w:rsidRPr="0081706E">
        <w:rPr>
          <w:i/>
          <w:iCs/>
        </w:rPr>
        <w:t xml:space="preserve">Data </w:t>
      </w:r>
      <w:proofErr w:type="spellStart"/>
      <w:r w:rsidRPr="0081706E">
        <w:rPr>
          <w:i/>
          <w:iCs/>
        </w:rPr>
        <w:t>Type</w:t>
      </w:r>
      <w:proofErr w:type="spellEnd"/>
      <w:r w:rsidRPr="0081706E">
        <w:t xml:space="preserve">) y </w:t>
      </w:r>
      <w:r w:rsidRPr="0081706E">
        <w:rPr>
          <w:i/>
          <w:iCs/>
        </w:rPr>
        <w:t>RNA-</w:t>
      </w:r>
      <w:proofErr w:type="spellStart"/>
      <w:r w:rsidRPr="0081706E">
        <w:rPr>
          <w:i/>
          <w:iCs/>
        </w:rPr>
        <w:t>Seq</w:t>
      </w:r>
      <w:proofErr w:type="spellEnd"/>
      <w:r w:rsidRPr="0081706E">
        <w:t xml:space="preserve"> como estrategia experimental (</w:t>
      </w:r>
      <w:r w:rsidRPr="0081706E">
        <w:rPr>
          <w:i/>
          <w:iCs/>
        </w:rPr>
        <w:t xml:space="preserve">Experimental </w:t>
      </w:r>
      <w:proofErr w:type="spellStart"/>
      <w:r w:rsidRPr="0081706E">
        <w:rPr>
          <w:i/>
          <w:iCs/>
        </w:rPr>
        <w:t>Strategy</w:t>
      </w:r>
      <w:proofErr w:type="spellEnd"/>
      <w:r w:rsidRPr="0081706E">
        <w:t>). Asimismo, se especificó el flujo de trabajo (</w:t>
      </w:r>
      <w:proofErr w:type="spellStart"/>
      <w:r w:rsidRPr="0081706E">
        <w:rPr>
          <w:i/>
          <w:iCs/>
        </w:rPr>
        <w:t>Workflow</w:t>
      </w:r>
      <w:proofErr w:type="spellEnd"/>
      <w:r w:rsidRPr="0081706E">
        <w:rPr>
          <w:i/>
          <w:iCs/>
        </w:rPr>
        <w:t xml:space="preserve"> </w:t>
      </w:r>
      <w:proofErr w:type="spellStart"/>
      <w:r w:rsidRPr="0081706E">
        <w:rPr>
          <w:i/>
          <w:iCs/>
        </w:rPr>
        <w:t>Type</w:t>
      </w:r>
      <w:proofErr w:type="spellEnd"/>
      <w:r w:rsidRPr="0081706E">
        <w:t xml:space="preserve">) mediante la opción </w:t>
      </w:r>
      <w:r w:rsidRPr="0081706E">
        <w:rPr>
          <w:i/>
          <w:iCs/>
        </w:rPr>
        <w:t>STAR – Counts</w:t>
      </w:r>
      <w:r w:rsidRPr="0081706E">
        <w:t>.</w:t>
      </w:r>
    </w:p>
    <w:p w14:paraId="7A904459" w14:textId="7E8D9582" w:rsidR="007F7310" w:rsidRDefault="00F50238" w:rsidP="001538B9">
      <w:r w:rsidRPr="00F50238">
        <w:t xml:space="preserve">Una vez agregados los archivos seleccionados al contenedor virtual de la plataforma, se descargó de manera exitosa la </w:t>
      </w:r>
      <w:r w:rsidRPr="00F50238">
        <w:rPr>
          <w:i/>
          <w:iCs/>
        </w:rPr>
        <w:t xml:space="preserve">Sample </w:t>
      </w:r>
      <w:proofErr w:type="spellStart"/>
      <w:r w:rsidRPr="00F50238">
        <w:rPr>
          <w:i/>
          <w:iCs/>
        </w:rPr>
        <w:t>Sheet</w:t>
      </w:r>
      <w:proofErr w:type="spellEnd"/>
      <w:r w:rsidRPr="00F50238">
        <w:t xml:space="preserve">. Este documento recopila múltiples variables técnicas y clínicas de las muestras, tales como el </w:t>
      </w:r>
      <w:r w:rsidRPr="00F50238">
        <w:rPr>
          <w:i/>
          <w:iCs/>
        </w:rPr>
        <w:t>Project ID</w:t>
      </w:r>
      <w:r w:rsidRPr="00F50238">
        <w:t xml:space="preserve">, </w:t>
      </w:r>
      <w:r w:rsidRPr="00F50238">
        <w:rPr>
          <w:i/>
          <w:iCs/>
        </w:rPr>
        <w:t>Case ID</w:t>
      </w:r>
      <w:r w:rsidRPr="00F50238">
        <w:t xml:space="preserve"> o el </w:t>
      </w:r>
      <w:proofErr w:type="spellStart"/>
      <w:r w:rsidR="00422153">
        <w:rPr>
          <w:i/>
          <w:iCs/>
        </w:rPr>
        <w:t>Spec</w:t>
      </w:r>
      <w:r w:rsidR="0042512D">
        <w:rPr>
          <w:i/>
          <w:iCs/>
        </w:rPr>
        <w:t>i</w:t>
      </w:r>
      <w:r w:rsidR="00422153">
        <w:rPr>
          <w:i/>
          <w:iCs/>
        </w:rPr>
        <w:t>men</w:t>
      </w:r>
      <w:proofErr w:type="spellEnd"/>
      <w:r w:rsidR="00422153">
        <w:rPr>
          <w:i/>
          <w:iCs/>
        </w:rPr>
        <w:t xml:space="preserve"> </w:t>
      </w:r>
      <w:proofErr w:type="spellStart"/>
      <w:r w:rsidR="00422153">
        <w:rPr>
          <w:i/>
          <w:iCs/>
        </w:rPr>
        <w:t>Type</w:t>
      </w:r>
      <w:proofErr w:type="spellEnd"/>
      <w:r w:rsidRPr="00F50238">
        <w:t xml:space="preserve">. No obstante, para los fines analíticos de este flujo de trabajo, únicamente se extrajeron y utilizaron los campos </w:t>
      </w:r>
      <w:r w:rsidRPr="00F50238">
        <w:rPr>
          <w:i/>
          <w:iCs/>
        </w:rPr>
        <w:t>File Name</w:t>
      </w:r>
      <w:r w:rsidRPr="00F50238">
        <w:t xml:space="preserve">, </w:t>
      </w:r>
      <w:r w:rsidRPr="00F50238">
        <w:rPr>
          <w:i/>
          <w:iCs/>
        </w:rPr>
        <w:t>Sample ID</w:t>
      </w:r>
      <w:r w:rsidRPr="00F50238">
        <w:t xml:space="preserve"> y </w:t>
      </w:r>
      <w:r w:rsidRPr="00F50238">
        <w:rPr>
          <w:i/>
          <w:iCs/>
        </w:rPr>
        <w:t>Tissue Type</w:t>
      </w:r>
      <w:r w:rsidRPr="00F50238">
        <w:t>. Esta selección específica de metadatos fue suficiente para asociar cada archivo de secuenciación con el identificador correspondiente de la muestra y clasificarla según su origen tisular (</w:t>
      </w:r>
      <w:r w:rsidRPr="00F50238">
        <w:rPr>
          <w:i/>
          <w:iCs/>
        </w:rPr>
        <w:t>Normal</w:t>
      </w:r>
      <w:r w:rsidRPr="00F50238">
        <w:t xml:space="preserve"> o </w:t>
      </w:r>
      <w:r w:rsidRPr="00F50238">
        <w:rPr>
          <w:i/>
          <w:iCs/>
        </w:rPr>
        <w:t>Tumor</w:t>
      </w:r>
      <w:r w:rsidRPr="00F50238">
        <w:t>). Por el contrario, la descarga directa de los archivos de conteos individuales a través del navegador resultó inviable. Debido al elevado volumen de archivos y a las limitaciones intrínsecas del tráfico de red, el proceso por interfaz web sufría constantes interrupciones.</w:t>
      </w:r>
    </w:p>
    <w:p w14:paraId="27E022FE" w14:textId="77777777" w:rsidR="0081706E" w:rsidRDefault="0081706E" w:rsidP="0081706E">
      <w:r>
        <w:t>Con el fin de superar esta limitación técnica, se descargó el archivo de manifiesto (</w:t>
      </w:r>
      <w:proofErr w:type="spellStart"/>
      <w:r>
        <w:rPr>
          <w:i/>
          <w:iCs/>
        </w:rPr>
        <w:t>manifest</w:t>
      </w:r>
      <w:proofErr w:type="spellEnd"/>
      <w:r>
        <w:rPr>
          <w:i/>
          <w:iCs/>
        </w:rPr>
        <w:t xml:space="preserve"> file</w:t>
      </w:r>
      <w:r>
        <w:t xml:space="preserve">). Este documento unifica los identificadores únicos (UUID) y las sumas de verificación (MD5) de las muestras seleccionadas, lo que asegura una descarga automatizada y libre de errores de integridad. A partir de este manifiesto, se ejecutó la descarga de las matrices de conteo mediante la herramienta de línea de comandos </w:t>
      </w:r>
      <w:r>
        <w:rPr>
          <w:i/>
          <w:iCs/>
        </w:rPr>
        <w:t>GDC Data Transfer Tool</w:t>
      </w:r>
      <w:r>
        <w:t xml:space="preserve">. Este software oficial del </w:t>
      </w:r>
      <w:proofErr w:type="spellStart"/>
      <w:r>
        <w:rPr>
          <w:i/>
          <w:iCs/>
        </w:rPr>
        <w:t>National</w:t>
      </w:r>
      <w:proofErr w:type="spellEnd"/>
      <w:r>
        <w:rPr>
          <w:i/>
          <w:iCs/>
        </w:rPr>
        <w:t xml:space="preserve"> </w:t>
      </w:r>
      <w:proofErr w:type="spellStart"/>
      <w:r>
        <w:rPr>
          <w:i/>
          <w:iCs/>
        </w:rPr>
        <w:t>Cancer</w:t>
      </w:r>
      <w:proofErr w:type="spellEnd"/>
      <w:r>
        <w:rPr>
          <w:i/>
          <w:iCs/>
        </w:rPr>
        <w:t xml:space="preserve"> </w:t>
      </w:r>
      <w:proofErr w:type="spellStart"/>
      <w:r>
        <w:rPr>
          <w:i/>
          <w:iCs/>
        </w:rPr>
        <w:t>Institute</w:t>
      </w:r>
      <w:proofErr w:type="spellEnd"/>
      <w:r>
        <w:t xml:space="preserve"> (NCI) optimiza la transferencia de datos masivos mediante </w:t>
      </w:r>
      <w:r>
        <w:lastRenderedPageBreak/>
        <w:t>protocolos de reanudación y verificación de archivos. De este modo, se garantizó la correcta obtención de los conteos crudos locales para su posterior análisis en el entorno R.</w:t>
      </w:r>
    </w:p>
    <w:p w14:paraId="1AABD81C" w14:textId="63A59A65" w:rsidR="00F3241D" w:rsidRDefault="00F3241D" w:rsidP="00F3241D">
      <w:pPr>
        <w:pStyle w:val="Ttulo3"/>
      </w:pPr>
      <w:bookmarkStart w:id="13" w:name="_Toc239417041"/>
      <w:r>
        <w:t xml:space="preserve">Descripción de la </w:t>
      </w:r>
      <w:r w:rsidR="00766E7A">
        <w:t>c</w:t>
      </w:r>
      <w:r>
        <w:t>ohorte</w:t>
      </w:r>
      <w:bookmarkEnd w:id="13"/>
    </w:p>
    <w:p w14:paraId="17C5E90E" w14:textId="526A6796" w:rsidR="0081706E" w:rsidRPr="00C572AF" w:rsidRDefault="0081706E" w:rsidP="0081706E">
      <w:pPr>
        <w:rPr>
          <w:rFonts w:cstheme="minorHAnsi"/>
        </w:rPr>
      </w:pPr>
      <w:bookmarkStart w:id="14" w:name="Tabla_datasets"/>
      <w:r>
        <w:t>Tras aplicar los criterios de selección, la cohorte global quedó constituida por 715 muestras (141 normales y 574 tumorales) de un total inicial de 748. Las 33 muestras restantes se excluyeron por motivos de control de calidad o por no ajustarse al objetivo del estudio. Este filtrado incluyó la eliminación de réplicas técnicas en TCGA-COAD y el descarte de estadios preneoplásicos (adenomas) o metastásicos en las series de GEO (Tabla 1). Por otra parte, dadas las particularidades y el origen de cada estudio, las muestras no se agruparon en una única matriz en las fases iniciales. En su lugar, se mantuvieron divididas para ejecutar un flujo de trabajo independiente en cada conjunto de datos.</w:t>
      </w:r>
    </w:p>
    <w:p w14:paraId="039889AF" w14:textId="14DFA12E" w:rsidR="00F3241D" w:rsidRDefault="00F3241D" w:rsidP="00F3241D">
      <w:pPr>
        <w:pStyle w:val="TtuloTDC"/>
        <w:spacing w:after="0"/>
      </w:pPr>
      <w:bookmarkStart w:id="15" w:name="_Toc238816332"/>
      <w:r w:rsidRPr="00CF3B8A">
        <w:t>Tabla 1. Resumen de los datasets de RNA-seq integrados y características del diseño experimental.</w:t>
      </w:r>
      <w:bookmarkEnd w:id="15"/>
    </w:p>
    <w:tbl>
      <w:tblPr>
        <w:tblStyle w:val="Tablaconcuadrcula7concolores"/>
        <w:tblW w:w="5000" w:type="pct"/>
        <w:tblLook w:val="04A0" w:firstRow="1" w:lastRow="0" w:firstColumn="1" w:lastColumn="0" w:noHBand="0" w:noVBand="1"/>
      </w:tblPr>
      <w:tblGrid>
        <w:gridCol w:w="1550"/>
        <w:gridCol w:w="1145"/>
        <w:gridCol w:w="1275"/>
        <w:gridCol w:w="1275"/>
        <w:gridCol w:w="2518"/>
        <w:gridCol w:w="1308"/>
      </w:tblGrid>
      <w:tr w:rsidR="00DF66A3" w:rsidRPr="00970175" w14:paraId="3AA1DF29" w14:textId="77777777" w:rsidTr="00DF66A3">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854" w:type="pct"/>
            <w:vAlign w:val="center"/>
          </w:tcPr>
          <w:bookmarkEnd w:id="14"/>
          <w:p w14:paraId="0DE69EDF" w14:textId="14DFA12E" w:rsidR="00DF66A3" w:rsidRPr="00E83CAD" w:rsidRDefault="00DF66A3" w:rsidP="00577BE2">
            <w:pPr>
              <w:spacing w:before="0"/>
              <w:jc w:val="center"/>
              <w:rPr>
                <w:rFonts w:cstheme="minorHAnsi"/>
                <w:i w:val="0"/>
                <w:iCs w:val="0"/>
                <w:color w:val="auto"/>
              </w:rPr>
            </w:pPr>
            <w:r w:rsidRPr="00E83CAD">
              <w:rPr>
                <w:rFonts w:cstheme="minorHAnsi"/>
                <w:b w:val="0"/>
                <w:bCs w:val="0"/>
                <w:i w:val="0"/>
                <w:iCs w:val="0"/>
                <w:color w:val="auto"/>
              </w:rPr>
              <w:t>ID Dataset</w:t>
            </w:r>
          </w:p>
        </w:tc>
        <w:tc>
          <w:tcPr>
            <w:tcW w:w="631" w:type="pct"/>
            <w:vAlign w:val="center"/>
          </w:tcPr>
          <w:p w14:paraId="63698F80" w14:textId="77777777" w:rsidR="00DF66A3" w:rsidRPr="00970175" w:rsidRDefault="00DF66A3" w:rsidP="00577BE2">
            <w:pPr>
              <w:spacing w:before="0"/>
              <w:jc w:val="center"/>
              <w:cnfStyle w:val="100000000000" w:firstRow="1" w:lastRow="0" w:firstColumn="0" w:lastColumn="0" w:oddVBand="0" w:evenVBand="0" w:oddHBand="0" w:evenHBand="0" w:firstRowFirstColumn="0" w:firstRowLastColumn="0" w:lastRowFirstColumn="0" w:lastRowLastColumn="0"/>
              <w:rPr>
                <w:rFonts w:cstheme="minorHAnsi"/>
                <w:color w:val="auto"/>
              </w:rPr>
            </w:pPr>
            <w:r w:rsidRPr="00970175">
              <w:rPr>
                <w:rFonts w:cstheme="minorHAnsi"/>
                <w:b w:val="0"/>
                <w:bCs w:val="0"/>
                <w:color w:val="auto"/>
              </w:rPr>
              <w:t>N (Original)</w:t>
            </w:r>
          </w:p>
        </w:tc>
        <w:tc>
          <w:tcPr>
            <w:tcW w:w="703" w:type="pct"/>
            <w:vAlign w:val="center"/>
          </w:tcPr>
          <w:p w14:paraId="63B30E12" w14:textId="0512E5FE" w:rsidR="00DF66A3" w:rsidRPr="00970175" w:rsidRDefault="00DF66A3" w:rsidP="00577BE2">
            <w:pPr>
              <w:spacing w:before="0"/>
              <w:jc w:val="center"/>
              <w:cnfStyle w:val="100000000000" w:firstRow="1" w:lastRow="0" w:firstColumn="0" w:lastColumn="0" w:oddVBand="0" w:evenVBand="0" w:oddHBand="0" w:evenHBand="0" w:firstRowFirstColumn="0" w:firstRowLastColumn="0" w:lastRowFirstColumn="0" w:lastRowLastColumn="0"/>
              <w:rPr>
                <w:rFonts w:cstheme="minorHAnsi"/>
                <w:color w:val="auto"/>
              </w:rPr>
            </w:pPr>
            <w:r w:rsidRPr="00970175">
              <w:rPr>
                <w:rFonts w:cstheme="minorHAnsi"/>
                <w:b w:val="0"/>
                <w:bCs w:val="0"/>
                <w:color w:val="auto"/>
              </w:rPr>
              <w:t>Tejido Normal</w:t>
            </w:r>
          </w:p>
        </w:tc>
        <w:tc>
          <w:tcPr>
            <w:tcW w:w="703" w:type="pct"/>
            <w:vAlign w:val="center"/>
          </w:tcPr>
          <w:p w14:paraId="672FA9F2" w14:textId="77777777" w:rsidR="00DF66A3" w:rsidRPr="00970175" w:rsidRDefault="00DF66A3" w:rsidP="00577BE2">
            <w:pPr>
              <w:spacing w:before="0"/>
              <w:jc w:val="center"/>
              <w:cnfStyle w:val="100000000000" w:firstRow="1" w:lastRow="0" w:firstColumn="0" w:lastColumn="0" w:oddVBand="0" w:evenVBand="0" w:oddHBand="0" w:evenHBand="0" w:firstRowFirstColumn="0" w:firstRowLastColumn="0" w:lastRowFirstColumn="0" w:lastRowLastColumn="0"/>
              <w:rPr>
                <w:rFonts w:cstheme="minorHAnsi"/>
                <w:color w:val="auto"/>
              </w:rPr>
            </w:pPr>
            <w:r w:rsidRPr="00970175">
              <w:rPr>
                <w:rFonts w:cstheme="minorHAnsi"/>
                <w:b w:val="0"/>
                <w:bCs w:val="0"/>
                <w:color w:val="auto"/>
              </w:rPr>
              <w:t>Tejido Tumoral</w:t>
            </w:r>
          </w:p>
        </w:tc>
        <w:tc>
          <w:tcPr>
            <w:tcW w:w="1388" w:type="pct"/>
            <w:vAlign w:val="center"/>
          </w:tcPr>
          <w:p w14:paraId="2A9787DA" w14:textId="77777777" w:rsidR="00DF66A3" w:rsidRPr="00970175" w:rsidRDefault="00DF66A3" w:rsidP="00577BE2">
            <w:pPr>
              <w:spacing w:before="0"/>
              <w:jc w:val="center"/>
              <w:cnfStyle w:val="100000000000" w:firstRow="1" w:lastRow="0" w:firstColumn="0" w:lastColumn="0" w:oddVBand="0" w:evenVBand="0" w:oddHBand="0" w:evenHBand="0" w:firstRowFirstColumn="0" w:firstRowLastColumn="0" w:lastRowFirstColumn="0" w:lastRowLastColumn="0"/>
              <w:rPr>
                <w:rFonts w:cstheme="minorHAnsi"/>
                <w:color w:val="auto"/>
              </w:rPr>
            </w:pPr>
            <w:r w:rsidRPr="00970175">
              <w:rPr>
                <w:rFonts w:cstheme="minorHAnsi"/>
                <w:b w:val="0"/>
                <w:bCs w:val="0"/>
                <w:color w:val="auto"/>
              </w:rPr>
              <w:t>Muestras excluidas (Motivo)</w:t>
            </w:r>
          </w:p>
        </w:tc>
        <w:tc>
          <w:tcPr>
            <w:tcW w:w="721" w:type="pct"/>
            <w:vAlign w:val="center"/>
          </w:tcPr>
          <w:p w14:paraId="12436EFE" w14:textId="77777777" w:rsidR="00DF66A3" w:rsidRPr="00970175" w:rsidRDefault="00DF66A3" w:rsidP="00577BE2">
            <w:pPr>
              <w:spacing w:before="0"/>
              <w:jc w:val="center"/>
              <w:cnfStyle w:val="100000000000" w:firstRow="1" w:lastRow="0" w:firstColumn="0" w:lastColumn="0" w:oddVBand="0" w:evenVBand="0" w:oddHBand="0" w:evenHBand="0" w:firstRowFirstColumn="0" w:firstRowLastColumn="0" w:lastRowFirstColumn="0" w:lastRowLastColumn="0"/>
              <w:rPr>
                <w:rFonts w:cstheme="minorHAnsi"/>
                <w:color w:val="auto"/>
              </w:rPr>
            </w:pPr>
            <w:r w:rsidRPr="00970175">
              <w:rPr>
                <w:rFonts w:cstheme="minorHAnsi"/>
                <w:b w:val="0"/>
                <w:bCs w:val="0"/>
                <w:color w:val="auto"/>
              </w:rPr>
              <w:t>Diseño Pareado</w:t>
            </w:r>
          </w:p>
        </w:tc>
      </w:tr>
      <w:tr w:rsidR="00DF66A3" w:rsidRPr="00970175" w14:paraId="79C21BA1" w14:textId="77777777" w:rsidTr="008170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4" w:type="pct"/>
            <w:vAlign w:val="center"/>
          </w:tcPr>
          <w:p w14:paraId="6EFAEA5A" w14:textId="77777777" w:rsidR="00DF66A3" w:rsidRPr="00970175" w:rsidRDefault="00DF66A3" w:rsidP="0081706E">
            <w:pPr>
              <w:jc w:val="center"/>
              <w:rPr>
                <w:rFonts w:cstheme="minorHAnsi"/>
              </w:rPr>
            </w:pPr>
            <w:r w:rsidRPr="00970175">
              <w:rPr>
                <w:rFonts w:cstheme="minorHAnsi"/>
                <w:color w:val="000000"/>
              </w:rPr>
              <w:t>GSE50760</w:t>
            </w:r>
          </w:p>
        </w:tc>
        <w:tc>
          <w:tcPr>
            <w:tcW w:w="631" w:type="pct"/>
            <w:vAlign w:val="center"/>
          </w:tcPr>
          <w:p w14:paraId="2AFD8352" w14:textId="77777777" w:rsidR="00DF66A3" w:rsidRPr="00970175" w:rsidRDefault="00DF66A3" w:rsidP="0081706E">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970175">
              <w:rPr>
                <w:rFonts w:cstheme="minorHAnsi"/>
                <w:color w:val="000000"/>
              </w:rPr>
              <w:t>54</w:t>
            </w:r>
          </w:p>
        </w:tc>
        <w:tc>
          <w:tcPr>
            <w:tcW w:w="703" w:type="pct"/>
            <w:vAlign w:val="center"/>
          </w:tcPr>
          <w:p w14:paraId="5AA3A7BF" w14:textId="77777777" w:rsidR="00DF66A3" w:rsidRPr="00970175" w:rsidRDefault="00DF66A3" w:rsidP="0081706E">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970175">
              <w:rPr>
                <w:rFonts w:cstheme="minorHAnsi"/>
                <w:color w:val="000000"/>
              </w:rPr>
              <w:t>18</w:t>
            </w:r>
          </w:p>
        </w:tc>
        <w:tc>
          <w:tcPr>
            <w:tcW w:w="703" w:type="pct"/>
            <w:vAlign w:val="center"/>
          </w:tcPr>
          <w:p w14:paraId="536724C0" w14:textId="77777777" w:rsidR="00DF66A3" w:rsidRPr="00970175" w:rsidRDefault="00DF66A3" w:rsidP="0081706E">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970175">
              <w:rPr>
                <w:rFonts w:cstheme="minorHAnsi"/>
                <w:color w:val="000000"/>
              </w:rPr>
              <w:t>18</w:t>
            </w:r>
          </w:p>
        </w:tc>
        <w:tc>
          <w:tcPr>
            <w:tcW w:w="1388" w:type="pct"/>
            <w:vAlign w:val="center"/>
          </w:tcPr>
          <w:p w14:paraId="36F9B5D6" w14:textId="77777777" w:rsidR="00DF66A3" w:rsidRPr="00970175" w:rsidRDefault="00DF66A3" w:rsidP="0081706E">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970175">
              <w:rPr>
                <w:rFonts w:cstheme="minorHAnsi"/>
                <w:color w:val="000000"/>
              </w:rPr>
              <w:t>18 (Metástasis hepática)</w:t>
            </w:r>
          </w:p>
        </w:tc>
        <w:tc>
          <w:tcPr>
            <w:tcW w:w="721" w:type="pct"/>
            <w:vAlign w:val="center"/>
          </w:tcPr>
          <w:p w14:paraId="24C1B5A6" w14:textId="77777777" w:rsidR="00DF66A3" w:rsidRPr="00970175" w:rsidRDefault="00DF66A3" w:rsidP="0081706E">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970175">
              <w:rPr>
                <w:rFonts w:cstheme="minorHAnsi"/>
                <w:color w:val="000000"/>
              </w:rPr>
              <w:t>Sí</w:t>
            </w:r>
          </w:p>
        </w:tc>
      </w:tr>
      <w:tr w:rsidR="00DF66A3" w:rsidRPr="00970175" w14:paraId="6843205E" w14:textId="77777777" w:rsidTr="0081706E">
        <w:tc>
          <w:tcPr>
            <w:cnfStyle w:val="001000000000" w:firstRow="0" w:lastRow="0" w:firstColumn="1" w:lastColumn="0" w:oddVBand="0" w:evenVBand="0" w:oddHBand="0" w:evenHBand="0" w:firstRowFirstColumn="0" w:firstRowLastColumn="0" w:lastRowFirstColumn="0" w:lastRowLastColumn="0"/>
            <w:tcW w:w="854" w:type="pct"/>
            <w:vAlign w:val="center"/>
          </w:tcPr>
          <w:p w14:paraId="2882B792" w14:textId="77777777" w:rsidR="00DF66A3" w:rsidRPr="00970175" w:rsidRDefault="00DF66A3" w:rsidP="0081706E">
            <w:pPr>
              <w:jc w:val="center"/>
              <w:rPr>
                <w:rFonts w:cstheme="minorHAnsi"/>
              </w:rPr>
            </w:pPr>
            <w:r w:rsidRPr="00970175">
              <w:rPr>
                <w:rFonts w:cstheme="minorHAnsi"/>
                <w:color w:val="000000"/>
              </w:rPr>
              <w:t>GSE104836</w:t>
            </w:r>
          </w:p>
        </w:tc>
        <w:tc>
          <w:tcPr>
            <w:tcW w:w="631" w:type="pct"/>
            <w:vAlign w:val="center"/>
          </w:tcPr>
          <w:p w14:paraId="39C91955" w14:textId="77777777" w:rsidR="00DF66A3" w:rsidRPr="00970175" w:rsidRDefault="00DF66A3" w:rsidP="0081706E">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970175">
              <w:rPr>
                <w:rFonts w:cstheme="minorHAnsi"/>
                <w:color w:val="000000"/>
              </w:rPr>
              <w:t>20</w:t>
            </w:r>
          </w:p>
        </w:tc>
        <w:tc>
          <w:tcPr>
            <w:tcW w:w="703" w:type="pct"/>
            <w:vAlign w:val="center"/>
          </w:tcPr>
          <w:p w14:paraId="72DD9BAE" w14:textId="77777777" w:rsidR="00DF66A3" w:rsidRPr="00970175" w:rsidRDefault="00DF66A3" w:rsidP="0081706E">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970175">
              <w:rPr>
                <w:rFonts w:cstheme="minorHAnsi"/>
                <w:color w:val="000000"/>
              </w:rPr>
              <w:t>10</w:t>
            </w:r>
          </w:p>
        </w:tc>
        <w:tc>
          <w:tcPr>
            <w:tcW w:w="703" w:type="pct"/>
            <w:vAlign w:val="center"/>
          </w:tcPr>
          <w:p w14:paraId="3AAA5F31" w14:textId="77777777" w:rsidR="00DF66A3" w:rsidRPr="00970175" w:rsidRDefault="00DF66A3" w:rsidP="0081706E">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970175">
              <w:rPr>
                <w:rFonts w:cstheme="minorHAnsi"/>
                <w:color w:val="000000"/>
              </w:rPr>
              <w:t>10</w:t>
            </w:r>
          </w:p>
        </w:tc>
        <w:tc>
          <w:tcPr>
            <w:tcW w:w="1388" w:type="pct"/>
            <w:vAlign w:val="center"/>
          </w:tcPr>
          <w:p w14:paraId="3512B3BE" w14:textId="77777777" w:rsidR="00DF66A3" w:rsidRPr="00970175" w:rsidRDefault="00DF66A3" w:rsidP="0081706E">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970175">
              <w:rPr>
                <w:rFonts w:cstheme="minorHAnsi"/>
                <w:color w:val="000000"/>
              </w:rPr>
              <w:t>N/A</w:t>
            </w:r>
          </w:p>
        </w:tc>
        <w:tc>
          <w:tcPr>
            <w:tcW w:w="721" w:type="pct"/>
            <w:vAlign w:val="center"/>
          </w:tcPr>
          <w:p w14:paraId="29864ACE" w14:textId="77777777" w:rsidR="00DF66A3" w:rsidRPr="00970175" w:rsidRDefault="00DF66A3" w:rsidP="0081706E">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970175">
              <w:rPr>
                <w:rFonts w:cstheme="minorHAnsi"/>
                <w:color w:val="000000"/>
              </w:rPr>
              <w:t>Sí</w:t>
            </w:r>
          </w:p>
        </w:tc>
      </w:tr>
      <w:tr w:rsidR="00DF66A3" w:rsidRPr="00970175" w14:paraId="0BBE9110" w14:textId="77777777" w:rsidTr="008170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4" w:type="pct"/>
            <w:vAlign w:val="center"/>
          </w:tcPr>
          <w:p w14:paraId="723DAC28" w14:textId="77777777" w:rsidR="00DF66A3" w:rsidRPr="00970175" w:rsidRDefault="00DF66A3" w:rsidP="0081706E">
            <w:pPr>
              <w:jc w:val="center"/>
              <w:rPr>
                <w:rFonts w:cstheme="minorHAnsi"/>
              </w:rPr>
            </w:pPr>
            <w:r w:rsidRPr="00970175">
              <w:rPr>
                <w:rFonts w:cstheme="minorHAnsi"/>
                <w:color w:val="000000"/>
              </w:rPr>
              <w:t>GSE142279</w:t>
            </w:r>
          </w:p>
        </w:tc>
        <w:tc>
          <w:tcPr>
            <w:tcW w:w="631" w:type="pct"/>
            <w:vAlign w:val="center"/>
          </w:tcPr>
          <w:p w14:paraId="43027DF5" w14:textId="77777777" w:rsidR="00DF66A3" w:rsidRPr="00970175" w:rsidRDefault="00DF66A3" w:rsidP="0081706E">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970175">
              <w:rPr>
                <w:rFonts w:cstheme="minorHAnsi"/>
                <w:color w:val="000000"/>
              </w:rPr>
              <w:t>40</w:t>
            </w:r>
          </w:p>
        </w:tc>
        <w:tc>
          <w:tcPr>
            <w:tcW w:w="703" w:type="pct"/>
            <w:vAlign w:val="center"/>
          </w:tcPr>
          <w:p w14:paraId="51A6EA8F" w14:textId="77777777" w:rsidR="00DF66A3" w:rsidRPr="00970175" w:rsidRDefault="00DF66A3" w:rsidP="0081706E">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970175">
              <w:rPr>
                <w:rFonts w:cstheme="minorHAnsi"/>
                <w:color w:val="000000"/>
              </w:rPr>
              <w:t>20</w:t>
            </w:r>
          </w:p>
        </w:tc>
        <w:tc>
          <w:tcPr>
            <w:tcW w:w="703" w:type="pct"/>
            <w:vAlign w:val="center"/>
          </w:tcPr>
          <w:p w14:paraId="0B813F87" w14:textId="77777777" w:rsidR="00DF66A3" w:rsidRPr="00970175" w:rsidRDefault="00DF66A3" w:rsidP="0081706E">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970175">
              <w:rPr>
                <w:rFonts w:cstheme="minorHAnsi"/>
                <w:color w:val="000000"/>
              </w:rPr>
              <w:t>20</w:t>
            </w:r>
          </w:p>
        </w:tc>
        <w:tc>
          <w:tcPr>
            <w:tcW w:w="1388" w:type="pct"/>
            <w:vAlign w:val="center"/>
          </w:tcPr>
          <w:p w14:paraId="786ECDC5" w14:textId="77777777" w:rsidR="00DF66A3" w:rsidRPr="00970175" w:rsidRDefault="00DF66A3" w:rsidP="0081706E">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970175">
              <w:rPr>
                <w:rFonts w:cstheme="minorHAnsi"/>
                <w:color w:val="000000"/>
              </w:rPr>
              <w:t>N/A</w:t>
            </w:r>
          </w:p>
        </w:tc>
        <w:tc>
          <w:tcPr>
            <w:tcW w:w="721" w:type="pct"/>
            <w:vAlign w:val="center"/>
          </w:tcPr>
          <w:p w14:paraId="4DD8F374" w14:textId="77777777" w:rsidR="00DF66A3" w:rsidRPr="00970175" w:rsidRDefault="00DF66A3" w:rsidP="0081706E">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970175">
              <w:rPr>
                <w:rFonts w:cstheme="minorHAnsi"/>
                <w:color w:val="000000"/>
              </w:rPr>
              <w:t>Sí</w:t>
            </w:r>
          </w:p>
        </w:tc>
      </w:tr>
      <w:tr w:rsidR="00DF66A3" w:rsidRPr="00970175" w14:paraId="3D2748B6" w14:textId="77777777" w:rsidTr="0081706E">
        <w:tc>
          <w:tcPr>
            <w:cnfStyle w:val="001000000000" w:firstRow="0" w:lastRow="0" w:firstColumn="1" w:lastColumn="0" w:oddVBand="0" w:evenVBand="0" w:oddHBand="0" w:evenHBand="0" w:firstRowFirstColumn="0" w:firstRowLastColumn="0" w:lastRowFirstColumn="0" w:lastRowLastColumn="0"/>
            <w:tcW w:w="854" w:type="pct"/>
            <w:vAlign w:val="center"/>
          </w:tcPr>
          <w:p w14:paraId="28CFCED5" w14:textId="77777777" w:rsidR="00DF66A3" w:rsidRPr="00970175" w:rsidRDefault="00DF66A3" w:rsidP="0081706E">
            <w:pPr>
              <w:jc w:val="center"/>
              <w:rPr>
                <w:rFonts w:cstheme="minorHAnsi"/>
              </w:rPr>
            </w:pPr>
            <w:r w:rsidRPr="00970175">
              <w:rPr>
                <w:rFonts w:cstheme="minorHAnsi"/>
                <w:color w:val="000000"/>
              </w:rPr>
              <w:t>GSE156451</w:t>
            </w:r>
          </w:p>
        </w:tc>
        <w:tc>
          <w:tcPr>
            <w:tcW w:w="631" w:type="pct"/>
            <w:vAlign w:val="center"/>
          </w:tcPr>
          <w:p w14:paraId="473E87D0" w14:textId="77777777" w:rsidR="00DF66A3" w:rsidRPr="00970175" w:rsidRDefault="00DF66A3" w:rsidP="0081706E">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970175">
              <w:rPr>
                <w:rFonts w:cstheme="minorHAnsi"/>
                <w:color w:val="000000"/>
              </w:rPr>
              <w:t>95</w:t>
            </w:r>
          </w:p>
        </w:tc>
        <w:tc>
          <w:tcPr>
            <w:tcW w:w="703" w:type="pct"/>
            <w:vAlign w:val="center"/>
          </w:tcPr>
          <w:p w14:paraId="44ED0683" w14:textId="77777777" w:rsidR="00DF66A3" w:rsidRPr="00970175" w:rsidRDefault="00DF66A3" w:rsidP="0081706E">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970175">
              <w:rPr>
                <w:rFonts w:cstheme="minorHAnsi"/>
                <w:color w:val="000000"/>
              </w:rPr>
              <w:t>47</w:t>
            </w:r>
          </w:p>
        </w:tc>
        <w:tc>
          <w:tcPr>
            <w:tcW w:w="703" w:type="pct"/>
            <w:vAlign w:val="center"/>
          </w:tcPr>
          <w:p w14:paraId="541FA229" w14:textId="1B6F988E" w:rsidR="00DF66A3" w:rsidRPr="00970175" w:rsidRDefault="00C572AF" w:rsidP="0081706E">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970175">
              <w:rPr>
                <w:rFonts w:cstheme="minorHAnsi"/>
                <w:color w:val="000000"/>
              </w:rPr>
              <w:t>48</w:t>
            </w:r>
            <w:r w:rsidRPr="00C572AF">
              <w:rPr>
                <w:rFonts w:cstheme="minorHAnsi"/>
                <w:color w:val="000000"/>
                <w:vertAlign w:val="superscript"/>
              </w:rPr>
              <w:t>†</w:t>
            </w:r>
          </w:p>
        </w:tc>
        <w:tc>
          <w:tcPr>
            <w:tcW w:w="1388" w:type="pct"/>
            <w:vAlign w:val="center"/>
          </w:tcPr>
          <w:p w14:paraId="5C9CDF2D" w14:textId="77777777" w:rsidR="00DF66A3" w:rsidRPr="00970175" w:rsidRDefault="00DF66A3" w:rsidP="0081706E">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970175">
              <w:rPr>
                <w:rFonts w:cstheme="minorHAnsi"/>
                <w:color w:val="000000"/>
              </w:rPr>
              <w:t>N/A</w:t>
            </w:r>
          </w:p>
        </w:tc>
        <w:tc>
          <w:tcPr>
            <w:tcW w:w="721" w:type="pct"/>
            <w:vAlign w:val="center"/>
          </w:tcPr>
          <w:p w14:paraId="092AAADA" w14:textId="77777777" w:rsidR="00DF66A3" w:rsidRPr="00970175" w:rsidRDefault="00DF66A3" w:rsidP="0081706E">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970175">
              <w:rPr>
                <w:rFonts w:cstheme="minorHAnsi"/>
                <w:color w:val="000000"/>
              </w:rPr>
              <w:t>Sí</w:t>
            </w:r>
          </w:p>
        </w:tc>
      </w:tr>
      <w:tr w:rsidR="00DF66A3" w:rsidRPr="00970175" w14:paraId="05D72BD0" w14:textId="77777777" w:rsidTr="008170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4" w:type="pct"/>
            <w:vAlign w:val="center"/>
          </w:tcPr>
          <w:p w14:paraId="271D3DEB" w14:textId="77777777" w:rsidR="00DF66A3" w:rsidRPr="00970175" w:rsidRDefault="00DF66A3" w:rsidP="0081706E">
            <w:pPr>
              <w:jc w:val="center"/>
              <w:rPr>
                <w:rFonts w:cstheme="minorHAnsi"/>
              </w:rPr>
            </w:pPr>
            <w:r w:rsidRPr="00970175">
              <w:rPr>
                <w:rFonts w:cstheme="minorHAnsi"/>
                <w:color w:val="000000"/>
              </w:rPr>
              <w:t>GSE164541</w:t>
            </w:r>
          </w:p>
        </w:tc>
        <w:tc>
          <w:tcPr>
            <w:tcW w:w="631" w:type="pct"/>
            <w:vAlign w:val="center"/>
          </w:tcPr>
          <w:p w14:paraId="27DD2502" w14:textId="77777777" w:rsidR="00DF66A3" w:rsidRPr="00970175" w:rsidRDefault="00DF66A3" w:rsidP="0081706E">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970175">
              <w:rPr>
                <w:rFonts w:cstheme="minorHAnsi"/>
                <w:color w:val="000000"/>
              </w:rPr>
              <w:t>15</w:t>
            </w:r>
          </w:p>
        </w:tc>
        <w:tc>
          <w:tcPr>
            <w:tcW w:w="703" w:type="pct"/>
            <w:vAlign w:val="center"/>
          </w:tcPr>
          <w:p w14:paraId="69E17FE3" w14:textId="77777777" w:rsidR="00DF66A3" w:rsidRPr="00970175" w:rsidRDefault="00DF66A3" w:rsidP="0081706E">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970175">
              <w:rPr>
                <w:rFonts w:cstheme="minorHAnsi"/>
                <w:color w:val="000000"/>
              </w:rPr>
              <w:t>5</w:t>
            </w:r>
          </w:p>
        </w:tc>
        <w:tc>
          <w:tcPr>
            <w:tcW w:w="703" w:type="pct"/>
            <w:vAlign w:val="center"/>
          </w:tcPr>
          <w:p w14:paraId="0AF41038" w14:textId="77777777" w:rsidR="00DF66A3" w:rsidRPr="00970175" w:rsidRDefault="00DF66A3" w:rsidP="0081706E">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970175">
              <w:rPr>
                <w:rFonts w:cstheme="minorHAnsi"/>
                <w:color w:val="000000"/>
              </w:rPr>
              <w:t>5</w:t>
            </w:r>
          </w:p>
        </w:tc>
        <w:tc>
          <w:tcPr>
            <w:tcW w:w="1388" w:type="pct"/>
            <w:vAlign w:val="center"/>
          </w:tcPr>
          <w:p w14:paraId="501EE545" w14:textId="77777777" w:rsidR="00DF66A3" w:rsidRPr="00970175" w:rsidRDefault="00DF66A3" w:rsidP="0081706E">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970175">
              <w:rPr>
                <w:rFonts w:cstheme="minorHAnsi"/>
                <w:color w:val="000000"/>
              </w:rPr>
              <w:t>5 (Adenoma)</w:t>
            </w:r>
          </w:p>
        </w:tc>
        <w:tc>
          <w:tcPr>
            <w:tcW w:w="721" w:type="pct"/>
            <w:vAlign w:val="center"/>
          </w:tcPr>
          <w:p w14:paraId="4C4E795C" w14:textId="77777777" w:rsidR="00DF66A3" w:rsidRPr="00970175" w:rsidRDefault="00DF66A3" w:rsidP="0081706E">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970175">
              <w:rPr>
                <w:rFonts w:cstheme="minorHAnsi"/>
                <w:color w:val="000000"/>
              </w:rPr>
              <w:t>Sí</w:t>
            </w:r>
          </w:p>
        </w:tc>
      </w:tr>
      <w:tr w:rsidR="00DF66A3" w:rsidRPr="00970175" w14:paraId="05FBC6CA" w14:textId="77777777" w:rsidTr="0081706E">
        <w:tc>
          <w:tcPr>
            <w:cnfStyle w:val="001000000000" w:firstRow="0" w:lastRow="0" w:firstColumn="1" w:lastColumn="0" w:oddVBand="0" w:evenVBand="0" w:oddHBand="0" w:evenHBand="0" w:firstRowFirstColumn="0" w:firstRowLastColumn="0" w:lastRowFirstColumn="0" w:lastRowLastColumn="0"/>
            <w:tcW w:w="854" w:type="pct"/>
            <w:vAlign w:val="center"/>
          </w:tcPr>
          <w:p w14:paraId="2AB874C0" w14:textId="77777777" w:rsidR="00DF66A3" w:rsidRPr="00970175" w:rsidRDefault="00DF66A3" w:rsidP="0081706E">
            <w:pPr>
              <w:spacing w:after="0"/>
              <w:jc w:val="center"/>
              <w:rPr>
                <w:rFonts w:cstheme="minorHAnsi"/>
              </w:rPr>
            </w:pPr>
            <w:r w:rsidRPr="00970175">
              <w:rPr>
                <w:rFonts w:cstheme="minorHAnsi"/>
                <w:color w:val="000000"/>
              </w:rPr>
              <w:t>TCGA-COAD</w:t>
            </w:r>
          </w:p>
        </w:tc>
        <w:tc>
          <w:tcPr>
            <w:tcW w:w="631" w:type="pct"/>
            <w:vAlign w:val="center"/>
          </w:tcPr>
          <w:p w14:paraId="0163A758" w14:textId="77777777" w:rsidR="00DF66A3" w:rsidRPr="00970175" w:rsidRDefault="00DF66A3" w:rsidP="0081706E">
            <w:pPr>
              <w:spacing w:after="0"/>
              <w:jc w:val="center"/>
              <w:cnfStyle w:val="000000000000" w:firstRow="0" w:lastRow="0" w:firstColumn="0" w:lastColumn="0" w:oddVBand="0" w:evenVBand="0" w:oddHBand="0" w:evenHBand="0" w:firstRowFirstColumn="0" w:firstRowLastColumn="0" w:lastRowFirstColumn="0" w:lastRowLastColumn="0"/>
              <w:rPr>
                <w:rFonts w:cstheme="minorHAnsi"/>
              </w:rPr>
            </w:pPr>
            <w:r w:rsidRPr="00970175">
              <w:rPr>
                <w:rFonts w:cstheme="minorHAnsi"/>
                <w:color w:val="000000"/>
              </w:rPr>
              <w:t>524</w:t>
            </w:r>
          </w:p>
        </w:tc>
        <w:tc>
          <w:tcPr>
            <w:tcW w:w="703" w:type="pct"/>
            <w:vAlign w:val="center"/>
          </w:tcPr>
          <w:p w14:paraId="67179A48" w14:textId="5F81D819" w:rsidR="00DF66A3" w:rsidRPr="00970175" w:rsidRDefault="00DF66A3" w:rsidP="0081706E">
            <w:pPr>
              <w:spacing w:after="0"/>
              <w:jc w:val="cente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41</w:t>
            </w:r>
          </w:p>
        </w:tc>
        <w:tc>
          <w:tcPr>
            <w:tcW w:w="703" w:type="pct"/>
            <w:vAlign w:val="center"/>
          </w:tcPr>
          <w:p w14:paraId="0F86A8A8" w14:textId="1516803D" w:rsidR="00DF66A3" w:rsidRPr="00970175" w:rsidRDefault="00DF66A3" w:rsidP="0081706E">
            <w:pPr>
              <w:spacing w:after="0"/>
              <w:jc w:val="center"/>
              <w:cnfStyle w:val="000000000000" w:firstRow="0" w:lastRow="0" w:firstColumn="0" w:lastColumn="0" w:oddVBand="0" w:evenVBand="0" w:oddHBand="0" w:evenHBand="0" w:firstRowFirstColumn="0" w:firstRowLastColumn="0" w:lastRowFirstColumn="0" w:lastRowLastColumn="0"/>
              <w:rPr>
                <w:rFonts w:cstheme="minorHAnsi"/>
              </w:rPr>
            </w:pPr>
            <w:r w:rsidRPr="000456EB">
              <w:rPr>
                <w:rFonts w:cstheme="minorHAnsi"/>
              </w:rPr>
              <w:t>473</w:t>
            </w:r>
          </w:p>
        </w:tc>
        <w:tc>
          <w:tcPr>
            <w:tcW w:w="1388" w:type="pct"/>
            <w:vAlign w:val="center"/>
          </w:tcPr>
          <w:p w14:paraId="3C00F492" w14:textId="65D402DC" w:rsidR="00DF66A3" w:rsidRPr="00970175" w:rsidRDefault="00DF66A3" w:rsidP="0081706E">
            <w:pPr>
              <w:spacing w:after="0"/>
              <w:jc w:val="cente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color w:val="000000"/>
              </w:rPr>
              <w:t>10 (Eliminación de duplicados)</w:t>
            </w:r>
          </w:p>
        </w:tc>
        <w:tc>
          <w:tcPr>
            <w:tcW w:w="721" w:type="pct"/>
            <w:vAlign w:val="center"/>
          </w:tcPr>
          <w:p w14:paraId="0BB36015" w14:textId="77777777" w:rsidR="00DF66A3" w:rsidRPr="00970175" w:rsidRDefault="00DF66A3" w:rsidP="0081706E">
            <w:pPr>
              <w:spacing w:after="0"/>
              <w:jc w:val="center"/>
              <w:cnfStyle w:val="000000000000" w:firstRow="0" w:lastRow="0" w:firstColumn="0" w:lastColumn="0" w:oddVBand="0" w:evenVBand="0" w:oddHBand="0" w:evenHBand="0" w:firstRowFirstColumn="0" w:firstRowLastColumn="0" w:lastRowFirstColumn="0" w:lastRowLastColumn="0"/>
              <w:rPr>
                <w:rFonts w:cstheme="minorHAnsi"/>
              </w:rPr>
            </w:pPr>
            <w:r w:rsidRPr="00970175">
              <w:rPr>
                <w:rFonts w:cstheme="minorHAnsi"/>
                <w:color w:val="000000"/>
              </w:rPr>
              <w:t>No</w:t>
            </w:r>
          </w:p>
        </w:tc>
      </w:tr>
    </w:tbl>
    <w:p w14:paraId="76342AA2" w14:textId="62BD0257" w:rsidR="00C572AF" w:rsidRPr="00E36B15" w:rsidRDefault="00E36B15" w:rsidP="00D32288">
      <w:pPr>
        <w:spacing w:line="276" w:lineRule="auto"/>
        <w:jc w:val="right"/>
        <w:rPr>
          <w:sz w:val="20"/>
          <w:szCs w:val="20"/>
        </w:rPr>
      </w:pPr>
      <w:r w:rsidRPr="00E36B15">
        <w:rPr>
          <w:b/>
          <w:bCs/>
          <w:sz w:val="20"/>
          <w:szCs w:val="20"/>
        </w:rPr>
        <w:t>†</w:t>
      </w:r>
      <w:r w:rsidRPr="00E36B15">
        <w:rPr>
          <w:sz w:val="20"/>
          <w:szCs w:val="20"/>
        </w:rPr>
        <w:t xml:space="preserve"> </w:t>
      </w:r>
      <w:r w:rsidRPr="00E36B15">
        <w:rPr>
          <w:i/>
          <w:iCs/>
          <w:sz w:val="20"/>
          <w:szCs w:val="20"/>
        </w:rPr>
        <w:t>Nota:</w:t>
      </w:r>
      <w:r w:rsidRPr="00E36B15">
        <w:rPr>
          <w:sz w:val="20"/>
          <w:szCs w:val="20"/>
        </w:rPr>
        <w:t xml:space="preserve"> En el dataset </w:t>
      </w:r>
      <w:r w:rsidRPr="00E36B15">
        <w:rPr>
          <w:i/>
          <w:iCs/>
          <w:sz w:val="20"/>
          <w:szCs w:val="20"/>
        </w:rPr>
        <w:t>GSE156451</w:t>
      </w:r>
      <w:r w:rsidRPr="00E36B15">
        <w:rPr>
          <w:sz w:val="20"/>
          <w:szCs w:val="20"/>
        </w:rPr>
        <w:t>, el filtrado previo de GEO provocó que la muestra</w:t>
      </w:r>
      <w:r>
        <w:rPr>
          <w:sz w:val="20"/>
          <w:szCs w:val="20"/>
        </w:rPr>
        <w:t xml:space="preserve"> tumoral</w:t>
      </w:r>
      <w:r w:rsidRPr="00E36B15">
        <w:rPr>
          <w:sz w:val="20"/>
          <w:szCs w:val="20"/>
        </w:rPr>
        <w:t xml:space="preserve"> 29 carezca de su correspondiente pareja de tejido sano, resultando en un total de 48 muestras tumorales frente a 47 normales.</w:t>
      </w:r>
    </w:p>
    <w:p w14:paraId="3ACB4673" w14:textId="250970AC" w:rsidR="00391942" w:rsidRPr="00391942" w:rsidRDefault="00391942" w:rsidP="00577BE2">
      <w:pPr>
        <w:spacing w:before="240"/>
      </w:pPr>
      <w:r w:rsidRPr="00DF66A3">
        <w:t xml:space="preserve">Desde el punto de vista del diseño experimental, la cohorte presenta una estructura mixta. Los datasets procedentes de GEO aportan un entorno controlado de diseño pareado (tejido </w:t>
      </w:r>
      <w:r w:rsidRPr="00DF66A3">
        <w:lastRenderedPageBreak/>
        <w:t>tumoral y normal adyacente del mismo paciente), idóneo para mitigar la variabilidad interindividual. Por su parte, la cohorte de TCGA-COAD introduce un diseño no pareado de gran dimensionalidad.</w:t>
      </w:r>
      <w:r>
        <w:t xml:space="preserve"> Asimismo</w:t>
      </w:r>
      <w:r w:rsidRPr="00DF66A3">
        <w:t xml:space="preserve">, contar con una cohorte genómicamente unificada de partida aporta un gran valor metodológico. El hecho de que todos los conjuntos de datos compartan el ensamblaje de referencia GRCh38 (hg38) elimina una fuente crítica de variabilidad técnica </w:t>
      </w:r>
      <w:proofErr w:type="spellStart"/>
      <w:r w:rsidRPr="00DF66A3">
        <w:t>inter-estudio</w:t>
      </w:r>
      <w:proofErr w:type="spellEnd"/>
      <w:r w:rsidRPr="00DF66A3">
        <w:t xml:space="preserve">. Esta homogeneidad estructural garantiza la robustez y validez de las representaciones gráficas y de los análisis funcionales de la </w:t>
      </w:r>
      <w:r>
        <w:t>etapa</w:t>
      </w:r>
      <w:r w:rsidRPr="00DF66A3">
        <w:t xml:space="preserve"> final de integración.</w:t>
      </w:r>
    </w:p>
    <w:p w14:paraId="7EB09FB2" w14:textId="04CCAB10" w:rsidR="00F3241D" w:rsidRDefault="00F3241D" w:rsidP="00391942">
      <w:pPr>
        <w:pStyle w:val="Ttulo2"/>
        <w:rPr>
          <w:caps w:val="0"/>
        </w:rPr>
      </w:pPr>
      <w:bookmarkStart w:id="16" w:name="_Toc239417042"/>
      <w:r w:rsidRPr="00D17170">
        <w:rPr>
          <w:caps w:val="0"/>
        </w:rPr>
        <w:t>Análisis</w:t>
      </w:r>
      <w:r w:rsidR="00881FFC">
        <w:rPr>
          <w:caps w:val="0"/>
        </w:rPr>
        <w:t xml:space="preserve"> Exploratorio Inicial y Control de Calidad de los Conteos Crudos</w:t>
      </w:r>
      <w:bookmarkEnd w:id="16"/>
    </w:p>
    <w:p w14:paraId="16A8B447" w14:textId="2B108390" w:rsidR="00AA22E1" w:rsidRDefault="00BF6DBA" w:rsidP="007E20B6">
      <w:r w:rsidRPr="00BF6DBA">
        <w:t xml:space="preserve">Con el propósito de </w:t>
      </w:r>
      <w:r>
        <w:t xml:space="preserve">mitigar el efecto lote </w:t>
      </w:r>
      <w:r w:rsidRPr="002C7A1D">
        <w:t>(</w:t>
      </w:r>
      <w:proofErr w:type="spellStart"/>
      <w:r w:rsidRPr="002C7A1D">
        <w:rPr>
          <w:i/>
          <w:iCs/>
        </w:rPr>
        <w:t>batch</w:t>
      </w:r>
      <w:proofErr w:type="spellEnd"/>
      <w:r w:rsidRPr="002C7A1D">
        <w:rPr>
          <w:i/>
          <w:iCs/>
        </w:rPr>
        <w:t xml:space="preserve"> </w:t>
      </w:r>
      <w:proofErr w:type="spellStart"/>
      <w:r w:rsidRPr="002C7A1D">
        <w:rPr>
          <w:i/>
          <w:iCs/>
        </w:rPr>
        <w:t>effect</w:t>
      </w:r>
      <w:proofErr w:type="spellEnd"/>
      <w:r w:rsidRPr="002C7A1D">
        <w:t>)</w:t>
      </w:r>
      <w:r>
        <w:t xml:space="preserve"> derivado de la combinación de datos de distintos estudios, se analizó cada conjunto de datos por separado. De esta forma, se protegió la señal biológica real y se evitaron sesgos técnicos artificiales. Por tanto, todo el flujo bioinformático —desde el control de calidad inicial hasta la obtención de los DEG</w:t>
      </w:r>
      <w:r w:rsidR="001E61D6">
        <w:t>s</w:t>
      </w:r>
      <w:r>
        <w:t xml:space="preserve">— se ejecutó de manera independiente para cada uno de los seis datasets. La integración de la información se realizó al final del proceso, mediante la intersección de las listas de DEGs obtenidos de cada estudio. </w:t>
      </w:r>
      <w:r w:rsidR="001E61D6">
        <w:t>Por consiguiente</w:t>
      </w:r>
      <w:r>
        <w:t xml:space="preserve">, es preciso aclarar que </w:t>
      </w:r>
      <w:r w:rsidRPr="00BF6DBA">
        <w:t>las menciones en singular a las estructuras de datos</w:t>
      </w:r>
      <w:r>
        <w:t xml:space="preserve"> </w:t>
      </w:r>
      <w:r w:rsidRPr="00BF6DBA">
        <w:t>a lo largo de este bloque metodológico hacen referencia al procesamiento individualizado y paralelo aplicado a cada serie</w:t>
      </w:r>
      <w:r>
        <w:t>.</w:t>
      </w:r>
    </w:p>
    <w:p w14:paraId="44B187AF" w14:textId="77777777" w:rsidR="0081706E" w:rsidRPr="0081706E" w:rsidRDefault="0081706E" w:rsidP="0081706E">
      <w:r w:rsidRPr="0081706E">
        <w:t>Bajo esta premisa analítica, el flujo de trabajo de cada bloque comenzó con la carga de las matrices de expresión y sus correspondientes metadatos en el entorno de programación R (</w:t>
      </w:r>
      <w:proofErr w:type="spellStart"/>
      <w:r w:rsidRPr="0081706E">
        <w:rPr>
          <w:i/>
          <w:iCs/>
        </w:rPr>
        <w:t>RStudio</w:t>
      </w:r>
      <w:proofErr w:type="spellEnd"/>
      <w:r w:rsidRPr="0081706E">
        <w:t xml:space="preserve">). Inicialmente, se realizó una inspección preliminar de ambos archivos para verificar la integridad de las estructuras y la correcta asignación de las variables. A continuación, se construyó el objeto </w:t>
      </w:r>
      <w:proofErr w:type="spellStart"/>
      <w:r w:rsidRPr="0081706E">
        <w:rPr>
          <w:i/>
          <w:iCs/>
        </w:rPr>
        <w:t>coldata</w:t>
      </w:r>
      <w:proofErr w:type="spellEnd"/>
      <w:r w:rsidRPr="0081706E">
        <w:t xml:space="preserve">, un elemento indispensable para el posterior análisis de expresión diferencial con el paquete </w:t>
      </w:r>
      <w:r w:rsidRPr="0081706E">
        <w:rPr>
          <w:i/>
          <w:iCs/>
        </w:rPr>
        <w:t>DESeq2</w:t>
      </w:r>
      <w:r w:rsidRPr="0081706E">
        <w:t xml:space="preserve">. Este </w:t>
      </w:r>
      <w:proofErr w:type="spellStart"/>
      <w:r w:rsidRPr="0081706E">
        <w:t>dataframe</w:t>
      </w:r>
      <w:proofErr w:type="spellEnd"/>
      <w:r w:rsidRPr="0081706E">
        <w:t xml:space="preserve"> consolida la información esencial de los metadatos originales, incluyendo la condición biológica (Tejido Tumoral frente a Tejido Normal) y el identificador del paciente. Como medidas de control de calidad y consistencia bioinformática, se estableció el tejido normal como el nivel de referencia basal (</w:t>
      </w:r>
      <w:proofErr w:type="spellStart"/>
      <w:r w:rsidRPr="0081706E">
        <w:rPr>
          <w:i/>
          <w:iCs/>
        </w:rPr>
        <w:t>relevel</w:t>
      </w:r>
      <w:proofErr w:type="spellEnd"/>
      <w:r w:rsidRPr="0081706E">
        <w:t xml:space="preserve">). Asimismo, se corroboró la correspondencia unívoca entre las filas del objeto </w:t>
      </w:r>
      <w:proofErr w:type="spellStart"/>
      <w:r w:rsidRPr="0081706E">
        <w:rPr>
          <w:i/>
          <w:iCs/>
        </w:rPr>
        <w:t>coldata</w:t>
      </w:r>
      <w:proofErr w:type="spellEnd"/>
      <w:r w:rsidRPr="0081706E">
        <w:t xml:space="preserve"> y las columnas de la matriz de conteos crudos.</w:t>
      </w:r>
    </w:p>
    <w:p w14:paraId="05A466EA" w14:textId="387A23E6" w:rsidR="00577BE2" w:rsidRPr="007E20B6" w:rsidRDefault="00577BE2" w:rsidP="00577BE2">
      <w:r w:rsidRPr="007E20B6">
        <w:t xml:space="preserve">Cabe destacar que el dataset procedente de TCGA-COAD requirió una fase adicional de </w:t>
      </w:r>
      <w:r w:rsidRPr="00FD18D3">
        <w:t>unificación y mapeo de las matrices de conteo</w:t>
      </w:r>
      <w:r w:rsidRPr="007E20B6">
        <w:t xml:space="preserve">. </w:t>
      </w:r>
      <w:r w:rsidRPr="009A5D5F">
        <w:t xml:space="preserve">Para ello, se diseñó una función automatizada </w:t>
      </w:r>
      <w:r w:rsidRPr="009A5D5F">
        <w:lastRenderedPageBreak/>
        <w:t>que extrajo la columna de conteos no direccionados (</w:t>
      </w:r>
      <w:proofErr w:type="spellStart"/>
      <w:r w:rsidRPr="009A5D5F">
        <w:rPr>
          <w:i/>
          <w:iCs/>
        </w:rPr>
        <w:t>unstranded</w:t>
      </w:r>
      <w:proofErr w:type="spellEnd"/>
      <w:r w:rsidRPr="009A5D5F">
        <w:rPr>
          <w:i/>
          <w:iCs/>
        </w:rPr>
        <w:t xml:space="preserve"> </w:t>
      </w:r>
      <w:proofErr w:type="spellStart"/>
      <w:r w:rsidRPr="009A5D5F">
        <w:rPr>
          <w:i/>
          <w:iCs/>
        </w:rPr>
        <w:t>counts</w:t>
      </w:r>
      <w:proofErr w:type="spellEnd"/>
      <w:r w:rsidRPr="009A5D5F">
        <w:t xml:space="preserve">) de los archivos </w:t>
      </w:r>
      <w:r w:rsidRPr="009A5D5F">
        <w:rPr>
          <w:i/>
          <w:iCs/>
        </w:rPr>
        <w:t>.</w:t>
      </w:r>
      <w:proofErr w:type="spellStart"/>
      <w:r w:rsidRPr="009A5D5F">
        <w:rPr>
          <w:i/>
          <w:iCs/>
        </w:rPr>
        <w:t>tsv</w:t>
      </w:r>
      <w:proofErr w:type="spellEnd"/>
      <w:r w:rsidRPr="009A5D5F">
        <w:t xml:space="preserve"> individuales. Estos datos se integraron de forma recursiva en una sola matriz mediante la variable común </w:t>
      </w:r>
      <w:proofErr w:type="spellStart"/>
      <w:r w:rsidRPr="009A5D5F">
        <w:rPr>
          <w:u w:val="single"/>
        </w:rPr>
        <w:t>gene_id</w:t>
      </w:r>
      <w:proofErr w:type="spellEnd"/>
      <w:r w:rsidRPr="007E20B6">
        <w:t xml:space="preserve">. </w:t>
      </w:r>
      <w:r w:rsidRPr="002F3B63">
        <w:t>Posteriormente, estos códigos se sustituyeron por el identificador oficial de la muestra (</w:t>
      </w:r>
      <w:r w:rsidRPr="002F3B63">
        <w:rPr>
          <w:i/>
          <w:iCs/>
        </w:rPr>
        <w:t>Sample ID</w:t>
      </w:r>
      <w:r w:rsidRPr="002F3B63">
        <w:t>) extraído de los metadatos mediante un diccionario de correspondencias. De est</w:t>
      </w:r>
      <w:r w:rsidR="00B7555F">
        <w:t>e</w:t>
      </w:r>
      <w:r w:rsidRPr="002F3B63">
        <w:t xml:space="preserve"> </w:t>
      </w:r>
      <w:r>
        <w:t>modo</w:t>
      </w:r>
      <w:r w:rsidRPr="002F3B63">
        <w:t xml:space="preserve">, se obtuvo una matriz unificada definitiva, con una estructura óptima para </w:t>
      </w:r>
      <w:r>
        <w:t>este estudio</w:t>
      </w:r>
      <w:r w:rsidRPr="002F3B63">
        <w:t>.</w:t>
      </w:r>
    </w:p>
    <w:p w14:paraId="7AB8BF80" w14:textId="6308E333" w:rsidR="007E20B6" w:rsidRPr="007E20B6" w:rsidRDefault="00577BE2" w:rsidP="007E20B6">
      <w:r w:rsidRPr="007E20B6">
        <w:t>A continuación, se procedió a la evaluación de la integridad y la distribución de los datos de secuenciación sin procesar. La estrategia de visualización de los conteos se adaptó de manera específica según la dimensionalidad muestral (</w:t>
      </w:r>
      <m:oMath>
        <m:r>
          <w:rPr>
            <w:rFonts w:ascii="Cambria Math" w:hAnsi="Cambria Math"/>
          </w:rPr>
          <m:t>n</m:t>
        </m:r>
      </m:oMath>
      <w:r w:rsidRPr="007E20B6">
        <w:t>) de cada conjunto de datos:</w:t>
      </w:r>
    </w:p>
    <w:p w14:paraId="1C979DEB" w14:textId="72425AE4" w:rsidR="007E20B6" w:rsidRPr="007E20B6" w:rsidRDefault="007E20B6">
      <w:pPr>
        <w:numPr>
          <w:ilvl w:val="0"/>
          <w:numId w:val="9"/>
        </w:numPr>
      </w:pPr>
      <w:r w:rsidRPr="007E20B6">
        <w:rPr>
          <w:b/>
          <w:bCs/>
        </w:rPr>
        <w:t>Para datasets de baja dimensionalidad (</w:t>
      </w:r>
      <m:oMath>
        <m:r>
          <m:rPr>
            <m:sty m:val="bi"/>
          </m:rPr>
          <w:rPr>
            <w:rFonts w:ascii="Cambria Math" w:hAnsi="Cambria Math"/>
          </w:rPr>
          <m:t>n≤ 20</m:t>
        </m:r>
      </m:oMath>
      <w:r w:rsidRPr="007E20B6">
        <w:rPr>
          <w:b/>
          <w:bCs/>
        </w:rPr>
        <w:t>):</w:t>
      </w:r>
      <w:r w:rsidRPr="007E20B6">
        <w:t xml:space="preserve"> Se generaron histogramas de frecuencias globales por muestra, aplicando una transformación logarítmica en el eje de abscisas (</w:t>
      </w:r>
      <w:r w:rsidRPr="002F3B63">
        <w:rPr>
          <w:i/>
          <w:iCs/>
        </w:rPr>
        <w:t>scale_x_log10()</w:t>
      </w:r>
      <w:r w:rsidRPr="007E20B6">
        <w:t>) para facilitar la interpretación de los rangos de lectura.</w:t>
      </w:r>
    </w:p>
    <w:p w14:paraId="7F920321" w14:textId="290036E0" w:rsidR="007E20B6" w:rsidRPr="007E20B6" w:rsidRDefault="007E20B6">
      <w:pPr>
        <w:numPr>
          <w:ilvl w:val="0"/>
          <w:numId w:val="9"/>
        </w:numPr>
      </w:pPr>
      <w:r w:rsidRPr="007E20B6">
        <w:rPr>
          <w:b/>
          <w:bCs/>
        </w:rPr>
        <w:t>Para datasets de dimensionalidad intermedia</w:t>
      </w:r>
      <w:r w:rsidR="002F3B63">
        <w:rPr>
          <w:b/>
          <w:bCs/>
        </w:rPr>
        <w:t xml:space="preserve"> </w:t>
      </w:r>
      <w:r w:rsidR="002F3B63" w:rsidRPr="007E20B6">
        <w:rPr>
          <w:b/>
          <w:bCs/>
        </w:rPr>
        <w:t>(</w:t>
      </w:r>
      <m:oMath>
        <m:r>
          <m:rPr>
            <m:sty m:val="bi"/>
          </m:rPr>
          <w:rPr>
            <w:rFonts w:ascii="Cambria Math" w:hAnsi="Cambria Math"/>
          </w:rPr>
          <m:t>20&lt;n≤ 50</m:t>
        </m:r>
      </m:oMath>
      <w:r w:rsidR="002F3B63" w:rsidRPr="007E20B6">
        <w:rPr>
          <w:b/>
          <w:bCs/>
        </w:rPr>
        <w:t>)</w:t>
      </w:r>
      <w:r w:rsidRPr="007E20B6">
        <w:rPr>
          <w:b/>
          <w:bCs/>
        </w:rPr>
        <w:t>:</w:t>
      </w:r>
      <w:r w:rsidRPr="007E20B6">
        <w:t xml:space="preserve"> Se replicó el diseño analítico de los histogramas transformados, pero segregando las muestras en representaciones gráficas independientes según su condición biológica (normal o tumoral) para evitar la saturación visual.</w:t>
      </w:r>
    </w:p>
    <w:p w14:paraId="1F8F0320" w14:textId="28DF5555" w:rsidR="007E20B6" w:rsidRPr="007E20B6" w:rsidRDefault="007E20B6">
      <w:pPr>
        <w:numPr>
          <w:ilvl w:val="0"/>
          <w:numId w:val="9"/>
        </w:numPr>
      </w:pPr>
      <w:r w:rsidRPr="007E20B6">
        <w:rPr>
          <w:b/>
          <w:bCs/>
        </w:rPr>
        <w:t>Para datasets de alta dimensionalidad (</w:t>
      </w:r>
      <m:oMath>
        <m:r>
          <m:rPr>
            <m:sty m:val="bi"/>
          </m:rPr>
          <w:rPr>
            <w:rFonts w:ascii="Cambria Math" w:hAnsi="Cambria Math"/>
          </w:rPr>
          <m:t>n &gt; 50</m:t>
        </m:r>
      </m:oMath>
      <w:r w:rsidRPr="007E20B6">
        <w:rPr>
          <w:b/>
          <w:bCs/>
        </w:rPr>
        <w:t>):</w:t>
      </w:r>
      <w:r w:rsidRPr="007E20B6">
        <w:t xml:space="preserve"> Como en el caso de la cohorte TCGA-COAD, </w:t>
      </w:r>
      <w:r w:rsidR="003447EF">
        <w:t xml:space="preserve">que </w:t>
      </w:r>
      <w:r w:rsidRPr="007E20B6">
        <w:t>se optó por la construcción de diagramas de densidad basados en la transformación</w:t>
      </w:r>
      <w:r w:rsidR="002101BA">
        <w:t xml:space="preserve"> </w:t>
      </w:r>
      <m:oMath>
        <m:sSub>
          <m:sSubPr>
            <m:ctrlPr>
              <w:rPr>
                <w:rFonts w:ascii="Cambria Math" w:hAnsi="Cambria Math"/>
                <w:i/>
              </w:rPr>
            </m:ctrlPr>
          </m:sSubPr>
          <m:e>
            <m:r>
              <w:rPr>
                <w:rFonts w:ascii="Cambria Math" w:hAnsi="Cambria Math"/>
              </w:rPr>
              <m:t>log</m:t>
            </m:r>
          </m:e>
          <m:sub>
            <m:r>
              <w:rPr>
                <w:rFonts w:ascii="Cambria Math" w:hAnsi="Cambria Math"/>
              </w:rPr>
              <m:t>2</m:t>
            </m:r>
          </m:sub>
        </m:sSub>
        <m:r>
          <w:rPr>
            <w:rFonts w:ascii="Cambria Math" w:hAnsi="Cambria Math"/>
          </w:rPr>
          <m:t>(conteos+1)</m:t>
        </m:r>
      </m:oMath>
      <w:r w:rsidR="002101BA">
        <w:t>.</w:t>
      </w:r>
      <w:r w:rsidR="002101BA" w:rsidRPr="002101BA">
        <w:t xml:space="preserve"> Esta aproximación representa una alternativa matemáticamente más eficiente y visualmente legible al trabajar con grandes volúmenes de datos.</w:t>
      </w:r>
    </w:p>
    <w:p w14:paraId="1688F8E8" w14:textId="2C1F4C74" w:rsidR="000B0531" w:rsidRPr="00BB0B49" w:rsidRDefault="00577BE2" w:rsidP="00BB0B49">
      <w:r w:rsidRPr="009A5D5F">
        <w:t xml:space="preserve">Finalmente, se realizó un Análisis de Componentes Principales (PCA) mediante la función </w:t>
      </w:r>
      <w:proofErr w:type="spellStart"/>
      <w:r w:rsidRPr="009A5D5F">
        <w:rPr>
          <w:i/>
          <w:iCs/>
        </w:rPr>
        <w:t>prcomp</w:t>
      </w:r>
      <w:proofErr w:type="spellEnd"/>
      <w:r w:rsidRPr="009A5D5F">
        <w:t xml:space="preserve"> para examinar </w:t>
      </w:r>
      <w:r>
        <w:t>el patrón de</w:t>
      </w:r>
      <w:r w:rsidRPr="009A5D5F">
        <w:t xml:space="preserve"> agrupación de las muestras según sus perfiles transcriptómicos (Normal frente a Tumor). Este análisis exploratorio se restringió a los genes con una varianza superior a 0.1, lo que permitió excluir variables con baja variabilidad o nula expresión. Sobre esta matriz filtrada y</w:t>
      </w:r>
      <w:r>
        <w:t xml:space="preserve"> </w:t>
      </w:r>
      <w:r w:rsidRPr="000B0531">
        <w:t>previamente</w:t>
      </w:r>
      <w:r w:rsidRPr="009A5D5F">
        <w:t xml:space="preserve"> transpuesta, se aplicaron los parámetros de centrado respecto a la media (</w:t>
      </w:r>
      <w:r w:rsidRPr="009A5D5F">
        <w:rPr>
          <w:i/>
          <w:iCs/>
        </w:rPr>
        <w:t>center = TRUE</w:t>
      </w:r>
      <w:r w:rsidRPr="009A5D5F">
        <w:t>) y escalado a varianza unitaria (</w:t>
      </w:r>
      <w:proofErr w:type="spellStart"/>
      <w:r w:rsidRPr="009A5D5F">
        <w:rPr>
          <w:i/>
          <w:iCs/>
        </w:rPr>
        <w:t>scale</w:t>
      </w:r>
      <w:proofErr w:type="spellEnd"/>
      <w:r w:rsidRPr="009A5D5F">
        <w:rPr>
          <w:i/>
          <w:iCs/>
        </w:rPr>
        <w:t>. = TRUE</w:t>
      </w:r>
      <w:r w:rsidRPr="009A5D5F">
        <w:t xml:space="preserve">). Esta estandarización evitó que los rangos de magnitud distorsionaran la variabilidad global, garantizando una contribución equitativa de cada transcrito. De este modo, se pudo evaluar </w:t>
      </w:r>
      <w:r w:rsidRPr="009A5D5F">
        <w:lastRenderedPageBreak/>
        <w:t>la homogeneidad biológica de las cohortes y detectar de forma temprana posibles muestras atípicas (</w:t>
      </w:r>
      <w:proofErr w:type="spellStart"/>
      <w:r w:rsidRPr="009A5D5F">
        <w:rPr>
          <w:i/>
          <w:iCs/>
        </w:rPr>
        <w:t>outliers</w:t>
      </w:r>
      <w:proofErr w:type="spellEnd"/>
      <w:r w:rsidRPr="009A5D5F">
        <w:t>).</w:t>
      </w:r>
    </w:p>
    <w:p w14:paraId="2D245D7E" w14:textId="3CC5794E" w:rsidR="00881FFC" w:rsidRDefault="00881FFC" w:rsidP="00881FFC">
      <w:pPr>
        <w:pStyle w:val="Ttulo2"/>
        <w:rPr>
          <w:caps w:val="0"/>
        </w:rPr>
      </w:pPr>
      <w:bookmarkStart w:id="17" w:name="_Toc239417043"/>
      <w:r>
        <w:rPr>
          <w:caps w:val="0"/>
        </w:rPr>
        <w:t xml:space="preserve">Modelado Estadístico y Normalización Transcriptómica mediante </w:t>
      </w:r>
      <w:r w:rsidRPr="004F46ED">
        <w:rPr>
          <w:i/>
          <w:iCs w:val="0"/>
          <w:caps w:val="0"/>
        </w:rPr>
        <w:t>DESeq2</w:t>
      </w:r>
      <w:bookmarkEnd w:id="17"/>
    </w:p>
    <w:p w14:paraId="352F4254" w14:textId="29D70247" w:rsidR="0081706E" w:rsidRDefault="0081706E" w:rsidP="0081706E">
      <w:r>
        <w:t xml:space="preserve">Para la identificación de los genes diferencialmente expresados (DEGs), se utilizó la librería especializada </w:t>
      </w:r>
      <w:r>
        <w:rPr>
          <w:i/>
          <w:iCs/>
        </w:rPr>
        <w:t>DESeq2</w:t>
      </w:r>
      <w:r w:rsidR="0054292D">
        <w:rPr>
          <w:i/>
          <w:iCs/>
        </w:rPr>
        <w:fldChar w:fldCharType="begin"/>
      </w:r>
      <w:r w:rsidR="0087411E">
        <w:rPr>
          <w:i/>
          <w:iCs/>
        </w:rPr>
        <w:instrText xml:space="preserve"> ADDIN ZOTERO_ITEM CSL_CITATION {"citationID":"UjFFJaow","properties":{"unsorted":false,"formattedCitation":"(24)","plainCitation":"(24)","noteIndex":0},"citationItems":[{"id":53,"uris":["http://zotero.org/users/local/sechomLT/items/CHFZ8DMY"],"itemData":{"id":53,"type":"article-journal","abstract":"In comparative high-throughput sequencing assays, a fundamental task is the analysis of count data, such as read counts per gene in RNA-seq, for evidence of systematic changes across experimental conditions. Small replicate numbers, discreteness, large dynamic range and the presence of outliers require a suitable statistical approach. We present DESeq2, a method for differential analysis of count data, using shrinkage estimation for dispersions and fold changes to improve stability and interpretability of estimates. This enables a more quantitative analysis focused on the strength rather than the mere presence of differential expression. The DESeq2 package is available at http://www.bioconductor.org/packages/release/bioc/html/DESeq2.html.","container-title":"Genome Biology","DOI":"10.1186/s13059-014-0550-8","ISSN":"1474-7596","issue":"12","journalAbbreviation":"Genome Biol","page":"550","PMID":"25516281","PMCID":"PMC4302049","source":"PubMed Central","title":"Moderated estimation of fold change and dispersion for RNA-seq data with DESeq2","URL":"https://pmc.ncbi.nlm.nih.gov/articles/PMC4302049/","volume":"15","author":[{"family":"Love","given":"Michael I"},{"family":"Huber","given":"Wolfgang"},{"family":"Anders","given":"Simon"}],"accessed":{"date-parts":[["2026",5,19]]},"issued":{"date-parts":[["2014"]]}}}],"schema":"https://github.com/citation-style-language/schema/raw/master/csl-citation.json"} </w:instrText>
      </w:r>
      <w:r w:rsidR="0054292D">
        <w:rPr>
          <w:i/>
          <w:iCs/>
        </w:rPr>
        <w:fldChar w:fldCharType="separate"/>
      </w:r>
      <w:r w:rsidR="0087411E" w:rsidRPr="0087411E">
        <w:rPr>
          <w:rFonts w:ascii="Calibri" w:hAnsi="Calibri" w:cs="Calibri"/>
        </w:rPr>
        <w:t>(24)</w:t>
      </w:r>
      <w:r w:rsidR="0054292D">
        <w:rPr>
          <w:i/>
          <w:iCs/>
        </w:rPr>
        <w:fldChar w:fldCharType="end"/>
      </w:r>
      <w:r>
        <w:t>. Este modelo estadístico se basa en la aplicación de Modelos Lineales Generalizados (GLM) bajo una distribución binomial negativa. Esta aproximación es idónea para gestionar la naturaleza discreta de los conteos crudos de RNA-</w:t>
      </w:r>
      <w:proofErr w:type="spellStart"/>
      <w:r>
        <w:t>seq</w:t>
      </w:r>
      <w:proofErr w:type="spellEnd"/>
      <w:r>
        <w:t xml:space="preserve"> y corregir su </w:t>
      </w:r>
      <w:proofErr w:type="spellStart"/>
      <w:r>
        <w:t>sobredispersión</w:t>
      </w:r>
      <w:proofErr w:type="spellEnd"/>
      <w:r>
        <w:t xml:space="preserve"> intrínseca. Su selección como estándar metodológico responde a su robustez para estabilizar las estimaciones de dispersión y contraer los cambios de expresión (</w:t>
      </w:r>
      <w:proofErr w:type="spellStart"/>
      <w:r>
        <w:rPr>
          <w:i/>
          <w:iCs/>
        </w:rPr>
        <w:t>Logarithmic</w:t>
      </w:r>
      <w:proofErr w:type="spellEnd"/>
      <w:r>
        <w:rPr>
          <w:i/>
          <w:iCs/>
        </w:rPr>
        <w:t xml:space="preserve"> Fold Change</w:t>
      </w:r>
      <w:r>
        <w:t>, LFC) mediante aproximaciones bayesianas empíricas. De est</w:t>
      </w:r>
      <w:r w:rsidR="00B7555F">
        <w:t>a</w:t>
      </w:r>
      <w:r>
        <w:t xml:space="preserve"> manera, se optimiza la sensibilidad del análisis incluso ante un número limitado de réplicas biológicas. Tras depurar las matrices de conteos en la fase exploratoria, el flujo de trabajo avanzó hacia la estructuración de los datos de entrada necesarios para inicializar el algoritmo.</w:t>
      </w:r>
    </w:p>
    <w:p w14:paraId="13F46372" w14:textId="77777777" w:rsidR="0081706E" w:rsidRPr="0081706E" w:rsidRDefault="0081706E" w:rsidP="0081706E">
      <w:r w:rsidRPr="0081706E">
        <w:t xml:space="preserve">La construcción del objeto central de análisis se ejecutó mediante la función </w:t>
      </w:r>
      <w:proofErr w:type="spellStart"/>
      <w:r w:rsidRPr="0081706E">
        <w:rPr>
          <w:i/>
          <w:iCs/>
        </w:rPr>
        <w:t>DESeqDataSetFromMatrix</w:t>
      </w:r>
      <w:proofErr w:type="spellEnd"/>
      <w:r w:rsidRPr="0081706E">
        <w:rPr>
          <w:i/>
          <w:iCs/>
        </w:rPr>
        <w:t>()</w:t>
      </w:r>
      <w:r w:rsidRPr="0081706E">
        <w:t>, integrando la matriz de conteos crudos (</w:t>
      </w:r>
      <w:proofErr w:type="spellStart"/>
      <w:r w:rsidRPr="0081706E">
        <w:rPr>
          <w:i/>
          <w:iCs/>
        </w:rPr>
        <w:t>countData</w:t>
      </w:r>
      <w:proofErr w:type="spellEnd"/>
      <w:r w:rsidRPr="0081706E">
        <w:t>), el objeto de metadatos (</w:t>
      </w:r>
      <w:proofErr w:type="spellStart"/>
      <w:r w:rsidRPr="0081706E">
        <w:rPr>
          <w:i/>
          <w:iCs/>
        </w:rPr>
        <w:t>colData</w:t>
      </w:r>
      <w:proofErr w:type="spellEnd"/>
      <w:r w:rsidRPr="0081706E">
        <w:t>) y la fórmula del diseño experimental (</w:t>
      </w:r>
      <w:proofErr w:type="spellStart"/>
      <w:r w:rsidRPr="0081706E">
        <w:rPr>
          <w:i/>
          <w:iCs/>
        </w:rPr>
        <w:t>design</w:t>
      </w:r>
      <w:proofErr w:type="spellEnd"/>
      <w:r w:rsidRPr="0081706E">
        <w:t xml:space="preserve">). Para las series procedentes de GEO, se aplicó un diseño multifactorial parametrizado como </w:t>
      </w:r>
      <w:proofErr w:type="spellStart"/>
      <w:r w:rsidRPr="0081706E">
        <w:rPr>
          <w:i/>
          <w:iCs/>
        </w:rPr>
        <w:t>design</w:t>
      </w:r>
      <w:proofErr w:type="spellEnd"/>
      <w:r w:rsidRPr="0081706E">
        <w:rPr>
          <w:i/>
          <w:iCs/>
        </w:rPr>
        <w:t xml:space="preserve"> = ~ Patient + </w:t>
      </w:r>
      <w:proofErr w:type="spellStart"/>
      <w:r w:rsidRPr="0081706E">
        <w:rPr>
          <w:i/>
          <w:iCs/>
        </w:rPr>
        <w:t>Condition</w:t>
      </w:r>
      <w:proofErr w:type="spellEnd"/>
      <w:r w:rsidRPr="0081706E">
        <w:t xml:space="preserve">. Esta configuración introduce la variable </w:t>
      </w:r>
      <w:r w:rsidRPr="0081706E">
        <w:rPr>
          <w:i/>
          <w:iCs/>
        </w:rPr>
        <w:t>Patient</w:t>
      </w:r>
      <w:r w:rsidRPr="0081706E">
        <w:t xml:space="preserve"> como factor de bloqueo, lo que permite aislar la variabilidad interindividual de los pacientes y reducir el ruido para proteger la señal biológica del tumor. Por el contrario, para la cohorte de TCGA-COAD se utilizó un modelo simple dada la ausencia de un diseño pareado en su estructura. Cabe destacar que los efectos lote de carácter </w:t>
      </w:r>
      <w:proofErr w:type="spellStart"/>
      <w:r w:rsidRPr="0081706E">
        <w:t>intra-estudio</w:t>
      </w:r>
      <w:proofErr w:type="spellEnd"/>
      <w:r w:rsidRPr="0081706E">
        <w:t xml:space="preserve"> —como las tandas de secuenciación, el operador o las fechas de preparación de las librerías— no se incorporaron a estos modelos ante la falta de dicha información técnica en los metadatos originales.</w:t>
      </w:r>
    </w:p>
    <w:p w14:paraId="56291ECF" w14:textId="2556C595" w:rsidR="00015E06" w:rsidRPr="0081706E" w:rsidRDefault="00015E06" w:rsidP="0081706E">
      <w:pPr>
        <w:rPr>
          <w:color w:val="000000" w:themeColor="text1"/>
        </w:rPr>
      </w:pPr>
      <w:r w:rsidRPr="00015E06">
        <w:rPr>
          <w:color w:val="000000" w:themeColor="text1"/>
        </w:rPr>
        <w:t xml:space="preserve">Una vez generado el objeto, se procedió al filtrado de aquellos transcritos con baja expresión. Este </w:t>
      </w:r>
      <w:proofErr w:type="spellStart"/>
      <w:r w:rsidRPr="00015E06">
        <w:rPr>
          <w:color w:val="000000" w:themeColor="text1"/>
        </w:rPr>
        <w:t>prefiltrado</w:t>
      </w:r>
      <w:proofErr w:type="spellEnd"/>
      <w:r w:rsidRPr="00015E06">
        <w:rPr>
          <w:color w:val="000000" w:themeColor="text1"/>
        </w:rPr>
        <w:t xml:space="preserve"> inicial se justifica por la necesidad de eliminar genes poco informativos y con lecturas residuales de manera previa al modelado, </w:t>
      </w:r>
      <w:r>
        <w:rPr>
          <w:color w:val="000000" w:themeColor="text1"/>
        </w:rPr>
        <w:t xml:space="preserve">lo que </w:t>
      </w:r>
      <w:r w:rsidRPr="00015E06">
        <w:rPr>
          <w:color w:val="000000" w:themeColor="text1"/>
        </w:rPr>
        <w:t>optimiza</w:t>
      </w:r>
      <w:r>
        <w:rPr>
          <w:color w:val="000000" w:themeColor="text1"/>
        </w:rPr>
        <w:t xml:space="preserve"> </w:t>
      </w:r>
      <w:r w:rsidRPr="00015E06">
        <w:rPr>
          <w:color w:val="000000" w:themeColor="text1"/>
        </w:rPr>
        <w:t xml:space="preserve">la velocidad de cálculo y reduciendo la carga computacional en memoria. Siguiendo las directrices oficiales del manual de usuario de </w:t>
      </w:r>
      <w:r w:rsidRPr="00015E06">
        <w:rPr>
          <w:i/>
          <w:iCs/>
          <w:color w:val="000000" w:themeColor="text1"/>
        </w:rPr>
        <w:t>DESeq2</w:t>
      </w:r>
      <w:r w:rsidRPr="00015E06">
        <w:rPr>
          <w:color w:val="000000" w:themeColor="text1"/>
        </w:rPr>
        <w:t>, el umbral de corte exigió que un gen presentase un mínimo de 10 recuentos brutos (</w:t>
      </w:r>
      <w:proofErr w:type="spellStart"/>
      <w:r w:rsidRPr="00015E06">
        <w:rPr>
          <w:i/>
          <w:iCs/>
          <w:color w:val="000000" w:themeColor="text1"/>
        </w:rPr>
        <w:t>counts</w:t>
      </w:r>
      <w:proofErr w:type="spellEnd"/>
      <w:r w:rsidRPr="00015E06">
        <w:rPr>
          <w:i/>
          <w:iCs/>
          <w:color w:val="000000" w:themeColor="text1"/>
        </w:rPr>
        <w:t>(</w:t>
      </w:r>
      <w:proofErr w:type="spellStart"/>
      <w:r w:rsidRPr="00015E06">
        <w:rPr>
          <w:i/>
          <w:iCs/>
          <w:color w:val="000000" w:themeColor="text1"/>
        </w:rPr>
        <w:t>dds</w:t>
      </w:r>
      <w:proofErr w:type="spellEnd"/>
      <w:r w:rsidRPr="00015E06">
        <w:rPr>
          <w:i/>
          <w:iCs/>
          <w:color w:val="000000" w:themeColor="text1"/>
        </w:rPr>
        <w:t>) &gt;= 10</w:t>
      </w:r>
      <w:r w:rsidRPr="00015E06">
        <w:rPr>
          <w:color w:val="000000" w:themeColor="text1"/>
        </w:rPr>
        <w:t xml:space="preserve">). Asimismo, esta condición debió cumplirse en un número </w:t>
      </w:r>
      <w:r w:rsidRPr="00015E06">
        <w:rPr>
          <w:color w:val="000000" w:themeColor="text1"/>
        </w:rPr>
        <w:lastRenderedPageBreak/>
        <w:t xml:space="preserve">de muestras igual o superior al tamaño del grupo biológico más pequeño de cada </w:t>
      </w:r>
      <w:r w:rsidRPr="00015E06">
        <w:rPr>
          <w:color w:val="000000" w:themeColor="text1"/>
        </w:rPr>
        <w:t>dataset</w:t>
      </w:r>
      <w:r w:rsidRPr="00015E06">
        <w:rPr>
          <w:color w:val="000000" w:themeColor="text1"/>
        </w:rPr>
        <w:t xml:space="preserve"> independiente. De este modo, el filtro se adaptó de forma dinámica al tamaño de cada cohorte, preparando</w:t>
      </w:r>
      <w:r w:rsidRPr="00015E06">
        <w:rPr>
          <w:color w:val="000000" w:themeColor="text1"/>
        </w:rPr>
        <w:t xml:space="preserve"> </w:t>
      </w:r>
      <w:r w:rsidRPr="00015E06">
        <w:rPr>
          <w:color w:val="000000" w:themeColor="text1"/>
        </w:rPr>
        <w:t>las matrices para el modelado. Finalmente, es importante destacar que este paso inicial no sustituye al filtrado independiente (</w:t>
      </w:r>
      <w:proofErr w:type="spellStart"/>
      <w:r w:rsidRPr="00015E06">
        <w:rPr>
          <w:i/>
          <w:iCs/>
          <w:color w:val="000000" w:themeColor="text1"/>
        </w:rPr>
        <w:t>independent</w:t>
      </w:r>
      <w:proofErr w:type="spellEnd"/>
      <w:r w:rsidRPr="00015E06">
        <w:rPr>
          <w:i/>
          <w:iCs/>
          <w:color w:val="000000" w:themeColor="text1"/>
        </w:rPr>
        <w:t xml:space="preserve"> </w:t>
      </w:r>
      <w:proofErr w:type="spellStart"/>
      <w:r w:rsidRPr="00015E06">
        <w:rPr>
          <w:i/>
          <w:iCs/>
          <w:color w:val="000000" w:themeColor="text1"/>
        </w:rPr>
        <w:t>filtering</w:t>
      </w:r>
      <w:proofErr w:type="spellEnd"/>
      <w:r w:rsidRPr="00015E06">
        <w:rPr>
          <w:color w:val="000000" w:themeColor="text1"/>
        </w:rPr>
        <w:t xml:space="preserve">) que </w:t>
      </w:r>
      <w:r w:rsidRPr="00015E06">
        <w:rPr>
          <w:i/>
          <w:iCs/>
          <w:color w:val="000000" w:themeColor="text1"/>
        </w:rPr>
        <w:t>DESeq2</w:t>
      </w:r>
      <w:r w:rsidRPr="00015E06">
        <w:rPr>
          <w:color w:val="000000" w:themeColor="text1"/>
        </w:rPr>
        <w:t xml:space="preserve"> aplica de forma automática en etapas posteriores sobre los resultados del contraste, el cual está diseñado para maximizar la potencia estadística y optimizar la penalización por comparaciones múltiples.</w:t>
      </w:r>
    </w:p>
    <w:p w14:paraId="514BA390" w14:textId="77777777" w:rsidR="00577BE2" w:rsidRPr="001A39A6" w:rsidRDefault="00577BE2" w:rsidP="00577BE2">
      <w:pPr>
        <w:rPr>
          <w:color w:val="000000" w:themeColor="text1"/>
        </w:rPr>
      </w:pPr>
      <w:r>
        <w:rPr>
          <w:color w:val="000000" w:themeColor="text1"/>
        </w:rPr>
        <w:t>A continuación</w:t>
      </w:r>
      <w:r w:rsidRPr="00FF01FD">
        <w:rPr>
          <w:color w:val="000000" w:themeColor="text1"/>
        </w:rPr>
        <w:t xml:space="preserve">, se ejecutó el análisis estadístico mediante la función principal </w:t>
      </w:r>
      <w:proofErr w:type="spellStart"/>
      <w:r w:rsidRPr="00FF01FD">
        <w:rPr>
          <w:i/>
          <w:iCs/>
          <w:color w:val="000000" w:themeColor="text1"/>
        </w:rPr>
        <w:t>DESeq</w:t>
      </w:r>
      <w:proofErr w:type="spellEnd"/>
      <w:r w:rsidRPr="00FF01FD">
        <w:rPr>
          <w:i/>
          <w:iCs/>
          <w:color w:val="000000" w:themeColor="text1"/>
        </w:rPr>
        <w:t>()</w:t>
      </w:r>
      <w:r w:rsidRPr="00FF01FD">
        <w:rPr>
          <w:color w:val="000000" w:themeColor="text1"/>
        </w:rPr>
        <w:t xml:space="preserve">. </w:t>
      </w:r>
      <w:r w:rsidRPr="00386932">
        <w:rPr>
          <w:color w:val="000000" w:themeColor="text1"/>
        </w:rPr>
        <w:t>Esta herramienta integra un flujo de trabajo automatizado que, en su primera etapa, calcula los factores de tamaño (</w:t>
      </w:r>
      <w:proofErr w:type="spellStart"/>
      <w:r w:rsidRPr="00386932">
        <w:rPr>
          <w:i/>
          <w:iCs/>
          <w:color w:val="000000" w:themeColor="text1"/>
        </w:rPr>
        <w:t>size</w:t>
      </w:r>
      <w:proofErr w:type="spellEnd"/>
      <w:r w:rsidRPr="00386932">
        <w:rPr>
          <w:i/>
          <w:iCs/>
          <w:color w:val="000000" w:themeColor="text1"/>
        </w:rPr>
        <w:t xml:space="preserve"> </w:t>
      </w:r>
      <w:proofErr w:type="spellStart"/>
      <w:r w:rsidRPr="00386932">
        <w:rPr>
          <w:i/>
          <w:iCs/>
          <w:color w:val="000000" w:themeColor="text1"/>
        </w:rPr>
        <w:t>factors</w:t>
      </w:r>
      <w:proofErr w:type="spellEnd"/>
      <w:r w:rsidRPr="00386932">
        <w:rPr>
          <w:color w:val="000000" w:themeColor="text1"/>
        </w:rPr>
        <w:t>). De este modo, se aplica la normalización por el método de la mediana de los ratios (</w:t>
      </w:r>
      <w:r w:rsidRPr="00386932">
        <w:rPr>
          <w:i/>
          <w:iCs/>
          <w:color w:val="000000" w:themeColor="text1"/>
        </w:rPr>
        <w:t>median-</w:t>
      </w:r>
      <w:proofErr w:type="spellStart"/>
      <w:r w:rsidRPr="00386932">
        <w:rPr>
          <w:i/>
          <w:iCs/>
          <w:color w:val="000000" w:themeColor="text1"/>
        </w:rPr>
        <w:t>of</w:t>
      </w:r>
      <w:proofErr w:type="spellEnd"/>
      <w:r w:rsidRPr="00386932">
        <w:rPr>
          <w:i/>
          <w:iCs/>
          <w:color w:val="000000" w:themeColor="text1"/>
        </w:rPr>
        <w:t>-ratios</w:t>
      </w:r>
      <w:r w:rsidRPr="00386932">
        <w:rPr>
          <w:color w:val="000000" w:themeColor="text1"/>
        </w:rPr>
        <w:t>) para corregir las diferencias en la profundidad de secuenciación. Posteriormente, el algoritmo estima la dispersión y ajusta los GLM para cada transcrito. Finalmente, el modelo se evalúa mediante el test de Wald, obteniendo los parámetros estadísticos necesarios para la posterior extracción de los contrastes de expresión diferencial.</w:t>
      </w:r>
    </w:p>
    <w:p w14:paraId="247472D6" w14:textId="77777777" w:rsidR="00577BE2" w:rsidRPr="001545C0" w:rsidRDefault="00577BE2" w:rsidP="00577BE2">
      <w:pPr>
        <w:rPr>
          <w:color w:val="000000" w:themeColor="text1"/>
        </w:rPr>
      </w:pPr>
      <w:r w:rsidRPr="001545C0">
        <w:rPr>
          <w:color w:val="000000" w:themeColor="text1"/>
        </w:rPr>
        <w:t xml:space="preserve">Por otra parte, cuando el análisis se orienta hacia la exploración visual y el control de calidad mediante PCA o mapas de calor, los conteos normalizados estándar no resultan óptimos debido al ruido introducido por los genes de baja expresión. </w:t>
      </w:r>
      <w:r w:rsidRPr="005B7CD8">
        <w:rPr>
          <w:color w:val="000000" w:themeColor="text1"/>
        </w:rPr>
        <w:t xml:space="preserve">Para resolver este inconveniente, se implementó una estrategia de transformación dirigida a estabilizar la varianza y trasladar los datos a una escala logarítmica. La aplicación de este procedimiento se condicionó al tamaño muestral de cada cohorte. En los conjuntos de datos con 20 muestras o menos, se empleó la transformación de logaritmo regularizado </w:t>
      </w:r>
      <w:r w:rsidRPr="001A39A6">
        <w:rPr>
          <w:color w:val="000000" w:themeColor="text1"/>
        </w:rPr>
        <w:t>(</w:t>
      </w:r>
      <w:proofErr w:type="spellStart"/>
      <w:r w:rsidRPr="001A39A6">
        <w:rPr>
          <w:i/>
          <w:iCs/>
          <w:color w:val="000000" w:themeColor="text1"/>
        </w:rPr>
        <w:t>rlog</w:t>
      </w:r>
      <w:proofErr w:type="spellEnd"/>
      <w:r w:rsidRPr="001A39A6">
        <w:rPr>
          <w:color w:val="000000" w:themeColor="text1"/>
        </w:rPr>
        <w:t>), la cual utiliza un enfoque de contracción (</w:t>
      </w:r>
      <w:proofErr w:type="spellStart"/>
      <w:r w:rsidRPr="001A39A6">
        <w:rPr>
          <w:i/>
          <w:iCs/>
          <w:color w:val="000000" w:themeColor="text1"/>
        </w:rPr>
        <w:t>shrinkage</w:t>
      </w:r>
      <w:proofErr w:type="spellEnd"/>
      <w:r w:rsidRPr="001A39A6">
        <w:rPr>
          <w:color w:val="000000" w:themeColor="text1"/>
        </w:rPr>
        <w:t>) empírico Bayesiano para mitigar de forma robusta las desviaciones técnicas en experimentos de pequeña escala. Por el contrario, para los datasets con más de 20 muestras se optó por la transformación para la estabilización de la varianza (</w:t>
      </w:r>
      <w:proofErr w:type="spellStart"/>
      <w:r w:rsidRPr="002219D1">
        <w:rPr>
          <w:i/>
          <w:iCs/>
          <w:color w:val="000000" w:themeColor="text1"/>
        </w:rPr>
        <w:t>vst</w:t>
      </w:r>
      <w:proofErr w:type="spellEnd"/>
      <w:r w:rsidRPr="001A39A6">
        <w:rPr>
          <w:color w:val="000000" w:themeColor="text1"/>
        </w:rPr>
        <w:t xml:space="preserve">). Esta función es computacionalmente más eficiente </w:t>
      </w:r>
      <w:r w:rsidRPr="005B7CD8">
        <w:rPr>
          <w:color w:val="000000" w:themeColor="text1"/>
        </w:rPr>
        <w:t xml:space="preserve">para grandes volúmenes de datos, por lo que reduce el tiempo de procesamiento sin comprometer las relaciones </w:t>
      </w:r>
      <w:proofErr w:type="spellStart"/>
      <w:r w:rsidRPr="005B7CD8">
        <w:rPr>
          <w:color w:val="000000" w:themeColor="text1"/>
        </w:rPr>
        <w:t>intermuestrales</w:t>
      </w:r>
      <w:proofErr w:type="spellEnd"/>
      <w:r w:rsidRPr="001A39A6">
        <w:rPr>
          <w:color w:val="000000" w:themeColor="text1"/>
        </w:rPr>
        <w:t>.</w:t>
      </w:r>
    </w:p>
    <w:p w14:paraId="63C38D09" w14:textId="671AB634" w:rsidR="00577BE2" w:rsidRPr="00881FFC" w:rsidRDefault="00577BE2" w:rsidP="00577BE2">
      <w:pPr>
        <w:rPr>
          <w:color w:val="4472C4" w:themeColor="accent5"/>
          <w:sz w:val="22"/>
          <w:szCs w:val="22"/>
        </w:rPr>
      </w:pPr>
      <w:r>
        <w:rPr>
          <w:color w:val="000000" w:themeColor="text1"/>
        </w:rPr>
        <w:t>Por último,</w:t>
      </w:r>
      <w:r w:rsidRPr="00560B0F">
        <w:rPr>
          <w:color w:val="000000" w:themeColor="text1"/>
        </w:rPr>
        <w:t xml:space="preserve"> l</w:t>
      </w:r>
      <w:r>
        <w:rPr>
          <w:color w:val="000000" w:themeColor="text1"/>
        </w:rPr>
        <w:t>a</w:t>
      </w:r>
      <w:r w:rsidRPr="00560B0F">
        <w:rPr>
          <w:color w:val="000000" w:themeColor="text1"/>
        </w:rPr>
        <w:t xml:space="preserve">s </w:t>
      </w:r>
      <w:r w:rsidRPr="002219D1">
        <w:rPr>
          <w:color w:val="000000" w:themeColor="text1"/>
        </w:rPr>
        <w:t>matrices resultantes de estas transformaciones</w:t>
      </w:r>
      <w:r>
        <w:rPr>
          <w:color w:val="000000" w:themeColor="text1"/>
        </w:rPr>
        <w:t xml:space="preserve"> </w:t>
      </w:r>
      <w:r w:rsidRPr="00560B0F">
        <w:rPr>
          <w:color w:val="000000" w:themeColor="text1"/>
        </w:rPr>
        <w:t xml:space="preserve">se emplearon para la construcción de </w:t>
      </w:r>
      <w:r>
        <w:rPr>
          <w:color w:val="000000" w:themeColor="text1"/>
        </w:rPr>
        <w:t xml:space="preserve">histogramas y </w:t>
      </w:r>
      <w:r w:rsidRPr="00560B0F">
        <w:rPr>
          <w:color w:val="000000" w:themeColor="text1"/>
        </w:rPr>
        <w:t>diagramas de densidad.</w:t>
      </w:r>
      <w:r>
        <w:rPr>
          <w:color w:val="000000" w:themeColor="text1"/>
        </w:rPr>
        <w:t xml:space="preserve"> </w:t>
      </w:r>
      <w:r w:rsidRPr="005B7CD8">
        <w:rPr>
          <w:color w:val="000000" w:themeColor="text1"/>
        </w:rPr>
        <w:t>También se utilizaron para las proyecciones de PCA, donde se contrastó el comportamiento global frente a una selección de los 1</w:t>
      </w:r>
      <w:r w:rsidR="00811F29">
        <w:rPr>
          <w:color w:val="000000" w:themeColor="text1"/>
        </w:rPr>
        <w:t>.</w:t>
      </w:r>
      <w:r w:rsidRPr="005B7CD8">
        <w:rPr>
          <w:color w:val="000000" w:themeColor="text1"/>
        </w:rPr>
        <w:t xml:space="preserve">500 genes más significativos. </w:t>
      </w:r>
      <w:r>
        <w:rPr>
          <w:color w:val="000000" w:themeColor="text1"/>
        </w:rPr>
        <w:t>Además</w:t>
      </w:r>
      <w:r w:rsidRPr="005B7CD8">
        <w:rPr>
          <w:color w:val="000000" w:themeColor="text1"/>
        </w:rPr>
        <w:t xml:space="preserve">, esta matriz optimizada sirvió de base para generar </w:t>
      </w:r>
      <w:r w:rsidRPr="005B7CD8">
        <w:rPr>
          <w:color w:val="000000" w:themeColor="text1"/>
        </w:rPr>
        <w:lastRenderedPageBreak/>
        <w:t>el mapa de calor (</w:t>
      </w:r>
      <w:proofErr w:type="spellStart"/>
      <w:r w:rsidRPr="005B7CD8">
        <w:rPr>
          <w:i/>
          <w:iCs/>
          <w:color w:val="000000" w:themeColor="text1"/>
        </w:rPr>
        <w:t>heatmap</w:t>
      </w:r>
      <w:proofErr w:type="spellEnd"/>
      <w:r w:rsidRPr="005B7CD8">
        <w:rPr>
          <w:color w:val="000000" w:themeColor="text1"/>
        </w:rPr>
        <w:t>) de los 20 genes más significativos, lo que aseguró una representación gráfica clara, interpretable y libre de ruido técnico.</w:t>
      </w:r>
    </w:p>
    <w:p w14:paraId="31608403" w14:textId="342115E5" w:rsidR="00881FFC" w:rsidRDefault="00B556D4" w:rsidP="00881FFC">
      <w:pPr>
        <w:pStyle w:val="Ttulo2"/>
        <w:rPr>
          <w:caps w:val="0"/>
        </w:rPr>
      </w:pPr>
      <w:bookmarkStart w:id="18" w:name="_Toc239417044"/>
      <w:r w:rsidRPr="00B556D4">
        <w:rPr>
          <w:caps w:val="0"/>
        </w:rPr>
        <w:t xml:space="preserve">Control de </w:t>
      </w:r>
      <w:r w:rsidR="00381CA1">
        <w:rPr>
          <w:caps w:val="0"/>
        </w:rPr>
        <w:t>F</w:t>
      </w:r>
      <w:r w:rsidRPr="00B556D4">
        <w:rPr>
          <w:caps w:val="0"/>
        </w:rPr>
        <w:t xml:space="preserve">alsos </w:t>
      </w:r>
      <w:r w:rsidR="00381CA1">
        <w:rPr>
          <w:caps w:val="0"/>
        </w:rPr>
        <w:t>P</w:t>
      </w:r>
      <w:r w:rsidRPr="00B556D4">
        <w:rPr>
          <w:caps w:val="0"/>
        </w:rPr>
        <w:t xml:space="preserve">ositivos, </w:t>
      </w:r>
      <w:r w:rsidR="00381CA1">
        <w:rPr>
          <w:caps w:val="0"/>
        </w:rPr>
        <w:t>C</w:t>
      </w:r>
      <w:r w:rsidRPr="00B556D4">
        <w:rPr>
          <w:caps w:val="0"/>
        </w:rPr>
        <w:t xml:space="preserve">ontracción del </w:t>
      </w:r>
      <w:r w:rsidRPr="00B556D4">
        <w:rPr>
          <w:iCs w:val="0"/>
          <w:caps w:val="0"/>
        </w:rPr>
        <w:t>LFC</w:t>
      </w:r>
      <w:r w:rsidRPr="00B556D4">
        <w:rPr>
          <w:caps w:val="0"/>
        </w:rPr>
        <w:t xml:space="preserve"> y </w:t>
      </w:r>
      <w:r w:rsidR="00381CA1">
        <w:rPr>
          <w:caps w:val="0"/>
        </w:rPr>
        <w:t>F</w:t>
      </w:r>
      <w:r w:rsidRPr="00B556D4">
        <w:rPr>
          <w:caps w:val="0"/>
        </w:rPr>
        <w:t xml:space="preserve">iltrado de </w:t>
      </w:r>
      <w:r>
        <w:rPr>
          <w:caps w:val="0"/>
        </w:rPr>
        <w:t>DEGs</w:t>
      </w:r>
      <w:bookmarkEnd w:id="18"/>
    </w:p>
    <w:p w14:paraId="2EBDA3A1" w14:textId="77777777" w:rsidR="00CE3756" w:rsidRPr="003A582A" w:rsidRDefault="00CE3756" w:rsidP="00CE3756">
      <w:pPr>
        <w:rPr>
          <w:color w:val="000000" w:themeColor="text1"/>
        </w:rPr>
      </w:pPr>
      <w:r>
        <w:rPr>
          <w:color w:val="000000" w:themeColor="text1"/>
        </w:rPr>
        <w:t>La</w:t>
      </w:r>
      <w:r w:rsidRPr="003A582A">
        <w:rPr>
          <w:color w:val="000000" w:themeColor="text1"/>
        </w:rPr>
        <w:t xml:space="preserve"> siguiente fase del flujo de trabajo consistió en la extracción de los contrastes de expresión diferencial y el control riguroso de la tasa de falsos positivos. En el análisis de datos ómicos, la evaluación simultánea de miles de hipótesis independientes incrementa de forma exponencial la probabilidad de cometer errores de Tipo I. Por consiguiente, resulta </w:t>
      </w:r>
      <w:r>
        <w:rPr>
          <w:color w:val="000000" w:themeColor="text1"/>
        </w:rPr>
        <w:t>imperativo</w:t>
      </w:r>
      <w:r w:rsidRPr="003A582A">
        <w:rPr>
          <w:color w:val="000000" w:themeColor="text1"/>
        </w:rPr>
        <w:t xml:space="preserve"> aplicar métodos de corrección estadística que garanticen la reproducibilidad de los hallazgos. </w:t>
      </w:r>
      <w:r w:rsidRPr="005B7CD8">
        <w:rPr>
          <w:color w:val="000000" w:themeColor="text1"/>
        </w:rPr>
        <w:t>Este apartado detalla los criterios de significancia implementados y la incorporación de algoritmos de contracción (</w:t>
      </w:r>
      <w:r w:rsidRPr="005B7CD8">
        <w:rPr>
          <w:i/>
          <w:iCs/>
          <w:color w:val="000000" w:themeColor="text1"/>
        </w:rPr>
        <w:t>LFC-</w:t>
      </w:r>
      <w:proofErr w:type="spellStart"/>
      <w:r w:rsidRPr="005B7CD8">
        <w:rPr>
          <w:i/>
          <w:iCs/>
          <w:color w:val="000000" w:themeColor="text1"/>
        </w:rPr>
        <w:t>shrinkage</w:t>
      </w:r>
      <w:proofErr w:type="spellEnd"/>
      <w:r w:rsidRPr="005B7CD8">
        <w:rPr>
          <w:color w:val="000000" w:themeColor="text1"/>
        </w:rPr>
        <w:t>) para mitigar el sesgo en genes con baja representatividad. Asimismo, se describen los parámetros de selección adoptados para las representaciones gráficas subsiguientes</w:t>
      </w:r>
      <w:r w:rsidRPr="002767AF">
        <w:rPr>
          <w:color w:val="000000" w:themeColor="text1"/>
        </w:rPr>
        <w:t>.</w:t>
      </w:r>
    </w:p>
    <w:p w14:paraId="7AD8DDEC" w14:textId="77777777" w:rsidR="003A582A" w:rsidRPr="003A582A" w:rsidRDefault="003A582A" w:rsidP="003A582A">
      <w:pPr>
        <w:rPr>
          <w:color w:val="000000" w:themeColor="text1"/>
        </w:rPr>
      </w:pPr>
      <w:r w:rsidRPr="003A582A">
        <w:rPr>
          <w:color w:val="000000" w:themeColor="text1"/>
        </w:rPr>
        <w:t xml:space="preserve">La obtención de los resultados preliminares de expresión diferencial se ejecutó mediante la función </w:t>
      </w:r>
      <w:proofErr w:type="spellStart"/>
      <w:r w:rsidRPr="00811234">
        <w:rPr>
          <w:i/>
          <w:iCs/>
          <w:color w:val="000000" w:themeColor="text1"/>
        </w:rPr>
        <w:t>results</w:t>
      </w:r>
      <w:proofErr w:type="spellEnd"/>
      <w:r w:rsidRPr="00811234">
        <w:rPr>
          <w:i/>
          <w:iCs/>
          <w:color w:val="000000" w:themeColor="text1"/>
        </w:rPr>
        <w:t>()</w:t>
      </w:r>
      <w:r w:rsidRPr="003A582A">
        <w:rPr>
          <w:color w:val="000000" w:themeColor="text1"/>
        </w:rPr>
        <w:t>, configurando los parámetros de corte de la siguiente manera:</w:t>
      </w:r>
    </w:p>
    <w:p w14:paraId="1A024DE7" w14:textId="77777777" w:rsidR="003A582A" w:rsidRPr="003A582A" w:rsidRDefault="003A582A" w:rsidP="003A582A">
      <w:pPr>
        <w:jc w:val="center"/>
        <w:rPr>
          <w:rFonts w:ascii="Consolas" w:hAnsi="Consolas"/>
          <w:color w:val="000000" w:themeColor="text1"/>
          <w:sz w:val="22"/>
          <w:szCs w:val="22"/>
        </w:rPr>
      </w:pPr>
      <w:r w:rsidRPr="003A582A">
        <w:rPr>
          <w:rFonts w:ascii="Consolas" w:hAnsi="Consolas"/>
          <w:color w:val="000000" w:themeColor="text1"/>
          <w:sz w:val="22"/>
          <w:szCs w:val="22"/>
        </w:rPr>
        <w:t xml:space="preserve">res &lt;- </w:t>
      </w:r>
      <w:proofErr w:type="spellStart"/>
      <w:r w:rsidRPr="003A582A">
        <w:rPr>
          <w:rFonts w:ascii="Consolas" w:hAnsi="Consolas"/>
          <w:color w:val="000000" w:themeColor="text1"/>
          <w:sz w:val="22"/>
          <w:szCs w:val="22"/>
        </w:rPr>
        <w:t>results</w:t>
      </w:r>
      <w:proofErr w:type="spellEnd"/>
      <w:r w:rsidRPr="003A582A">
        <w:rPr>
          <w:rFonts w:ascii="Consolas" w:hAnsi="Consolas"/>
          <w:color w:val="000000" w:themeColor="text1"/>
          <w:sz w:val="22"/>
          <w:szCs w:val="22"/>
        </w:rPr>
        <w:t>(</w:t>
      </w:r>
      <w:proofErr w:type="spellStart"/>
      <w:r w:rsidRPr="003A582A">
        <w:rPr>
          <w:rFonts w:ascii="Consolas" w:hAnsi="Consolas"/>
          <w:color w:val="000000" w:themeColor="text1"/>
          <w:sz w:val="22"/>
          <w:szCs w:val="22"/>
        </w:rPr>
        <w:t>dds</w:t>
      </w:r>
      <w:proofErr w:type="spellEnd"/>
      <w:r w:rsidRPr="003A582A">
        <w:rPr>
          <w:rFonts w:ascii="Consolas" w:hAnsi="Consolas"/>
          <w:color w:val="000000" w:themeColor="text1"/>
          <w:sz w:val="22"/>
          <w:szCs w:val="22"/>
        </w:rPr>
        <w:t xml:space="preserve">, </w:t>
      </w:r>
      <w:proofErr w:type="spellStart"/>
      <w:r w:rsidRPr="003A582A">
        <w:rPr>
          <w:rFonts w:ascii="Consolas" w:hAnsi="Consolas"/>
          <w:color w:val="000000" w:themeColor="text1"/>
          <w:sz w:val="22"/>
          <w:szCs w:val="22"/>
        </w:rPr>
        <w:t>alpha</w:t>
      </w:r>
      <w:proofErr w:type="spellEnd"/>
      <w:r w:rsidRPr="003A582A">
        <w:rPr>
          <w:rFonts w:ascii="Consolas" w:hAnsi="Consolas"/>
          <w:color w:val="000000" w:themeColor="text1"/>
          <w:sz w:val="22"/>
          <w:szCs w:val="22"/>
        </w:rPr>
        <w:t xml:space="preserve">=0.05, </w:t>
      </w:r>
      <w:proofErr w:type="spellStart"/>
      <w:r w:rsidRPr="003A582A">
        <w:rPr>
          <w:rFonts w:ascii="Consolas" w:hAnsi="Consolas"/>
          <w:color w:val="000000" w:themeColor="text1"/>
          <w:sz w:val="22"/>
          <w:szCs w:val="22"/>
        </w:rPr>
        <w:t>lfcThreshold</w:t>
      </w:r>
      <w:proofErr w:type="spellEnd"/>
      <w:r w:rsidRPr="003A582A">
        <w:rPr>
          <w:rFonts w:ascii="Consolas" w:hAnsi="Consolas"/>
          <w:color w:val="000000" w:themeColor="text1"/>
          <w:sz w:val="22"/>
          <w:szCs w:val="22"/>
        </w:rPr>
        <w:t xml:space="preserve"> = 0.585)</w:t>
      </w:r>
    </w:p>
    <w:p w14:paraId="60F51907" w14:textId="77777777" w:rsidR="00CE3756" w:rsidRPr="003A582A" w:rsidRDefault="00CE3756" w:rsidP="00CE3756">
      <w:pPr>
        <w:rPr>
          <w:color w:val="000000" w:themeColor="text1"/>
        </w:rPr>
      </w:pPr>
      <w:r w:rsidRPr="003A582A">
        <w:rPr>
          <w:color w:val="000000" w:themeColor="text1"/>
        </w:rPr>
        <w:t xml:space="preserve">En esta línea de código, el argumento </w:t>
      </w:r>
      <w:proofErr w:type="spellStart"/>
      <w:r w:rsidRPr="00811234">
        <w:rPr>
          <w:i/>
          <w:iCs/>
          <w:color w:val="000000" w:themeColor="text1"/>
        </w:rPr>
        <w:t>alpha</w:t>
      </w:r>
      <w:proofErr w:type="spellEnd"/>
      <w:r w:rsidRPr="00811234">
        <w:rPr>
          <w:i/>
          <w:iCs/>
          <w:color w:val="000000" w:themeColor="text1"/>
        </w:rPr>
        <w:t xml:space="preserve"> = 0.05</w:t>
      </w:r>
      <w:r w:rsidRPr="003A582A">
        <w:rPr>
          <w:color w:val="000000" w:themeColor="text1"/>
        </w:rPr>
        <w:t xml:space="preserve"> establece el umbral para la tasa de falso descubrimiento (FDR), controlada mediante el método de Benjamini-Hochberg. Por otra parte, una de las decisiones metodológicas más críticas de este estudio fue la parametrización de </w:t>
      </w:r>
      <w:proofErr w:type="spellStart"/>
      <w:r w:rsidRPr="00811234">
        <w:rPr>
          <w:i/>
          <w:iCs/>
          <w:color w:val="000000" w:themeColor="text1"/>
        </w:rPr>
        <w:t>lfcThreshold</w:t>
      </w:r>
      <w:proofErr w:type="spellEnd"/>
      <w:r w:rsidRPr="00811234">
        <w:rPr>
          <w:i/>
          <w:iCs/>
          <w:color w:val="000000" w:themeColor="text1"/>
        </w:rPr>
        <w:t xml:space="preserve"> = 0.585</w:t>
      </w:r>
      <w:r w:rsidRPr="003A582A">
        <w:rPr>
          <w:color w:val="000000" w:themeColor="text1"/>
        </w:rPr>
        <w:t>. En lugar de evaluar la hipótesis nula tradicional de ausencia absoluta de cambio (</w:t>
      </w:r>
      <m:oMath>
        <m:sSub>
          <m:sSubPr>
            <m:ctrlPr>
              <w:rPr>
                <w:rFonts w:ascii="Cambria Math" w:hAnsi="Cambria Math"/>
                <w:i/>
                <w:color w:val="000000" w:themeColor="text1"/>
              </w:rPr>
            </m:ctrlPr>
          </m:sSubPr>
          <m:e>
            <m:r>
              <w:rPr>
                <w:rFonts w:ascii="Cambria Math" w:hAnsi="Cambria Math"/>
                <w:color w:val="000000" w:themeColor="text1"/>
              </w:rPr>
              <m:t>H</m:t>
            </m:r>
          </m:e>
          <m:sub>
            <m:r>
              <w:rPr>
                <w:rFonts w:ascii="Cambria Math" w:hAnsi="Cambria Math"/>
                <w:color w:val="000000" w:themeColor="text1"/>
              </w:rPr>
              <m:t>0</m:t>
            </m:r>
          </m:sub>
        </m:sSub>
        <m:r>
          <w:rPr>
            <w:rFonts w:ascii="Cambria Math" w:hAnsi="Cambria Math"/>
            <w:color w:val="000000" w:themeColor="text1"/>
          </w:rPr>
          <m:t xml:space="preserve">: </m:t>
        </m:r>
        <m:sSub>
          <m:sSubPr>
            <m:ctrlPr>
              <w:rPr>
                <w:rFonts w:ascii="Cambria Math" w:hAnsi="Cambria Math"/>
                <w:i/>
                <w:color w:val="000000" w:themeColor="text1"/>
              </w:rPr>
            </m:ctrlPr>
          </m:sSubPr>
          <m:e>
            <m:r>
              <w:rPr>
                <w:rFonts w:ascii="Cambria Math" w:hAnsi="Cambria Math"/>
                <w:color w:val="000000" w:themeColor="text1"/>
              </w:rPr>
              <m:t>log</m:t>
            </m:r>
          </m:e>
          <m:sub>
            <m:r>
              <w:rPr>
                <w:rFonts w:ascii="Cambria Math" w:hAnsi="Cambria Math"/>
                <w:color w:val="000000" w:themeColor="text1"/>
              </w:rPr>
              <m:t>2</m:t>
            </m:r>
          </m:sub>
        </m:sSub>
        <m:r>
          <w:rPr>
            <w:rFonts w:ascii="Cambria Math" w:hAnsi="Cambria Math"/>
            <w:color w:val="000000" w:themeColor="text1"/>
          </w:rPr>
          <m:t>FC=0</m:t>
        </m:r>
      </m:oMath>
      <w:r w:rsidRPr="003A582A">
        <w:rPr>
          <w:color w:val="000000" w:themeColor="text1"/>
        </w:rPr>
        <w:t>), se impuso un filtro de relevancia biológica pre-test (</w:t>
      </w:r>
      <m:oMath>
        <m:sSub>
          <m:sSubPr>
            <m:ctrlPr>
              <w:rPr>
                <w:rFonts w:ascii="Cambria Math" w:hAnsi="Cambria Math"/>
                <w:i/>
                <w:color w:val="000000" w:themeColor="text1"/>
              </w:rPr>
            </m:ctrlPr>
          </m:sSubPr>
          <m:e>
            <m:r>
              <w:rPr>
                <w:rFonts w:ascii="Cambria Math" w:hAnsi="Cambria Math"/>
                <w:color w:val="000000" w:themeColor="text1"/>
              </w:rPr>
              <m:t>H</m:t>
            </m:r>
          </m:e>
          <m:sub>
            <m:r>
              <w:rPr>
                <w:rFonts w:ascii="Cambria Math" w:hAnsi="Cambria Math"/>
                <w:color w:val="000000" w:themeColor="text1"/>
              </w:rPr>
              <m:t>0</m:t>
            </m:r>
          </m:sub>
        </m:sSub>
        <m:r>
          <w:rPr>
            <w:rFonts w:ascii="Cambria Math" w:hAnsi="Cambria Math"/>
            <w:color w:val="000000" w:themeColor="text1"/>
          </w:rPr>
          <m:t xml:space="preserve">: </m:t>
        </m:r>
        <m:sSub>
          <m:sSubPr>
            <m:ctrlPr>
              <w:rPr>
                <w:rFonts w:ascii="Cambria Math" w:hAnsi="Cambria Math"/>
                <w:i/>
                <w:color w:val="000000" w:themeColor="text1"/>
              </w:rPr>
            </m:ctrlPr>
          </m:sSubPr>
          <m:e>
            <m:r>
              <w:rPr>
                <w:rFonts w:ascii="Cambria Math" w:hAnsi="Cambria Math"/>
                <w:color w:val="000000" w:themeColor="text1"/>
              </w:rPr>
              <m:t>|log</m:t>
            </m:r>
          </m:e>
          <m:sub>
            <m:r>
              <w:rPr>
                <w:rFonts w:ascii="Cambria Math" w:hAnsi="Cambria Math"/>
                <w:color w:val="000000" w:themeColor="text1"/>
              </w:rPr>
              <m:t>2</m:t>
            </m:r>
          </m:sub>
        </m:sSub>
        <m:r>
          <w:rPr>
            <w:rFonts w:ascii="Cambria Math" w:hAnsi="Cambria Math"/>
            <w:color w:val="000000" w:themeColor="text1"/>
          </w:rPr>
          <m:t>FC|≤0.585</m:t>
        </m:r>
      </m:oMath>
      <w:r w:rsidRPr="003A582A">
        <w:rPr>
          <w:color w:val="000000" w:themeColor="text1"/>
        </w:rPr>
        <w:t xml:space="preserve">). Esto equivale a exigir un cambio mínimo de </w:t>
      </w:r>
      <m:oMath>
        <m:r>
          <w:rPr>
            <w:rFonts w:ascii="Cambria Math" w:hAnsi="Cambria Math"/>
            <w:color w:val="000000" w:themeColor="text1"/>
          </w:rPr>
          <m:t>1.5</m:t>
        </m:r>
      </m:oMath>
      <w:r w:rsidRPr="003A582A">
        <w:rPr>
          <w:color w:val="000000" w:themeColor="text1"/>
        </w:rPr>
        <w:t xml:space="preserve"> veces (en valor absoluto) en los niveles de expresión entre el tejido tumoral y el control sano. Esta aproximación matemática modifica el test de Wald para evaluar una hipótesis nula de intervalo, lo que resulta en una lista de genes candidatos significativamente más conservadora</w:t>
      </w:r>
      <w:r>
        <w:rPr>
          <w:color w:val="000000" w:themeColor="text1"/>
        </w:rPr>
        <w:t xml:space="preserve"> y robusta</w:t>
      </w:r>
      <w:r w:rsidRPr="003A582A">
        <w:rPr>
          <w:color w:val="000000" w:themeColor="text1"/>
        </w:rPr>
        <w:t>.</w:t>
      </w:r>
    </w:p>
    <w:p w14:paraId="70A4A060" w14:textId="7C71329A" w:rsidR="00286FA5" w:rsidRPr="00286FA5" w:rsidRDefault="00286FA5" w:rsidP="00286FA5">
      <w:r w:rsidRPr="00286FA5">
        <w:t>No obstante, en los experimentos de RNA-</w:t>
      </w:r>
      <w:proofErr w:type="spellStart"/>
      <w:r w:rsidRPr="00286FA5">
        <w:t>seq</w:t>
      </w:r>
      <w:proofErr w:type="spellEnd"/>
      <w:r w:rsidRPr="00286FA5">
        <w:t xml:space="preserve">, los genes con conteos muy bajos o una variabilidad técnica elevada tienden a presentar estimaciones de </w:t>
      </w:r>
      <w:r w:rsidRPr="00286FA5">
        <w:rPr>
          <w:i/>
          <w:iCs/>
        </w:rPr>
        <w:t>Log-Fold Change</w:t>
      </w:r>
      <w:r w:rsidRPr="00286FA5">
        <w:t xml:space="preserve"> (LFC) artificialmente infladas. Para corregir este sesgo y reducir la tasa de falsos positivos, el objeto de resultados generado fue introducido en la función </w:t>
      </w:r>
      <w:proofErr w:type="spellStart"/>
      <w:r w:rsidRPr="005B62FD">
        <w:rPr>
          <w:i/>
          <w:iCs/>
        </w:rPr>
        <w:t>lfcShrink</w:t>
      </w:r>
      <w:proofErr w:type="spellEnd"/>
      <w:r w:rsidRPr="005B62FD">
        <w:rPr>
          <w:i/>
          <w:iCs/>
        </w:rPr>
        <w:t>()</w:t>
      </w:r>
      <w:r w:rsidR="005B62FD">
        <w:t>:</w:t>
      </w:r>
    </w:p>
    <w:p w14:paraId="76A97F7A" w14:textId="6F1690B9" w:rsidR="00286FA5" w:rsidRPr="00961F4F" w:rsidRDefault="00286FA5" w:rsidP="00961F4F">
      <w:pPr>
        <w:jc w:val="center"/>
        <w:rPr>
          <w:sz w:val="22"/>
          <w:szCs w:val="22"/>
        </w:rPr>
      </w:pPr>
      <w:proofErr w:type="spellStart"/>
      <w:r w:rsidRPr="00961F4F">
        <w:rPr>
          <w:rFonts w:ascii="Consolas" w:hAnsi="Consolas"/>
          <w:color w:val="000000" w:themeColor="text1"/>
          <w:sz w:val="20"/>
          <w:szCs w:val="20"/>
        </w:rPr>
        <w:t>resLFC</w:t>
      </w:r>
      <w:proofErr w:type="spellEnd"/>
      <w:r w:rsidRPr="00961F4F">
        <w:rPr>
          <w:rFonts w:ascii="Consolas" w:hAnsi="Consolas"/>
          <w:color w:val="000000" w:themeColor="text1"/>
          <w:sz w:val="20"/>
          <w:szCs w:val="20"/>
        </w:rPr>
        <w:t xml:space="preserve"> &lt;- </w:t>
      </w:r>
      <w:proofErr w:type="spellStart"/>
      <w:r w:rsidRPr="00961F4F">
        <w:rPr>
          <w:rFonts w:ascii="Consolas" w:hAnsi="Consolas"/>
          <w:color w:val="000000" w:themeColor="text1"/>
          <w:sz w:val="20"/>
          <w:szCs w:val="20"/>
        </w:rPr>
        <w:t>lfcShrink</w:t>
      </w:r>
      <w:proofErr w:type="spellEnd"/>
      <w:r w:rsidRPr="00961F4F">
        <w:rPr>
          <w:rFonts w:ascii="Consolas" w:hAnsi="Consolas"/>
          <w:color w:val="000000" w:themeColor="text1"/>
          <w:sz w:val="20"/>
          <w:szCs w:val="20"/>
        </w:rPr>
        <w:t>(</w:t>
      </w:r>
      <w:proofErr w:type="spellStart"/>
      <w:r w:rsidRPr="00961F4F">
        <w:rPr>
          <w:rFonts w:ascii="Consolas" w:hAnsi="Consolas"/>
          <w:color w:val="000000" w:themeColor="text1"/>
          <w:sz w:val="20"/>
          <w:szCs w:val="20"/>
        </w:rPr>
        <w:t>dds</w:t>
      </w:r>
      <w:proofErr w:type="spellEnd"/>
      <w:r w:rsidRPr="00961F4F">
        <w:rPr>
          <w:rFonts w:ascii="Consolas" w:hAnsi="Consolas"/>
          <w:color w:val="000000" w:themeColor="text1"/>
          <w:sz w:val="20"/>
          <w:szCs w:val="20"/>
        </w:rPr>
        <w:t xml:space="preserve">, </w:t>
      </w:r>
      <w:proofErr w:type="spellStart"/>
      <w:r w:rsidRPr="00961F4F">
        <w:rPr>
          <w:rFonts w:ascii="Consolas" w:hAnsi="Consolas"/>
          <w:color w:val="000000" w:themeColor="text1"/>
          <w:sz w:val="20"/>
          <w:szCs w:val="20"/>
        </w:rPr>
        <w:t>coef</w:t>
      </w:r>
      <w:proofErr w:type="spellEnd"/>
      <w:r w:rsidRPr="00961F4F">
        <w:rPr>
          <w:rFonts w:ascii="Consolas" w:hAnsi="Consolas"/>
          <w:color w:val="000000" w:themeColor="text1"/>
          <w:sz w:val="20"/>
          <w:szCs w:val="20"/>
        </w:rPr>
        <w:t>="</w:t>
      </w:r>
      <w:proofErr w:type="spellStart"/>
      <w:r w:rsidR="00961F4F" w:rsidRPr="00961F4F">
        <w:rPr>
          <w:rFonts w:ascii="Consolas" w:hAnsi="Consolas"/>
          <w:color w:val="000000" w:themeColor="text1"/>
          <w:sz w:val="20"/>
          <w:szCs w:val="20"/>
        </w:rPr>
        <w:t>Condition_Tumor_vs_Normal</w:t>
      </w:r>
      <w:proofErr w:type="spellEnd"/>
      <w:r w:rsidRPr="00961F4F">
        <w:rPr>
          <w:rFonts w:ascii="Consolas" w:hAnsi="Consolas"/>
          <w:color w:val="000000" w:themeColor="text1"/>
          <w:sz w:val="20"/>
          <w:szCs w:val="20"/>
        </w:rPr>
        <w:t xml:space="preserve">", </w:t>
      </w:r>
      <w:proofErr w:type="spellStart"/>
      <w:r w:rsidRPr="00961F4F">
        <w:rPr>
          <w:rFonts w:ascii="Consolas" w:hAnsi="Consolas"/>
          <w:color w:val="000000" w:themeColor="text1"/>
          <w:sz w:val="20"/>
          <w:szCs w:val="20"/>
        </w:rPr>
        <w:t>type</w:t>
      </w:r>
      <w:proofErr w:type="spellEnd"/>
      <w:r w:rsidRPr="00961F4F">
        <w:rPr>
          <w:rFonts w:ascii="Consolas" w:hAnsi="Consolas"/>
          <w:color w:val="000000" w:themeColor="text1"/>
          <w:sz w:val="20"/>
          <w:szCs w:val="20"/>
        </w:rPr>
        <w:t>="</w:t>
      </w:r>
      <w:proofErr w:type="spellStart"/>
      <w:r w:rsidRPr="00961F4F">
        <w:rPr>
          <w:rFonts w:ascii="Consolas" w:hAnsi="Consolas"/>
          <w:color w:val="000000" w:themeColor="text1"/>
          <w:sz w:val="20"/>
          <w:szCs w:val="20"/>
        </w:rPr>
        <w:t>apeglm</w:t>
      </w:r>
      <w:proofErr w:type="spellEnd"/>
      <w:r w:rsidRPr="00961F4F">
        <w:rPr>
          <w:rFonts w:ascii="Consolas" w:hAnsi="Consolas"/>
          <w:color w:val="000000" w:themeColor="text1"/>
          <w:sz w:val="20"/>
          <w:szCs w:val="20"/>
        </w:rPr>
        <w:t>", res=re</w:t>
      </w:r>
      <w:r w:rsidR="00961F4F" w:rsidRPr="00961F4F">
        <w:rPr>
          <w:rFonts w:ascii="Consolas" w:hAnsi="Consolas"/>
          <w:color w:val="000000" w:themeColor="text1"/>
          <w:sz w:val="20"/>
          <w:szCs w:val="20"/>
        </w:rPr>
        <w:t>s)</w:t>
      </w:r>
    </w:p>
    <w:p w14:paraId="5F8C6E38" w14:textId="2EC29C10" w:rsidR="00286FA5" w:rsidRPr="00286FA5" w:rsidRDefault="00286FA5" w:rsidP="00286FA5">
      <w:r w:rsidRPr="00286FA5">
        <w:lastRenderedPageBreak/>
        <w:t xml:space="preserve">La ejecución de este algoritmo requirió la especificación de tres parámetros fundamentales. En primer lugar, el argumento </w:t>
      </w:r>
      <w:proofErr w:type="spellStart"/>
      <w:r w:rsidRPr="005B62FD">
        <w:rPr>
          <w:i/>
          <w:iCs/>
        </w:rPr>
        <w:t>coef</w:t>
      </w:r>
      <w:proofErr w:type="spellEnd"/>
      <w:r w:rsidRPr="00286FA5">
        <w:t xml:space="preserve"> define el contraste biológico de interés que se desea evaluar (Tejido Tumoral frente a Tejido Normal</w:t>
      </w:r>
      <w:r w:rsidR="005B62FD">
        <w:t>).</w:t>
      </w:r>
      <w:r w:rsidR="005B62FD" w:rsidRPr="005B62FD">
        <w:t xml:space="preserve"> Es necesario destacar que la nomenclatura de este coeficiente varía en función de las etiquetas del diseño de cada conjunto de datos, siendo identificado previamente mediante </w:t>
      </w:r>
      <w:r w:rsidRPr="00286FA5">
        <w:t xml:space="preserve">la función </w:t>
      </w:r>
      <w:proofErr w:type="spellStart"/>
      <w:r w:rsidRPr="005B62FD">
        <w:rPr>
          <w:i/>
          <w:iCs/>
        </w:rPr>
        <w:t>resultsNames</w:t>
      </w:r>
      <w:proofErr w:type="spellEnd"/>
      <w:r w:rsidRPr="005B62FD">
        <w:rPr>
          <w:i/>
          <w:iCs/>
        </w:rPr>
        <w:t>(</w:t>
      </w:r>
      <w:proofErr w:type="spellStart"/>
      <w:r w:rsidRPr="005B62FD">
        <w:rPr>
          <w:i/>
          <w:iCs/>
        </w:rPr>
        <w:t>dds</w:t>
      </w:r>
      <w:proofErr w:type="spellEnd"/>
      <w:r w:rsidRPr="005B62FD">
        <w:rPr>
          <w:i/>
          <w:iCs/>
        </w:rPr>
        <w:t>)</w:t>
      </w:r>
      <w:r w:rsidRPr="00286FA5">
        <w:t>.</w:t>
      </w:r>
    </w:p>
    <w:p w14:paraId="1BACDA40" w14:textId="28E28B2D" w:rsidR="006C7485" w:rsidRPr="006C7485" w:rsidRDefault="00286FA5" w:rsidP="006C7485">
      <w:r w:rsidRPr="00286FA5">
        <w:t xml:space="preserve">En segundo lugar, se seleccionó el parámetro </w:t>
      </w:r>
      <w:proofErr w:type="spellStart"/>
      <w:r w:rsidRPr="005B62FD">
        <w:rPr>
          <w:i/>
          <w:iCs/>
        </w:rPr>
        <w:t>type</w:t>
      </w:r>
      <w:proofErr w:type="spellEnd"/>
      <w:r w:rsidRPr="005B62FD">
        <w:rPr>
          <w:i/>
          <w:iCs/>
        </w:rPr>
        <w:t xml:space="preserve"> = "</w:t>
      </w:r>
      <w:proofErr w:type="spellStart"/>
      <w:r w:rsidRPr="005B62FD">
        <w:rPr>
          <w:i/>
          <w:iCs/>
        </w:rPr>
        <w:t>apeglm</w:t>
      </w:r>
      <w:proofErr w:type="spellEnd"/>
      <w:r w:rsidRPr="005B62FD">
        <w:rPr>
          <w:i/>
          <w:iCs/>
        </w:rPr>
        <w:t>"</w:t>
      </w:r>
      <w:r w:rsidR="005B62FD">
        <w:rPr>
          <w:i/>
          <w:iCs/>
        </w:rPr>
        <w:t xml:space="preserve"> </w:t>
      </w:r>
      <w:r w:rsidR="005B62FD">
        <w:rPr>
          <w:i/>
          <w:iCs/>
        </w:rPr>
        <w:fldChar w:fldCharType="begin"/>
      </w:r>
      <w:r w:rsidR="00991CA6">
        <w:rPr>
          <w:i/>
          <w:iCs/>
        </w:rPr>
        <w:instrText xml:space="preserve"> ADDIN ZOTERO_ITEM CSL_CITATION {"citationID":"V2YypPVC","properties":{"unsorted":false,"formattedCitation":"(34)","plainCitation":"(34)","noteIndex":0},"citationItems":[{"id":6,"uris":["http://zotero.org/users/local/sechomLT/items/9DJ274IW"],"itemData":{"id":6,"type":"article-journal","abstract":"AbstractMotivation. In RNA-seq differential expression analysis, investigators aim to detect those genes with changes in expression level across conditions","language":"en","source":"academic.oup.com","title":"Heavy-tailed prior distributions for sequence count data: removing the noise and preserving large differences","title-short":"Heavy-tailed prior distributions for sequence count data","URL":"https://dx.doi.org/10.1093/bioinformatics/bty895","author":[{"family":"Zhu","given":"Anqi"},{"family":"Ibrahim","given":"Joseph G."},{"family":"Love","given":"Michael I."}],"accessed":{"date-parts":[["2026",4,20]]}}}],"schema":"https://github.com/citation-style-language/schema/raw/master/csl-citation.json"} </w:instrText>
      </w:r>
      <w:r w:rsidR="005B62FD">
        <w:rPr>
          <w:i/>
          <w:iCs/>
        </w:rPr>
        <w:fldChar w:fldCharType="separate"/>
      </w:r>
      <w:r w:rsidR="00991CA6" w:rsidRPr="00991CA6">
        <w:rPr>
          <w:rFonts w:ascii="Calibri" w:hAnsi="Calibri" w:cs="Calibri"/>
        </w:rPr>
        <w:t>(34)</w:t>
      </w:r>
      <w:r w:rsidR="005B62FD">
        <w:rPr>
          <w:i/>
          <w:iCs/>
        </w:rPr>
        <w:fldChar w:fldCharType="end"/>
      </w:r>
      <w:r w:rsidR="006C7485">
        <w:t>.</w:t>
      </w:r>
      <w:r w:rsidRPr="00286FA5">
        <w:t xml:space="preserve"> </w:t>
      </w:r>
      <w:r w:rsidR="005861D3" w:rsidRPr="005861D3">
        <w:t>Este argumento implementa el método de Estimación Posterior Aproximada para Modelos Lineales Generalizados. E</w:t>
      </w:r>
      <w:r w:rsidR="005861D3">
        <w:t>ste</w:t>
      </w:r>
      <w:r w:rsidR="005861D3" w:rsidRPr="005861D3">
        <w:t xml:space="preserve"> algoritmo utiliza una distribución </w:t>
      </w:r>
      <w:r w:rsidR="005861D3" w:rsidRPr="00C12204">
        <w:t>t</w:t>
      </w:r>
      <w:r w:rsidR="005861D3" w:rsidRPr="005861D3">
        <w:t xml:space="preserve"> de Student a priori para modelar los verdaderos cambios de expresión. </w:t>
      </w:r>
      <w:r w:rsidR="00C12204" w:rsidRPr="00C12204">
        <w:t xml:space="preserve">Bajo este enfoque, el método contrae las estimaciones de cambio de expresión (LFC) hacia cero en aquellos genes que presentan una alta incertidumbre o baja abundancia de lecturas, estabilizando así las estimaciones de los tamaños de efecto. </w:t>
      </w:r>
      <w:r w:rsidR="005861D3" w:rsidRPr="005861D3">
        <w:t xml:space="preserve">Al mismo tiempo, el estimador discrimina con precisión las señales biológicas potentes, lo que permite preservar intactas las magnitudes de los cambios en aquellos genes con diferencias de expresión </w:t>
      </w:r>
      <w:r w:rsidR="00C12204">
        <w:t>pronunciadas</w:t>
      </w:r>
      <w:r w:rsidR="005861D3" w:rsidRPr="005861D3">
        <w:t>.</w:t>
      </w:r>
    </w:p>
    <w:p w14:paraId="5F5AAB05" w14:textId="493AE0DD" w:rsidR="00286FA5" w:rsidRPr="00286FA5" w:rsidRDefault="00286FA5" w:rsidP="00286FA5">
      <w:r w:rsidRPr="00286FA5">
        <w:t xml:space="preserve">Por último, se incorporó explícitamente el argumento </w:t>
      </w:r>
      <w:r w:rsidRPr="006C7485">
        <w:rPr>
          <w:i/>
          <w:iCs/>
        </w:rPr>
        <w:t>res = res</w:t>
      </w:r>
      <w:r w:rsidRPr="00286FA5">
        <w:t xml:space="preserve">. Esta configuración es de vital importancia en </w:t>
      </w:r>
      <w:r w:rsidR="005861D3">
        <w:t>el</w:t>
      </w:r>
      <w:r w:rsidRPr="00286FA5">
        <w:t xml:space="preserve"> flujo de trabajo, ya que </w:t>
      </w:r>
      <w:r w:rsidR="006C7485">
        <w:t>indica</w:t>
      </w:r>
      <w:r w:rsidRPr="00286FA5">
        <w:t xml:space="preserve"> a </w:t>
      </w:r>
      <w:proofErr w:type="spellStart"/>
      <w:r w:rsidRPr="006C7485">
        <w:rPr>
          <w:i/>
          <w:iCs/>
        </w:rPr>
        <w:t>lfcShrink</w:t>
      </w:r>
      <w:proofErr w:type="spellEnd"/>
      <w:r w:rsidRPr="006C7485">
        <w:rPr>
          <w:i/>
          <w:iCs/>
        </w:rPr>
        <w:t>()</w:t>
      </w:r>
      <w:r w:rsidRPr="00286FA5">
        <w:t xml:space="preserve"> </w:t>
      </w:r>
      <w:r w:rsidR="006C7485">
        <w:t>que debe</w:t>
      </w:r>
      <w:r w:rsidRPr="00286FA5">
        <w:t xml:space="preserve"> heredar los </w:t>
      </w:r>
      <w:r w:rsidRPr="006C7485">
        <w:t>p-valores</w:t>
      </w:r>
      <w:r w:rsidR="006C7485">
        <w:t xml:space="preserve"> (</w:t>
      </w:r>
      <w:proofErr w:type="spellStart"/>
      <w:r w:rsidR="006C7485" w:rsidRPr="006C7485">
        <w:rPr>
          <w:i/>
          <w:iCs/>
        </w:rPr>
        <w:t>pvalue</w:t>
      </w:r>
      <w:proofErr w:type="spellEnd"/>
      <w:r w:rsidR="006C7485">
        <w:t>)</w:t>
      </w:r>
      <w:r w:rsidRPr="00286FA5">
        <w:t xml:space="preserve"> y los </w:t>
      </w:r>
      <w:r w:rsidRPr="006C7485">
        <w:t>p-valores</w:t>
      </w:r>
      <w:r w:rsidRPr="00286FA5">
        <w:t xml:space="preserve"> ajustados</w:t>
      </w:r>
      <w:r w:rsidR="006C7485">
        <w:t xml:space="preserve"> (</w:t>
      </w:r>
      <w:proofErr w:type="spellStart"/>
      <w:r w:rsidR="006C7485" w:rsidRPr="006C7485">
        <w:rPr>
          <w:i/>
          <w:iCs/>
        </w:rPr>
        <w:t>padj</w:t>
      </w:r>
      <w:proofErr w:type="spellEnd"/>
      <w:r w:rsidR="006C7485">
        <w:t>)</w:t>
      </w:r>
      <w:r w:rsidRPr="00286FA5">
        <w:t xml:space="preserve"> calculados bajo la hipótesis de intervalo previa (</w:t>
      </w:r>
      <w:proofErr w:type="spellStart"/>
      <w:r w:rsidRPr="006C7485">
        <w:rPr>
          <w:i/>
          <w:iCs/>
        </w:rPr>
        <w:t>lfcThreshold</w:t>
      </w:r>
      <w:proofErr w:type="spellEnd"/>
      <w:r w:rsidRPr="006C7485">
        <w:rPr>
          <w:i/>
          <w:iCs/>
        </w:rPr>
        <w:t xml:space="preserve"> = 0.585</w:t>
      </w:r>
      <w:r w:rsidRPr="00286FA5">
        <w:t>). De este modo, el método recalcula y estabiliza únicamente las magnitudes de los LFC y sus errores estándar sin alterar la potencia estadística del test de Wald original.</w:t>
      </w:r>
    </w:p>
    <w:p w14:paraId="6F3F3750" w14:textId="015A2490" w:rsidR="00B3758F" w:rsidRPr="00B3758F" w:rsidRDefault="00B3758F" w:rsidP="00B3758F">
      <w:r w:rsidRPr="00B3758F">
        <w:t xml:space="preserve">La matriz de resultados obtenida tras </w:t>
      </w:r>
      <w:r>
        <w:t>el encogimiento</w:t>
      </w:r>
      <w:r w:rsidRPr="00B3758F">
        <w:t xml:space="preserve"> de los cambios de expresión se empleó, en primera instancia, para la visualización global del experimento mediante diagramas de dispersión MA (</w:t>
      </w:r>
      <w:r w:rsidRPr="00B3758F">
        <w:rPr>
          <w:i/>
          <w:iCs/>
        </w:rPr>
        <w:t>MA-</w:t>
      </w:r>
      <w:proofErr w:type="spellStart"/>
      <w:r w:rsidRPr="00B3758F">
        <w:rPr>
          <w:i/>
          <w:iCs/>
        </w:rPr>
        <w:t>plots</w:t>
      </w:r>
      <w:proofErr w:type="spellEnd"/>
      <w:r w:rsidRPr="00B3758F">
        <w:t>) y gráficos de volcán (</w:t>
      </w:r>
      <w:proofErr w:type="spellStart"/>
      <w:r w:rsidRPr="00B3758F">
        <w:rPr>
          <w:i/>
          <w:iCs/>
        </w:rPr>
        <w:t>volcano</w:t>
      </w:r>
      <w:proofErr w:type="spellEnd"/>
      <w:r w:rsidRPr="00B3758F">
        <w:rPr>
          <w:i/>
          <w:iCs/>
        </w:rPr>
        <w:t xml:space="preserve"> </w:t>
      </w:r>
      <w:proofErr w:type="spellStart"/>
      <w:r w:rsidRPr="00B3758F">
        <w:rPr>
          <w:i/>
          <w:iCs/>
        </w:rPr>
        <w:t>plots</w:t>
      </w:r>
      <w:proofErr w:type="spellEnd"/>
      <w:r w:rsidRPr="00B3758F">
        <w:t xml:space="preserve">). </w:t>
      </w:r>
      <w:r w:rsidR="005861D3" w:rsidRPr="005861D3">
        <w:t xml:space="preserve">Los primeros se utilizaron para examinar la relación entre la abundancia de los transcritos y la magnitud del cambio. Por su parte, los gráficos de volcán permitieron identificar visualmente aquellos genes con una relevancia estadística y biológica sobresaliente. Posteriormente, tras incorporar la anotación molecular detallada en el siguiente apartado, los transcritos se ordenaron de forma </w:t>
      </w:r>
      <w:r w:rsidR="00E932B5">
        <w:t>as</w:t>
      </w:r>
      <w:r w:rsidR="005861D3" w:rsidRPr="005861D3">
        <w:t>cendente según su p-valor ajustado</w:t>
      </w:r>
      <w:r w:rsidRPr="00B3758F">
        <w:t>. Sobre este conjunto, se aplicó un filtro estricto para aislar los DEGs. Para ello, se exigió una tasa de falso descubrimiento corregida menor al 5% (</w:t>
      </w:r>
      <m:oMath>
        <m:r>
          <w:rPr>
            <w:rFonts w:ascii="Cambria Math" w:hAnsi="Cambria Math"/>
          </w:rPr>
          <m:t>padj &lt; 0.05</m:t>
        </m:r>
      </m:oMath>
      <w:r w:rsidRPr="00B3758F">
        <w:t xml:space="preserve">), la exclusión de valores ausentes y una magnitud de cambio superior a </w:t>
      </w:r>
      <m:oMath>
        <m:r>
          <w:rPr>
            <w:rFonts w:ascii="Cambria Math" w:hAnsi="Cambria Math"/>
          </w:rPr>
          <m:t>1,5</m:t>
        </m:r>
      </m:oMath>
      <w:r w:rsidRPr="00B3758F">
        <w:t xml:space="preserve"> veces en valor absoluto (</w:t>
      </w:r>
      <m:oMath>
        <m:sSub>
          <m:sSubPr>
            <m:ctrlPr>
              <w:rPr>
                <w:rFonts w:ascii="Cambria Math" w:hAnsi="Cambria Math"/>
                <w:i/>
                <w:color w:val="000000" w:themeColor="text1"/>
              </w:rPr>
            </m:ctrlPr>
          </m:sSubPr>
          <m:e>
            <m:r>
              <w:rPr>
                <w:rFonts w:ascii="Cambria Math" w:hAnsi="Cambria Math"/>
                <w:color w:val="000000" w:themeColor="text1"/>
              </w:rPr>
              <m:t>|log</m:t>
            </m:r>
          </m:e>
          <m:sub>
            <m:r>
              <w:rPr>
                <w:rFonts w:ascii="Cambria Math" w:hAnsi="Cambria Math"/>
                <w:color w:val="000000" w:themeColor="text1"/>
              </w:rPr>
              <m:t>2</m:t>
            </m:r>
          </m:sub>
        </m:sSub>
        <m:r>
          <w:rPr>
            <w:rFonts w:ascii="Cambria Math" w:hAnsi="Cambria Math"/>
            <w:color w:val="000000" w:themeColor="text1"/>
          </w:rPr>
          <m:t>FC|&gt;0.585</m:t>
        </m:r>
      </m:oMath>
      <w:r w:rsidRPr="00B3758F">
        <w:t>).</w:t>
      </w:r>
    </w:p>
    <w:p w14:paraId="7B97FC65" w14:textId="071A9155" w:rsidR="00B3758F" w:rsidRPr="00B3758F" w:rsidRDefault="00B3758F" w:rsidP="00B3758F">
      <w:r w:rsidRPr="00B3758F">
        <w:lastRenderedPageBreak/>
        <w:t>A partir de este listado depurado, se extrajeron dos subconjuntos específicos</w:t>
      </w:r>
      <w:r w:rsidR="008145BB">
        <w:t xml:space="preserve"> en formato vectorial</w:t>
      </w:r>
      <w:r w:rsidRPr="00B3758F">
        <w:t>. El primero, compuesto por los 20 genes más significativos (Top 20), se destinó a la generación de mapas de calor (</w:t>
      </w:r>
      <w:proofErr w:type="spellStart"/>
      <w:r w:rsidRPr="00B3758F">
        <w:rPr>
          <w:i/>
          <w:iCs/>
        </w:rPr>
        <w:t>heatmaps</w:t>
      </w:r>
      <w:proofErr w:type="spellEnd"/>
      <w:r w:rsidRPr="00B3758F">
        <w:t>) y diagramas de caja (</w:t>
      </w:r>
      <w:proofErr w:type="spellStart"/>
      <w:r w:rsidRPr="00B3758F">
        <w:rPr>
          <w:i/>
          <w:iCs/>
        </w:rPr>
        <w:t>boxplots</w:t>
      </w:r>
      <w:proofErr w:type="spellEnd"/>
      <w:r w:rsidRPr="00B3758F">
        <w:t>) comparativos de los niveles de expresión por condición. El segundo, conformado por los 1</w:t>
      </w:r>
      <w:r w:rsidR="0099114B">
        <w:t>.</w:t>
      </w:r>
      <w:r w:rsidRPr="00B3758F">
        <w:t>500 genes principales (Top 1500), se empleó para ejecutar un nuevo</w:t>
      </w:r>
      <w:r w:rsidR="00B556D4">
        <w:t xml:space="preserve"> PCA</w:t>
      </w:r>
      <w:r w:rsidRPr="00B3758F">
        <w:t xml:space="preserve">. A diferencia de la aproximación exploratoria inicial del estudio, esta segunda </w:t>
      </w:r>
      <w:r w:rsidR="00B556D4">
        <w:t>representación</w:t>
      </w:r>
      <w:r w:rsidRPr="00B3758F">
        <w:t xml:space="preserve"> buscaba evaluar si la restricción exclusiva a la señal biológica más robusta lograba una separación y delimitación mucho más clara de los grupos </w:t>
      </w:r>
      <w:r w:rsidR="00B556D4">
        <w:t>de interés</w:t>
      </w:r>
      <w:r w:rsidRPr="00B3758F">
        <w:t>. Finalmente, la tabla completa con los DEGs filtrados se exportó en formato CSV como archivo de salida definitivo para l</w:t>
      </w:r>
      <w:r w:rsidR="00D1673A">
        <w:t>o</w:t>
      </w:r>
      <w:r w:rsidR="00372141">
        <w:t>s</w:t>
      </w:r>
      <w:r w:rsidR="00D1673A">
        <w:t xml:space="preserve"> pasos</w:t>
      </w:r>
      <w:r w:rsidRPr="00B3758F">
        <w:t xml:space="preserve"> de integración</w:t>
      </w:r>
      <w:r w:rsidR="00B556D4">
        <w:t xml:space="preserve"> e interpretación</w:t>
      </w:r>
      <w:r w:rsidRPr="00B3758F">
        <w:t>.</w:t>
      </w:r>
    </w:p>
    <w:p w14:paraId="5ED18104" w14:textId="01C08473" w:rsidR="00B556D4" w:rsidRPr="00881FFC" w:rsidRDefault="00B556D4" w:rsidP="00B556D4">
      <w:pPr>
        <w:pStyle w:val="Ttulo2"/>
        <w:rPr>
          <w:caps w:val="0"/>
        </w:rPr>
      </w:pPr>
      <w:bookmarkStart w:id="19" w:name="_Toc239417045"/>
      <w:r w:rsidRPr="00B556D4">
        <w:rPr>
          <w:caps w:val="0"/>
        </w:rPr>
        <w:t xml:space="preserve">Anotación </w:t>
      </w:r>
      <w:r>
        <w:rPr>
          <w:caps w:val="0"/>
        </w:rPr>
        <w:t>M</w:t>
      </w:r>
      <w:r w:rsidRPr="00B556D4">
        <w:rPr>
          <w:caps w:val="0"/>
        </w:rPr>
        <w:t xml:space="preserve">olecular y </w:t>
      </w:r>
      <w:r>
        <w:rPr>
          <w:caps w:val="0"/>
        </w:rPr>
        <w:t>M</w:t>
      </w:r>
      <w:r w:rsidRPr="00B556D4">
        <w:rPr>
          <w:caps w:val="0"/>
        </w:rPr>
        <w:t xml:space="preserve">apeo de </w:t>
      </w:r>
      <w:r>
        <w:rPr>
          <w:caps w:val="0"/>
        </w:rPr>
        <w:t>I</w:t>
      </w:r>
      <w:r w:rsidRPr="00B556D4">
        <w:rPr>
          <w:caps w:val="0"/>
        </w:rPr>
        <w:t xml:space="preserve">dentificadores </w:t>
      </w:r>
      <w:r>
        <w:rPr>
          <w:caps w:val="0"/>
        </w:rPr>
        <w:t>F</w:t>
      </w:r>
      <w:r w:rsidRPr="00B556D4">
        <w:rPr>
          <w:caps w:val="0"/>
        </w:rPr>
        <w:t>uncionales</w:t>
      </w:r>
      <w:bookmarkEnd w:id="19"/>
    </w:p>
    <w:p w14:paraId="7AEC17B4" w14:textId="37A96DF6" w:rsidR="00BB2C36" w:rsidRPr="00BB2C36" w:rsidRDefault="007E61EB" w:rsidP="00BB2C36">
      <w:r>
        <w:t>D</w:t>
      </w:r>
      <w:r w:rsidR="00BB2C36" w:rsidRPr="00BB2C36">
        <w:t xml:space="preserve">espués de la obtención de las </w:t>
      </w:r>
      <w:r w:rsidR="00D66904" w:rsidRPr="00D66904">
        <w:t>tablas de resultados de expresión diferencial optimizadas</w:t>
      </w:r>
      <w:r w:rsidR="00D66904">
        <w:t xml:space="preserve"> </w:t>
      </w:r>
      <w:r w:rsidR="00BB2C36" w:rsidRPr="00BB2C36">
        <w:t>mediante la contracción de los cambios de expresión (</w:t>
      </w:r>
      <w:r w:rsidR="00BB2C36" w:rsidRPr="00BB2C36">
        <w:rPr>
          <w:i/>
          <w:iCs/>
        </w:rPr>
        <w:t>LFC-</w:t>
      </w:r>
      <w:proofErr w:type="spellStart"/>
      <w:r w:rsidR="00BB2C36" w:rsidRPr="00BB2C36">
        <w:rPr>
          <w:i/>
          <w:iCs/>
        </w:rPr>
        <w:t>shrinkage</w:t>
      </w:r>
      <w:proofErr w:type="spellEnd"/>
      <w:r w:rsidR="00BB2C36" w:rsidRPr="00BB2C36">
        <w:t xml:space="preserve">), y de forma previa al ordenamiento y filtrado por significación estadística descrito en el apartado anterior, se llevó a cabo </w:t>
      </w:r>
      <w:r>
        <w:t>la</w:t>
      </w:r>
      <w:r w:rsidR="00BB2C36" w:rsidRPr="00BB2C36">
        <w:t xml:space="preserve"> fase de anotación molecular. Este paso es </w:t>
      </w:r>
      <w:r>
        <w:t>esencial</w:t>
      </w:r>
      <w:r w:rsidR="00BB2C36" w:rsidRPr="00BB2C36">
        <w:t xml:space="preserve"> </w:t>
      </w:r>
      <w:r>
        <w:t xml:space="preserve">puesto </w:t>
      </w:r>
      <w:r w:rsidR="00BB2C36" w:rsidRPr="00BB2C36">
        <w:t xml:space="preserve">que las matrices de conteos originales proceden de diferentes plataformas de secuenciación y flujos de preprocesamiento, lo que introduce una marcada heterogeneidad en la nomenclatura de los genes. </w:t>
      </w:r>
      <w:r w:rsidR="005F67B0" w:rsidRPr="005F67B0">
        <w:t xml:space="preserve">Con el propósito de garantizar la interoperabilidad de los datos, se diseñó una estrategia unificada de mapeo hacia dos nomenclaturas estándar. La primera comprende los símbolos oficiales del </w:t>
      </w:r>
      <w:hyperlink r:id="rId16" w:history="1">
        <w:r w:rsidR="005F67B0" w:rsidRPr="005F67B0">
          <w:rPr>
            <w:rStyle w:val="Hipervnculo"/>
            <w:i/>
            <w:iCs/>
          </w:rPr>
          <w:t xml:space="preserve">HUGO Gene Nomenclature </w:t>
        </w:r>
        <w:proofErr w:type="spellStart"/>
        <w:r w:rsidR="005F67B0" w:rsidRPr="005F67B0">
          <w:rPr>
            <w:rStyle w:val="Hipervnculo"/>
            <w:i/>
            <w:iCs/>
          </w:rPr>
          <w:t>Committee</w:t>
        </w:r>
        <w:proofErr w:type="spellEnd"/>
      </w:hyperlink>
      <w:r w:rsidR="005F67B0" w:rsidRPr="005F67B0">
        <w:t xml:space="preserve"> (HGNC </w:t>
      </w:r>
      <w:r w:rsidR="005F67B0" w:rsidRPr="005F67B0">
        <w:rPr>
          <w:i/>
          <w:iCs/>
        </w:rPr>
        <w:t>Gene Symbol</w:t>
      </w:r>
      <w:r w:rsidR="005F67B0" w:rsidRPr="005F67B0">
        <w:t xml:space="preserve">), indispensables para la interpretación biomédica y la visualización gráfica. La segunda incluye los códigos numéricos </w:t>
      </w:r>
      <w:proofErr w:type="spellStart"/>
      <w:r w:rsidR="005F67B0" w:rsidRPr="005F67B0">
        <w:rPr>
          <w:i/>
          <w:iCs/>
        </w:rPr>
        <w:t>Entrez</w:t>
      </w:r>
      <w:proofErr w:type="spellEnd"/>
      <w:r w:rsidR="005F67B0" w:rsidRPr="005F67B0">
        <w:rPr>
          <w:i/>
          <w:iCs/>
        </w:rPr>
        <w:t xml:space="preserve"> ID</w:t>
      </w:r>
      <w:r w:rsidR="005F67B0" w:rsidRPr="005F67B0">
        <w:t xml:space="preserve"> del NCBI para los análisis de enriquecimiento funcional subsiguientes</w:t>
      </w:r>
      <w:r w:rsidR="00BB2C36" w:rsidRPr="00BB2C36">
        <w:t>.</w:t>
      </w:r>
    </w:p>
    <w:p w14:paraId="4E56557E" w14:textId="5B27062A" w:rsidR="00BB2C36" w:rsidRPr="00BB2C36" w:rsidRDefault="00BB2C36" w:rsidP="00BB2C36">
      <w:r w:rsidRPr="00BB2C36">
        <w:t xml:space="preserve">Debido a la </w:t>
      </w:r>
      <w:r w:rsidR="00C03218">
        <w:t xml:space="preserve">diversa </w:t>
      </w:r>
      <w:r w:rsidRPr="00BB2C36">
        <w:t>naturaleza de los datos de entrada, el procedimiento de anotación se adaptó de forma específica a tres bloques metodológicos:</w:t>
      </w:r>
    </w:p>
    <w:p w14:paraId="611A9B69" w14:textId="3AC50CB3" w:rsidR="00BB2C36" w:rsidRPr="00BB2C36" w:rsidRDefault="00BB2C36">
      <w:pPr>
        <w:numPr>
          <w:ilvl w:val="0"/>
          <w:numId w:val="10"/>
        </w:numPr>
      </w:pPr>
      <w:r w:rsidRPr="00BB2C36">
        <w:rPr>
          <w:b/>
          <w:bCs/>
        </w:rPr>
        <w:t>Cohortes del pipeline estandarizado del NCBI (GSE50760, GSE104836, GSE142279 y GSE156451):</w:t>
      </w:r>
      <w:r w:rsidRPr="00BB2C36">
        <w:t xml:space="preserve"> Al haber sido preprocesados por la infraestructura de</w:t>
      </w:r>
      <w:r w:rsidR="00C03218">
        <w:t>l</w:t>
      </w:r>
      <w:r w:rsidRPr="00BB2C36">
        <w:t xml:space="preserve"> NCB</w:t>
      </w:r>
      <w:r w:rsidR="00C03218">
        <w:t>I</w:t>
      </w:r>
      <w:r w:rsidRPr="00BB2C36">
        <w:t xml:space="preserve">, estos conjuntos de datos empleaban de forma nativa identificadores </w:t>
      </w:r>
      <w:proofErr w:type="spellStart"/>
      <w:r w:rsidRPr="00BB2C36">
        <w:rPr>
          <w:i/>
          <w:iCs/>
        </w:rPr>
        <w:t>Entrez</w:t>
      </w:r>
      <w:proofErr w:type="spellEnd"/>
      <w:r w:rsidRPr="00BB2C36">
        <w:rPr>
          <w:i/>
          <w:iCs/>
        </w:rPr>
        <w:t xml:space="preserve"> ID</w:t>
      </w:r>
      <w:r w:rsidRPr="00BB2C36">
        <w:t xml:space="preserve"> como nombres de fila. </w:t>
      </w:r>
      <w:r w:rsidR="004F46ED" w:rsidRPr="004F46ED">
        <w:t>Para obtener los símbolos oficiales de los genes (</w:t>
      </w:r>
      <w:r w:rsidR="004F46ED" w:rsidRPr="004F46ED">
        <w:rPr>
          <w:i/>
          <w:iCs/>
        </w:rPr>
        <w:t>Gene Symbols</w:t>
      </w:r>
      <w:r w:rsidR="004F46ED" w:rsidRPr="004F46ED">
        <w:t xml:space="preserve">), se utilizó la </w:t>
      </w:r>
      <w:r w:rsidR="004F46ED">
        <w:t>librería</w:t>
      </w:r>
      <w:r w:rsidR="004F46ED" w:rsidRPr="004F46ED">
        <w:t xml:space="preserve"> </w:t>
      </w:r>
      <w:proofErr w:type="spellStart"/>
      <w:r w:rsidR="004F46ED" w:rsidRPr="004F46ED">
        <w:rPr>
          <w:i/>
          <w:iCs/>
        </w:rPr>
        <w:t>AnnotationHub</w:t>
      </w:r>
      <w:proofErr w:type="spellEnd"/>
      <w:r w:rsidR="004F46ED" w:rsidRPr="004F46ED">
        <w:t xml:space="preserve"> con el fin de consultar la base de datos de anotación </w:t>
      </w:r>
      <w:r w:rsidR="004F46ED" w:rsidRPr="004F46ED">
        <w:lastRenderedPageBreak/>
        <w:t>humana</w:t>
      </w:r>
      <w:r w:rsidR="00E91C43" w:rsidRPr="00E91C43">
        <w:t xml:space="preserve"> </w:t>
      </w:r>
      <w:r w:rsidR="00E91C43">
        <w:t xml:space="preserve">mediante </w:t>
      </w:r>
      <w:r w:rsidR="00E91C43" w:rsidRPr="00E91C43">
        <w:t>el registro específico AH121953</w:t>
      </w:r>
      <w:r w:rsidR="004F46ED" w:rsidRPr="004F46ED">
        <w:t xml:space="preserve">. A través de este proceso se tradujeron las nomenclaturas y, en aquellos casos donde un identificador presentaba </w:t>
      </w:r>
      <w:r w:rsidR="004F46ED">
        <w:t xml:space="preserve">varias </w:t>
      </w:r>
      <w:r w:rsidR="004F46ED" w:rsidRPr="004F46ED">
        <w:t>correspondencia</w:t>
      </w:r>
      <w:r w:rsidR="004F46ED">
        <w:t>s</w:t>
      </w:r>
      <w:r w:rsidR="004F46ED" w:rsidRPr="004F46ED">
        <w:t>, se conservó únicamente el primer elemento registrado. Esto permitió obtener una conversión limpia y uniforme para todos los genes de estas matrices</w:t>
      </w:r>
      <w:r w:rsidRPr="00BB2C36">
        <w:t>.</w:t>
      </w:r>
    </w:p>
    <w:p w14:paraId="54C906C6" w14:textId="7C1A34CE" w:rsidR="00BB2C36" w:rsidRPr="00BB2C36" w:rsidRDefault="00BB2C36">
      <w:pPr>
        <w:numPr>
          <w:ilvl w:val="0"/>
          <w:numId w:val="10"/>
        </w:numPr>
      </w:pPr>
      <w:r w:rsidRPr="00BB2C36">
        <w:rPr>
          <w:b/>
          <w:bCs/>
        </w:rPr>
        <w:t>Cohorte de secuenciación independiente (GSE164541):</w:t>
      </w:r>
      <w:r w:rsidRPr="00BB2C36">
        <w:t xml:space="preserve"> </w:t>
      </w:r>
      <w:r w:rsidR="00E91C43">
        <w:t>Su</w:t>
      </w:r>
      <w:r w:rsidRPr="00BB2C36">
        <w:t xml:space="preserve"> </w:t>
      </w:r>
      <w:r w:rsidR="00E91C43">
        <w:t xml:space="preserve">anotación </w:t>
      </w:r>
      <w:r w:rsidRPr="00BB2C36">
        <w:t xml:space="preserve">requirió una aproximación </w:t>
      </w:r>
      <w:r w:rsidR="004F46ED">
        <w:t>diferente</w:t>
      </w:r>
      <w:r w:rsidRPr="00BB2C36">
        <w:t xml:space="preserve"> </w:t>
      </w:r>
      <w:r w:rsidR="004F46ED" w:rsidRPr="004F46ED">
        <w:t xml:space="preserve">ya que su matriz de conteos se obtuvo a partir de los datos suplementarios del estudio original, indexada mediante identificadores de </w:t>
      </w:r>
      <w:proofErr w:type="spellStart"/>
      <w:r w:rsidR="004F46ED" w:rsidRPr="004F46ED">
        <w:t>Ensembl</w:t>
      </w:r>
      <w:proofErr w:type="spellEnd"/>
      <w:r w:rsidRPr="00BB2C36">
        <w:t xml:space="preserve">. </w:t>
      </w:r>
      <w:r w:rsidR="00E91C43" w:rsidRPr="00E91C43">
        <w:t>A diferencia de los códigos de</w:t>
      </w:r>
      <w:r w:rsidR="00B7555F">
        <w:t>l</w:t>
      </w:r>
      <w:r w:rsidR="00E91C43" w:rsidRPr="00E91C43">
        <w:t xml:space="preserve"> NCBI, la nomenclatura de </w:t>
      </w:r>
      <w:proofErr w:type="spellStart"/>
      <w:r w:rsidR="00E91C43" w:rsidRPr="00E91C43">
        <w:t>Ensembl</w:t>
      </w:r>
      <w:proofErr w:type="spellEnd"/>
      <w:r w:rsidR="00E91C43" w:rsidRPr="00E91C43">
        <w:t xml:space="preserve"> varía notablemente según la versión de la base de datos debido a las constantes actualizaciones del genoma. Para evitar la pérdida de información por estas discrepancias, se utilizó</w:t>
      </w:r>
      <w:r w:rsidR="00E91C43">
        <w:t xml:space="preserve"> </w:t>
      </w:r>
      <w:proofErr w:type="spellStart"/>
      <w:r w:rsidR="00E91C43" w:rsidRPr="00E91C43">
        <w:rPr>
          <w:i/>
          <w:iCs/>
        </w:rPr>
        <w:t>AnnotationHub</w:t>
      </w:r>
      <w:proofErr w:type="spellEnd"/>
      <w:r w:rsidR="00E91C43" w:rsidRPr="00E91C43">
        <w:t xml:space="preserve"> para consultar la base de datos genómica de </w:t>
      </w:r>
      <w:proofErr w:type="spellStart"/>
      <w:r w:rsidR="00E91C43" w:rsidRPr="00E91C43">
        <w:t>Ensembl</w:t>
      </w:r>
      <w:proofErr w:type="spellEnd"/>
      <w:r w:rsidR="00E91C43" w:rsidRPr="00E91C43">
        <w:t xml:space="preserve"> (</w:t>
      </w:r>
      <w:proofErr w:type="spellStart"/>
      <w:r w:rsidR="00E91C43" w:rsidRPr="00E91C43">
        <w:rPr>
          <w:i/>
          <w:iCs/>
        </w:rPr>
        <w:t>EnsDb</w:t>
      </w:r>
      <w:proofErr w:type="spellEnd"/>
      <w:r w:rsidR="00E91C43" w:rsidRPr="00E91C43">
        <w:t>) en su versión 103</w:t>
      </w:r>
      <w:r w:rsidR="00E91C43">
        <w:t xml:space="preserve"> (registro </w:t>
      </w:r>
      <w:r w:rsidR="00E91C43" w:rsidRPr="00E91C43">
        <w:t>AH89426</w:t>
      </w:r>
      <w:r w:rsidR="00E91C43">
        <w:t>)</w:t>
      </w:r>
      <w:r w:rsidR="00E91C43" w:rsidRPr="00E91C43">
        <w:t>, que es la contemporánea a</w:t>
      </w:r>
      <w:r w:rsidR="00E91C43">
        <w:t xml:space="preserve"> dicho </w:t>
      </w:r>
      <w:r w:rsidR="00E91C43" w:rsidRPr="00E91C43">
        <w:t xml:space="preserve">estudio. A partir de este recurso, se realizó la conversión de cada código </w:t>
      </w:r>
      <w:proofErr w:type="spellStart"/>
      <w:r w:rsidR="00E91C43" w:rsidRPr="00E91C43">
        <w:t>Ensembl</w:t>
      </w:r>
      <w:proofErr w:type="spellEnd"/>
      <w:r w:rsidR="00E91C43" w:rsidRPr="00E91C43">
        <w:t xml:space="preserve"> para obtener tanto su </w:t>
      </w:r>
      <w:proofErr w:type="spellStart"/>
      <w:r w:rsidR="00E91C43" w:rsidRPr="00E91C43">
        <w:rPr>
          <w:i/>
          <w:iCs/>
        </w:rPr>
        <w:t>Entrez</w:t>
      </w:r>
      <w:proofErr w:type="spellEnd"/>
      <w:r w:rsidR="00E91C43" w:rsidRPr="00E91C43">
        <w:rPr>
          <w:i/>
          <w:iCs/>
        </w:rPr>
        <w:t xml:space="preserve"> ID</w:t>
      </w:r>
      <w:r w:rsidR="00E91C43" w:rsidRPr="00E91C43">
        <w:t xml:space="preserve"> como su </w:t>
      </w:r>
      <w:r w:rsidR="00E91C43" w:rsidRPr="00E91C43">
        <w:rPr>
          <w:i/>
          <w:iCs/>
        </w:rPr>
        <w:t>Gene Symbol</w:t>
      </w:r>
      <w:r w:rsidR="00E91C43" w:rsidRPr="00E91C43">
        <w:t>.</w:t>
      </w:r>
    </w:p>
    <w:p w14:paraId="3F15CEE5" w14:textId="7F3D88C1" w:rsidR="00BB2C36" w:rsidRPr="00BB2C36" w:rsidRDefault="00BB2C36">
      <w:pPr>
        <w:numPr>
          <w:ilvl w:val="0"/>
          <w:numId w:val="10"/>
        </w:numPr>
      </w:pPr>
      <w:r w:rsidRPr="00BB2C36">
        <w:rPr>
          <w:b/>
          <w:bCs/>
        </w:rPr>
        <w:t>Cohorte de validación masiva (TCGA-COAD):</w:t>
      </w:r>
      <w:r w:rsidRPr="00BB2C36">
        <w:t xml:space="preserve"> </w:t>
      </w:r>
      <w:r w:rsidR="00665961" w:rsidRPr="00665961">
        <w:t xml:space="preserve">Los datos de esta cohorte, procedentes del portal </w:t>
      </w:r>
      <w:r w:rsidR="00665961">
        <w:t xml:space="preserve">de </w:t>
      </w:r>
      <w:r w:rsidR="00665961" w:rsidRPr="00665961">
        <w:t xml:space="preserve">GDC, están armonizados bajo la anotación GENCODE v36 sobre el ensamblaje de referencia GRCh38. Aunque los archivos individuales contenían tanto códigos de </w:t>
      </w:r>
      <w:proofErr w:type="spellStart"/>
      <w:r w:rsidR="00665961" w:rsidRPr="00665961">
        <w:t>Ensembl</w:t>
      </w:r>
      <w:proofErr w:type="spellEnd"/>
      <w:r w:rsidR="00665961" w:rsidRPr="00665961">
        <w:t xml:space="preserve"> como sus nombres comunes, la matriz unificada de conteos </w:t>
      </w:r>
      <w:r w:rsidR="00152E4A" w:rsidRPr="00152E4A">
        <w:t xml:space="preserve">se construyó priorizando los identificadores de </w:t>
      </w:r>
      <w:proofErr w:type="spellStart"/>
      <w:r w:rsidR="00152E4A" w:rsidRPr="00152E4A">
        <w:t>Ensembl</w:t>
      </w:r>
      <w:proofErr w:type="spellEnd"/>
      <w:r w:rsidR="00152E4A" w:rsidRPr="00152E4A">
        <w:t xml:space="preserve"> para asegurar la integridad estructural</w:t>
      </w:r>
      <w:r w:rsidR="00665961" w:rsidRPr="00665961">
        <w:t xml:space="preserve">. Para la fase de anotación, los </w:t>
      </w:r>
      <w:r w:rsidR="00665961" w:rsidRPr="00665961">
        <w:rPr>
          <w:i/>
          <w:iCs/>
        </w:rPr>
        <w:t>Gene Symbols</w:t>
      </w:r>
      <w:r w:rsidR="00665961" w:rsidRPr="00665961">
        <w:t xml:space="preserve"> </w:t>
      </w:r>
      <w:r w:rsidR="00152E4A" w:rsidRPr="00152E4A">
        <w:t>se recuperaron directamente de las matrices originales de los archivos individuales</w:t>
      </w:r>
      <w:r w:rsidR="00665961" w:rsidRPr="00665961">
        <w:t xml:space="preserve">, lo que garantizó la traducción de la totalidad de los transcritos. De forma paralela, para obtener los códigos </w:t>
      </w:r>
      <w:proofErr w:type="spellStart"/>
      <w:r w:rsidR="00665961" w:rsidRPr="00665961">
        <w:rPr>
          <w:i/>
          <w:iCs/>
        </w:rPr>
        <w:t>Entrez</w:t>
      </w:r>
      <w:proofErr w:type="spellEnd"/>
      <w:r w:rsidR="00665961" w:rsidRPr="00665961">
        <w:rPr>
          <w:i/>
          <w:iCs/>
        </w:rPr>
        <w:t xml:space="preserve"> ID</w:t>
      </w:r>
      <w:r w:rsidR="00665961" w:rsidRPr="00665961">
        <w:t xml:space="preserve"> sin introducir sesgos por el desfase entre bases de datos, se utilizó </w:t>
      </w:r>
      <w:proofErr w:type="spellStart"/>
      <w:r w:rsidR="00665961" w:rsidRPr="00665961">
        <w:rPr>
          <w:i/>
          <w:iCs/>
        </w:rPr>
        <w:t>AnnotationHub</w:t>
      </w:r>
      <w:proofErr w:type="spellEnd"/>
      <w:r w:rsidR="00665961" w:rsidRPr="00665961">
        <w:t xml:space="preserve"> para consultar la versión 103 de la base de datos genómica de </w:t>
      </w:r>
      <w:proofErr w:type="spellStart"/>
      <w:r w:rsidR="00665961" w:rsidRPr="00665961">
        <w:t>Ensembl</w:t>
      </w:r>
      <w:proofErr w:type="spellEnd"/>
      <w:r w:rsidR="00665961" w:rsidRPr="00665961">
        <w:t xml:space="preserve"> (</w:t>
      </w:r>
      <w:proofErr w:type="spellStart"/>
      <w:r w:rsidR="00665961" w:rsidRPr="00665961">
        <w:rPr>
          <w:i/>
          <w:iCs/>
        </w:rPr>
        <w:t>EnsDb</w:t>
      </w:r>
      <w:proofErr w:type="spellEnd"/>
      <w:r w:rsidR="00665961" w:rsidRPr="00665961">
        <w:t>)</w:t>
      </w:r>
      <w:r w:rsidRPr="00BB2C36">
        <w:t>.</w:t>
      </w:r>
      <w:r w:rsidR="00152E4A" w:rsidRPr="00152E4A">
        <w:t xml:space="preserve"> Esta versión presenta una equivalencia exacta con GENCODE v36.</w:t>
      </w:r>
    </w:p>
    <w:p w14:paraId="2CD36E85" w14:textId="70712BAD" w:rsidR="002767AF" w:rsidRPr="00D66904" w:rsidRDefault="00665961" w:rsidP="00881FFC">
      <w:pPr>
        <w:rPr>
          <w:rFonts w:ascii="Times New Roman" w:hAnsi="Times New Roman"/>
        </w:rPr>
      </w:pPr>
      <w:r>
        <w:t xml:space="preserve">Una vez finalizada la anotación de todos los genes en las matrices </w:t>
      </w:r>
      <w:proofErr w:type="spellStart"/>
      <w:r w:rsidRPr="00665961">
        <w:rPr>
          <w:i/>
          <w:iCs/>
        </w:rPr>
        <w:t>resLFC</w:t>
      </w:r>
      <w:proofErr w:type="spellEnd"/>
      <w:r>
        <w:t xml:space="preserve"> independientes, se logró unificar la estructura de todas las cohortes del estudio. Al añadir las columnas de </w:t>
      </w:r>
      <w:r>
        <w:rPr>
          <w:i/>
          <w:iCs/>
        </w:rPr>
        <w:t>Gene Symbol</w:t>
      </w:r>
      <w:r>
        <w:t xml:space="preserve"> y </w:t>
      </w:r>
      <w:proofErr w:type="spellStart"/>
      <w:r>
        <w:rPr>
          <w:i/>
          <w:iCs/>
        </w:rPr>
        <w:t>Entrez</w:t>
      </w:r>
      <w:proofErr w:type="spellEnd"/>
      <w:r>
        <w:rPr>
          <w:i/>
          <w:iCs/>
        </w:rPr>
        <w:t xml:space="preserve"> ID</w:t>
      </w:r>
      <w:r>
        <w:t xml:space="preserve">, se eliminaron por completo las diferencias de nomenclatura derivadas de las bases de datos de origen. </w:t>
      </w:r>
      <w:r w:rsidR="00FA4D54" w:rsidRPr="00FA4D54">
        <w:t xml:space="preserve">Esta armonización dejó las tablas completamente listas para su </w:t>
      </w:r>
      <w:r w:rsidR="00FA4D54" w:rsidRPr="00FA4D54">
        <w:lastRenderedPageBreak/>
        <w:t xml:space="preserve">ordenación y filtrado definitivo, asegurando que tanto los archivos </w:t>
      </w:r>
      <w:r w:rsidR="00FA4D54" w:rsidRPr="00FA4D54">
        <w:rPr>
          <w:i/>
          <w:iCs/>
        </w:rPr>
        <w:t>.</w:t>
      </w:r>
      <w:proofErr w:type="spellStart"/>
      <w:r w:rsidR="00FA4D54" w:rsidRPr="00FA4D54">
        <w:rPr>
          <w:i/>
          <w:iCs/>
        </w:rPr>
        <w:t>csv</w:t>
      </w:r>
      <w:proofErr w:type="spellEnd"/>
      <w:r w:rsidR="00FA4D54" w:rsidRPr="00FA4D54">
        <w:t xml:space="preserve"> de salida como los análisis visuales contaran con identificadores oficiales y estandarizados.</w:t>
      </w:r>
    </w:p>
    <w:p w14:paraId="1B16D037" w14:textId="72847F9F" w:rsidR="00402AA8" w:rsidRPr="00881FFC" w:rsidRDefault="00881FFC" w:rsidP="00402AA8">
      <w:pPr>
        <w:pStyle w:val="Ttulo2"/>
        <w:rPr>
          <w:caps w:val="0"/>
        </w:rPr>
      </w:pPr>
      <w:bookmarkStart w:id="20" w:name="_Toc239417046"/>
      <w:r>
        <w:rPr>
          <w:caps w:val="0"/>
        </w:rPr>
        <w:t>Identificación de Firmas Consenso y Análisis de Enriquecimiento Funcional</w:t>
      </w:r>
      <w:bookmarkEnd w:id="20"/>
    </w:p>
    <w:p w14:paraId="5A4DB490" w14:textId="584F8DE1" w:rsidR="0020681F" w:rsidRPr="0020681F" w:rsidRDefault="0020681F" w:rsidP="0020681F">
      <w:r w:rsidRPr="0020681F">
        <w:t xml:space="preserve">Para identificar firmas moleculares consistentes a partir de las diferentes cohortes, se diseñó una estrategia de integración basada en la intersección de los DEGs obtenidos en </w:t>
      </w:r>
      <w:r w:rsidR="007B7DF9">
        <w:t>los análisis</w:t>
      </w:r>
      <w:r w:rsidRPr="0020681F">
        <w:t xml:space="preserve"> independientes. </w:t>
      </w:r>
      <w:r w:rsidR="007B7DF9" w:rsidRPr="007B7DF9">
        <w:t xml:space="preserve">En primer lugar, se procesaron las tablas de resultados de cada cohorte para extraer los códigos </w:t>
      </w:r>
      <w:proofErr w:type="spellStart"/>
      <w:r w:rsidR="007B7DF9" w:rsidRPr="007B7DF9">
        <w:rPr>
          <w:i/>
          <w:iCs/>
        </w:rPr>
        <w:t>Entrez</w:t>
      </w:r>
      <w:proofErr w:type="spellEnd"/>
      <w:r w:rsidR="007B7DF9" w:rsidRPr="007B7DF9">
        <w:rPr>
          <w:i/>
          <w:iCs/>
        </w:rPr>
        <w:t xml:space="preserve"> ID</w:t>
      </w:r>
      <w:r w:rsidR="007B7DF9" w:rsidRPr="007B7DF9">
        <w:t xml:space="preserve"> de los genes significativos. Estos identificadores se clasificaron según la dirección de su cambio, separando así los transcritos sobreexpresados </w:t>
      </w:r>
      <w:r w:rsidR="007B7DF9">
        <w:t>(</w:t>
      </w:r>
      <m:oMath>
        <m:sSub>
          <m:sSubPr>
            <m:ctrlPr>
              <w:rPr>
                <w:rFonts w:ascii="Cambria Math" w:hAnsi="Cambria Math"/>
                <w:i/>
                <w:color w:val="000000" w:themeColor="text1"/>
              </w:rPr>
            </m:ctrlPr>
          </m:sSubPr>
          <m:e>
            <m:r>
              <w:rPr>
                <w:rFonts w:ascii="Cambria Math" w:hAnsi="Cambria Math"/>
                <w:color w:val="000000" w:themeColor="text1"/>
              </w:rPr>
              <m:t>log</m:t>
            </m:r>
          </m:e>
          <m:sub>
            <m:r>
              <w:rPr>
                <w:rFonts w:ascii="Cambria Math" w:hAnsi="Cambria Math"/>
                <w:color w:val="000000" w:themeColor="text1"/>
              </w:rPr>
              <m:t>2</m:t>
            </m:r>
          </m:sub>
        </m:sSub>
        <m:r>
          <w:rPr>
            <w:rFonts w:ascii="Cambria Math" w:hAnsi="Cambria Math"/>
            <w:color w:val="000000" w:themeColor="text1"/>
          </w:rPr>
          <m:t>FC&gt;0</m:t>
        </m:r>
      </m:oMath>
      <w:r w:rsidR="007B7DF9">
        <w:rPr>
          <w:color w:val="000000" w:themeColor="text1"/>
        </w:rPr>
        <w:t>)</w:t>
      </w:r>
      <w:r w:rsidR="007B7DF9" w:rsidRPr="007B7DF9">
        <w:t xml:space="preserve"> de los subexpresados (</w:t>
      </w:r>
      <m:oMath>
        <m:sSub>
          <m:sSubPr>
            <m:ctrlPr>
              <w:rPr>
                <w:rFonts w:ascii="Cambria Math" w:hAnsi="Cambria Math"/>
                <w:i/>
                <w:color w:val="000000" w:themeColor="text1"/>
              </w:rPr>
            </m:ctrlPr>
          </m:sSubPr>
          <m:e>
            <m:r>
              <w:rPr>
                <w:rFonts w:ascii="Cambria Math" w:hAnsi="Cambria Math"/>
                <w:color w:val="000000" w:themeColor="text1"/>
              </w:rPr>
              <m:t>log</m:t>
            </m:r>
          </m:e>
          <m:sub>
            <m:r>
              <w:rPr>
                <w:rFonts w:ascii="Cambria Math" w:hAnsi="Cambria Math"/>
                <w:color w:val="000000" w:themeColor="text1"/>
              </w:rPr>
              <m:t>2</m:t>
            </m:r>
          </m:sub>
        </m:sSub>
        <m:r>
          <w:rPr>
            <w:rFonts w:ascii="Cambria Math" w:hAnsi="Cambria Math"/>
            <w:color w:val="000000" w:themeColor="text1"/>
          </w:rPr>
          <m:t>FC&lt;0</m:t>
        </m:r>
      </m:oMath>
      <w:r w:rsidR="007B7DF9" w:rsidRPr="007B7DF9">
        <w:t>)</w:t>
      </w:r>
      <w:r w:rsidRPr="0020681F">
        <w:t>. A continuación, se aplicó un filtro de intersección estricto para definir las firmas consenso de este proyecto.</w:t>
      </w:r>
      <w:r w:rsidR="00152E4A">
        <w:t xml:space="preserve"> </w:t>
      </w:r>
      <w:r w:rsidR="00152E4A" w:rsidRPr="00152E4A">
        <w:t>Estas listas de genes compartidos se almacenaron de forma diferenciada para su posterior caracterización mediante análisis de enriquecimiento funcional.</w:t>
      </w:r>
    </w:p>
    <w:p w14:paraId="54751BDF" w14:textId="1B9B17E1" w:rsidR="007B7DF9" w:rsidRPr="007B7DF9" w:rsidRDefault="00A9179E" w:rsidP="007B7DF9">
      <w:r>
        <w:t>S</w:t>
      </w:r>
      <w:r w:rsidRPr="007B7DF9">
        <w:t xml:space="preserve">e utilizaron dos </w:t>
      </w:r>
      <w:r>
        <w:t>representaciones</w:t>
      </w:r>
      <w:r w:rsidRPr="007B7DF9">
        <w:t xml:space="preserve"> gráficas complementarias </w:t>
      </w:r>
      <w:r>
        <w:t>p</w:t>
      </w:r>
      <w:r w:rsidR="007B7DF9" w:rsidRPr="007B7DF9">
        <w:t xml:space="preserve">ara evaluar el solapamiento y la concordancia de los genes entre las distintas cohortes. Por un lado, se generaron diagramas </w:t>
      </w:r>
      <w:proofErr w:type="spellStart"/>
      <w:r w:rsidR="007B7DF9" w:rsidRPr="007B7DF9">
        <w:rPr>
          <w:i/>
          <w:iCs/>
        </w:rPr>
        <w:t>UpSet</w:t>
      </w:r>
      <w:proofErr w:type="spellEnd"/>
      <w:r w:rsidR="007B7DF9" w:rsidRPr="007B7DF9">
        <w:t xml:space="preserve"> mediante la librería </w:t>
      </w:r>
      <w:proofErr w:type="spellStart"/>
      <w:r w:rsidR="007B7DF9" w:rsidRPr="007B7DF9">
        <w:rPr>
          <w:i/>
          <w:iCs/>
        </w:rPr>
        <w:t>UpSetR</w:t>
      </w:r>
      <w:proofErr w:type="spellEnd"/>
      <w:r w:rsidR="007B7DF9" w:rsidRPr="007B7DF9">
        <w:t xml:space="preserve">, lo que permitió analizar con claridad las interacciones simultáneas entre todas las series. Por otro lado, se emplearon diagramas de </w:t>
      </w:r>
      <w:proofErr w:type="spellStart"/>
      <w:r w:rsidR="007B7DF9" w:rsidRPr="007B7DF9">
        <w:t>Venn</w:t>
      </w:r>
      <w:proofErr w:type="spellEnd"/>
      <w:r w:rsidR="007B7DF9" w:rsidRPr="007B7DF9">
        <w:t xml:space="preserve"> personalizados con el paquete </w:t>
      </w:r>
      <w:proofErr w:type="spellStart"/>
      <w:r w:rsidR="007B7DF9" w:rsidRPr="007B7DF9">
        <w:rPr>
          <w:i/>
          <w:iCs/>
        </w:rPr>
        <w:t>ggVennDiagram</w:t>
      </w:r>
      <w:proofErr w:type="spellEnd"/>
      <w:r w:rsidR="007B7DF9" w:rsidRPr="007B7DF9">
        <w:t xml:space="preserve"> para facilitar una interpretación más intuitiva de las coincidencias detectadas.</w:t>
      </w:r>
    </w:p>
    <w:p w14:paraId="1A916B2A" w14:textId="21461B55" w:rsidR="00112F8B" w:rsidRPr="00112F8B" w:rsidRDefault="00112F8B" w:rsidP="00112F8B">
      <w:r w:rsidRPr="00112F8B">
        <w:t xml:space="preserve">Para la ejecución de los análisis funcionales, se seleccionó el conjunto de genes del </w:t>
      </w:r>
      <w:r w:rsidRPr="00112F8B">
        <w:rPr>
          <w:i/>
          <w:iCs/>
        </w:rPr>
        <w:t>dataset</w:t>
      </w:r>
      <w:r w:rsidRPr="00112F8B">
        <w:t xml:space="preserve"> GSE104836 como el universo de referencia (</w:t>
      </w:r>
      <w:proofErr w:type="spellStart"/>
      <w:r w:rsidRPr="00112F8B">
        <w:rPr>
          <w:i/>
          <w:iCs/>
        </w:rPr>
        <w:t>background</w:t>
      </w:r>
      <w:proofErr w:type="spellEnd"/>
      <w:r w:rsidRPr="00112F8B">
        <w:t>). Esta cohorte en concreto mantenía un total de 23</w:t>
      </w:r>
      <w:r w:rsidR="0099114B">
        <w:t>.</w:t>
      </w:r>
      <w:r w:rsidRPr="00112F8B">
        <w:t xml:space="preserve">309 genes aptos tras el filtro de baja expresión, lo que garantizó un fondo estadístico amplio y altamente representativo de la transcriptómica colorrectal. Asimismo, una ventaja metodológica clave de esta serie es que proporcionaba los identificadores </w:t>
      </w:r>
      <w:proofErr w:type="spellStart"/>
      <w:r w:rsidRPr="00112F8B">
        <w:rPr>
          <w:i/>
          <w:iCs/>
        </w:rPr>
        <w:t>Entrez</w:t>
      </w:r>
      <w:proofErr w:type="spellEnd"/>
      <w:r w:rsidRPr="00112F8B">
        <w:rPr>
          <w:i/>
          <w:iCs/>
        </w:rPr>
        <w:t xml:space="preserve"> ID</w:t>
      </w:r>
      <w:r w:rsidRPr="00112F8B">
        <w:t xml:space="preserve"> de forma nativa. Al evitar traducciones de nomenclatura externas entre bases de datos, se eliminó cualquier riesgo de pérdida de información por valores ausentes o sesgos de correspondencia, asegurando la máxima fiabilidad en los </w:t>
      </w:r>
      <w:r>
        <w:t>análisis funcionales</w:t>
      </w:r>
      <w:r w:rsidRPr="00112F8B">
        <w:t xml:space="preserve"> posteriores.</w:t>
      </w:r>
    </w:p>
    <w:p w14:paraId="65C32E47" w14:textId="77777777" w:rsidR="00D70019" w:rsidRDefault="0020681F" w:rsidP="0020681F">
      <w:r w:rsidRPr="00E70E18">
        <w:t xml:space="preserve">El análisis de </w:t>
      </w:r>
      <w:r w:rsidR="00112F8B" w:rsidRPr="00E70E18">
        <w:t>enriquecimiento</w:t>
      </w:r>
      <w:r w:rsidRPr="00E70E18">
        <w:t xml:space="preserve"> funcional de las firmas consenso se estructuró en dos niveles utilizando la librería especializada </w:t>
      </w:r>
      <w:proofErr w:type="spellStart"/>
      <w:r w:rsidRPr="00E70E18">
        <w:rPr>
          <w:i/>
          <w:iCs/>
        </w:rPr>
        <w:t>clusterProfiler</w:t>
      </w:r>
      <w:proofErr w:type="spellEnd"/>
      <w:r w:rsidR="004B4551">
        <w:rPr>
          <w:i/>
          <w:iCs/>
        </w:rPr>
        <w:fldChar w:fldCharType="begin"/>
      </w:r>
      <w:r w:rsidR="00991CA6">
        <w:rPr>
          <w:i/>
          <w:iCs/>
        </w:rPr>
        <w:instrText xml:space="preserve"> ADDIN ZOTERO_ITEM CSL_CITATION {"citationID":"VxAbkJmg","properties":{"unsorted":false,"formattedCitation":"(35)","plainCitation":"(35)","noteIndex":0},"citationItems":[{"id":51,"uris":["http://zotero.org/users/local/sechomLT/items/PCZGYUPG"],"itemData":{"id":51,"type":"article-journal","abstract":"With the advent of multiomics, software capable of multidimensional enrichment analysis has become increasingly crucial for uncovering gene set variations in biological processes and disease pathways. This is essential for elucidating disease mechanisms and identifying potential therapeutic targets. clusterProfiler stands out for its comprehensive utilization of databases and advanced visualization features. Importantly, clusterProfiler supports various biological knowledge, including Gene Ontology and Kyoto Encyclopedia of Genes and Genomes, through performing over-representation and gene set enrichment analyses. A key feature is that clusterProfiler allows users to choose from various graphical outputs to visualize results, enhancing interpretability. This protocol describes innovative ways in which clusterProfiler has been used for integrating metabolomics and metagenomics analyses, identifying and characterizing transcription factors under stress conditions, and annotating cells in single-cell studies. In all cases, the computational steps can be completed within ~2 min. clusterProfiler is released through the Bioconductor project and can be accessed via https://bioconductor.org/packages/clusterProfiler/ .","container-title":"Nature Protocols","DOI":"10.1038/s41596-024-01020-z","ISSN":"1750-2799","issue":"11","journalAbbreviation":"Nat Protoc","language":"eng","page":"3292-3320","PMID":"39019974","source":"PubMed","title":"Using clusterProfiler to characterize multiomics data","volume":"19","author":[{"family":"Xu","given":"Shuangbin"},{"family":"Hu","given":"Erqiang"},{"family":"Cai","given":"Yantong"},{"family":"Xie","given":"Zijing"},{"family":"Luo","given":"Xiao"},{"family":"Zhan","given":"Li"},{"family":"Tang","given":"Wenli"},{"family":"Wang","given":"Qianwen"},{"family":"Liu","given":"Bingdong"},{"family":"Wang","given":"Rui"},{"family":"Xie","given":"Wenqin"},{"family":"Wu","given":"Tianzhi"},{"family":"Xie","given":"Liwei"},{"family":"Yu","given":"Guangchuang"}],"issued":{"date-parts":[["2024",11]]}}}],"schema":"https://github.com/citation-style-language/schema/raw/master/csl-citation.json"} </w:instrText>
      </w:r>
      <w:r w:rsidR="004B4551">
        <w:rPr>
          <w:i/>
          <w:iCs/>
        </w:rPr>
        <w:fldChar w:fldCharType="separate"/>
      </w:r>
      <w:r w:rsidR="00991CA6" w:rsidRPr="00991CA6">
        <w:rPr>
          <w:rFonts w:ascii="Calibri" w:hAnsi="Calibri" w:cs="Calibri"/>
        </w:rPr>
        <w:t>(35)</w:t>
      </w:r>
      <w:r w:rsidR="004B4551">
        <w:rPr>
          <w:i/>
          <w:iCs/>
        </w:rPr>
        <w:fldChar w:fldCharType="end"/>
      </w:r>
      <w:r w:rsidRPr="00E70E18">
        <w:t xml:space="preserve">. </w:t>
      </w:r>
      <w:r w:rsidR="001D0B3F" w:rsidRPr="00E70E18">
        <w:t>El primer nivel consistió en un análisis de enriquecimiento de</w:t>
      </w:r>
      <w:r w:rsidR="00B34D70">
        <w:t xml:space="preserve"> GO</w:t>
      </w:r>
      <w:r w:rsidR="001D0B3F" w:rsidRPr="00E70E18">
        <w:t xml:space="preserve">, abarcando simultáneamente las categorías de Procesos Biológicos (BP), Componentes Celulares (CC) y Funciones Moleculares (MF) mediante la función </w:t>
      </w:r>
      <w:proofErr w:type="spellStart"/>
      <w:r w:rsidR="001D0B3F" w:rsidRPr="00E70E18">
        <w:rPr>
          <w:i/>
          <w:iCs/>
        </w:rPr>
        <w:lastRenderedPageBreak/>
        <w:t>enrichGO</w:t>
      </w:r>
      <w:proofErr w:type="spellEnd"/>
      <w:r w:rsidR="001D0B3F" w:rsidRPr="00E70E18">
        <w:rPr>
          <w:i/>
          <w:iCs/>
        </w:rPr>
        <w:t>()</w:t>
      </w:r>
      <w:r w:rsidR="001D0B3F" w:rsidRPr="00E70E18">
        <w:t xml:space="preserve">. El segundo nivel evaluó el enriquecimiento de rutas metabólicas y de señalización de la base de datos KEGG </w:t>
      </w:r>
    </w:p>
    <w:p w14:paraId="0EA61D3E" w14:textId="6C787F93" w:rsidR="0020681F" w:rsidRPr="00E70E18" w:rsidRDefault="001D0B3F" w:rsidP="0020681F">
      <w:r w:rsidRPr="00E70E18">
        <w:t xml:space="preserve">a través de la función </w:t>
      </w:r>
      <w:proofErr w:type="spellStart"/>
      <w:r w:rsidRPr="00E70E18">
        <w:rPr>
          <w:i/>
          <w:iCs/>
        </w:rPr>
        <w:t>enrichKEGG</w:t>
      </w:r>
      <w:proofErr w:type="spellEnd"/>
      <w:r w:rsidRPr="00E70E18">
        <w:rPr>
          <w:i/>
          <w:iCs/>
        </w:rPr>
        <w:t>()</w:t>
      </w:r>
      <w:r w:rsidRPr="00E70E18">
        <w:t xml:space="preserve">. En ambas aproximaciones, se configuraron las bases de datos para </w:t>
      </w:r>
      <w:r w:rsidRPr="00E70E18">
        <w:rPr>
          <w:i/>
          <w:iCs/>
        </w:rPr>
        <w:t xml:space="preserve">Homo </w:t>
      </w:r>
      <w:r w:rsidR="00D66F51" w:rsidRPr="00E70E18">
        <w:rPr>
          <w:i/>
          <w:iCs/>
        </w:rPr>
        <w:t>s</w:t>
      </w:r>
      <w:r w:rsidRPr="00E70E18">
        <w:rPr>
          <w:i/>
          <w:iCs/>
        </w:rPr>
        <w:t>apiens</w:t>
      </w:r>
      <w:r w:rsidR="00D66F51" w:rsidRPr="00E70E18">
        <w:t xml:space="preserve"> y se activó la traducción automática a símbolos de genes oficiales para optimizar la interpretación de los perfiles resultantes</w:t>
      </w:r>
      <w:r w:rsidRPr="00E70E18">
        <w:t xml:space="preserve">. </w:t>
      </w:r>
      <w:r w:rsidR="00D66F51" w:rsidRPr="00E70E18">
        <w:t>Asimismo</w:t>
      </w:r>
      <w:r w:rsidRPr="00E70E18">
        <w:t>, la significación estadística se controló mediante el método de Benjamini-Hochberg, estableciendo umbrales estrictos de corte tanto para el p</w:t>
      </w:r>
      <w:r w:rsidR="00D66F51" w:rsidRPr="00E70E18">
        <w:t>-valor</w:t>
      </w:r>
      <w:r w:rsidRPr="00E70E18">
        <w:t xml:space="preserve"> corregido como para el </w:t>
      </w:r>
      <w:r w:rsidR="00D66F51" w:rsidRPr="00E70E18">
        <w:t>q-valor</w:t>
      </w:r>
      <w:r w:rsidRPr="00E70E18">
        <w:t xml:space="preserve"> (</w:t>
      </w:r>
      <m:oMath>
        <m:r>
          <w:rPr>
            <w:rFonts w:ascii="Cambria Math" w:hAnsi="Cambria Math"/>
          </w:rPr>
          <m:t>padj&lt;0.05</m:t>
        </m:r>
      </m:oMath>
      <w:r w:rsidR="00D66F51" w:rsidRPr="00E70E18">
        <w:t xml:space="preserve"> </w:t>
      </w:r>
      <w:r w:rsidRPr="00E70E18">
        <w:t xml:space="preserve">y </w:t>
      </w:r>
      <m:oMath>
        <m:r>
          <w:rPr>
            <w:rFonts w:ascii="Cambria Math" w:hAnsi="Cambria Math"/>
          </w:rPr>
          <m:t>q&lt;0.05</m:t>
        </m:r>
      </m:oMath>
      <w:r w:rsidRPr="00E70E18">
        <w:t xml:space="preserve">). </w:t>
      </w:r>
      <w:r w:rsidR="0065650A" w:rsidRPr="00E70E18">
        <w:t>Este doble filtro mitiga el error individual de los términos y la proporción global de falsos positivos, lo que asegura la solidez biológica de los resultados</w:t>
      </w:r>
      <w:r w:rsidR="00D66F51" w:rsidRPr="00E70E18">
        <w:t>.</w:t>
      </w:r>
    </w:p>
    <w:p w14:paraId="5C52B462" w14:textId="3955C0A2" w:rsidR="00E70E18" w:rsidRPr="00E70E18" w:rsidRDefault="00E70E18" w:rsidP="00E70E18">
      <w:r w:rsidRPr="00E70E18">
        <w:t xml:space="preserve">A continuación, se recurrió al paquete </w:t>
      </w:r>
      <w:proofErr w:type="spellStart"/>
      <w:r w:rsidRPr="00E70E18">
        <w:rPr>
          <w:i/>
          <w:iCs/>
        </w:rPr>
        <w:t>enrichplot</w:t>
      </w:r>
      <w:proofErr w:type="spellEnd"/>
      <w:r w:rsidRPr="00E70E18">
        <w:t xml:space="preserve"> para la generación de los gráficos y el análisis de redes funcionales. Mediante la función </w:t>
      </w:r>
      <w:proofErr w:type="spellStart"/>
      <w:r w:rsidRPr="00E70E18">
        <w:rPr>
          <w:i/>
          <w:iCs/>
        </w:rPr>
        <w:t>dotplot</w:t>
      </w:r>
      <w:proofErr w:type="spellEnd"/>
      <w:r w:rsidRPr="00E70E18">
        <w:rPr>
          <w:i/>
          <w:iCs/>
        </w:rPr>
        <w:t>()</w:t>
      </w:r>
      <w:r w:rsidRPr="00E70E18">
        <w:t xml:space="preserve"> se construyeron gráficos de puntos para identificar de forma sintética los términos con mayor nivel de enriquecimiento en base a su significación estadística y magnitud de cambio. Asimismo, se generaron gráficos de red gen-concepto (</w:t>
      </w:r>
      <w:proofErr w:type="spellStart"/>
      <w:r w:rsidRPr="00E70E18">
        <w:rPr>
          <w:i/>
          <w:iCs/>
        </w:rPr>
        <w:t>cnetplot</w:t>
      </w:r>
      <w:proofErr w:type="spellEnd"/>
      <w:r w:rsidRPr="00E70E18">
        <w:t>) para conectar las funciones biológicas principales directamente con los genes integrantes de la firma, facilitando la identificación de los nodos moleculares clave. También se diseñaron mapas de enriquecimiento (</w:t>
      </w:r>
      <w:proofErr w:type="spellStart"/>
      <w:r w:rsidRPr="00E70E18">
        <w:rPr>
          <w:i/>
          <w:iCs/>
        </w:rPr>
        <w:t>emapplot</w:t>
      </w:r>
      <w:proofErr w:type="spellEnd"/>
      <w:r w:rsidRPr="00E70E18">
        <w:t xml:space="preserve">) tras calcular la similitud entre términos con la función </w:t>
      </w:r>
      <w:proofErr w:type="spellStart"/>
      <w:r w:rsidRPr="00E70E18">
        <w:rPr>
          <w:i/>
          <w:iCs/>
        </w:rPr>
        <w:t>pairwise_termsim</w:t>
      </w:r>
      <w:proofErr w:type="spellEnd"/>
      <w:r w:rsidRPr="00E70E18">
        <w:rPr>
          <w:i/>
          <w:iCs/>
        </w:rPr>
        <w:t>()</w:t>
      </w:r>
      <w:r w:rsidRPr="00E70E18">
        <w:t xml:space="preserve">, lo que facilitó la agrupación de las rutas biológicas redundantes. Finalmente, tanto las listas de genes consenso como las tablas de resultados se exportaron en formato </w:t>
      </w:r>
      <w:r w:rsidRPr="00E70E18">
        <w:rPr>
          <w:i/>
          <w:iCs/>
        </w:rPr>
        <w:t>.</w:t>
      </w:r>
      <w:proofErr w:type="spellStart"/>
      <w:r w:rsidRPr="00E70E18">
        <w:rPr>
          <w:i/>
          <w:iCs/>
        </w:rPr>
        <w:t>csv</w:t>
      </w:r>
      <w:proofErr w:type="spellEnd"/>
      <w:r w:rsidRPr="00E70E18">
        <w:t>, quedando consolidadas para la fase de interpretación y discusión biológica.</w:t>
      </w:r>
    </w:p>
    <w:p w14:paraId="6E527563" w14:textId="77777777" w:rsidR="00E70E18" w:rsidRPr="0020681F" w:rsidRDefault="00E70E18" w:rsidP="0020681F"/>
    <w:p w14:paraId="4750D2D3" w14:textId="77777777" w:rsidR="001F4380" w:rsidRDefault="001F4380">
      <w:pPr>
        <w:spacing w:before="0" w:after="0" w:line="240" w:lineRule="auto"/>
        <w:jc w:val="left"/>
        <w:rPr>
          <w:color w:val="833C0B" w:themeColor="accent2" w:themeShade="80"/>
        </w:rPr>
      </w:pPr>
      <w:r>
        <w:rPr>
          <w:color w:val="833C0B" w:themeColor="accent2" w:themeShade="80"/>
        </w:rPr>
        <w:br w:type="page"/>
      </w:r>
    </w:p>
    <w:p w14:paraId="768CDBE3" w14:textId="7098FA82" w:rsidR="0020681F" w:rsidRDefault="001F4380">
      <w:pPr>
        <w:spacing w:before="0" w:after="0" w:line="240" w:lineRule="auto"/>
        <w:jc w:val="left"/>
        <w:rPr>
          <w:color w:val="833C0B" w:themeColor="accent2" w:themeShade="80"/>
        </w:rPr>
      </w:pPr>
      <w:r>
        <w:rPr>
          <w:noProof/>
        </w:rPr>
        <w:lastRenderedPageBreak/>
        <mc:AlternateContent>
          <mc:Choice Requires="wps">
            <w:drawing>
              <wp:anchor distT="0" distB="0" distL="114300" distR="114300" simplePos="0" relativeHeight="251660288" behindDoc="0" locked="0" layoutInCell="1" allowOverlap="1" wp14:anchorId="37CF3DD8" wp14:editId="13170200">
                <wp:simplePos x="0" y="0"/>
                <wp:positionH relativeFrom="column">
                  <wp:posOffset>0</wp:posOffset>
                </wp:positionH>
                <wp:positionV relativeFrom="paragraph">
                  <wp:posOffset>8503285</wp:posOffset>
                </wp:positionV>
                <wp:extent cx="5760085" cy="635"/>
                <wp:effectExtent l="0" t="0" r="12065" b="10160"/>
                <wp:wrapSquare wrapText="bothSides"/>
                <wp:docPr id="361787064" name="Cuadro de texto 1"/>
                <wp:cNvGraphicFramePr/>
                <a:graphic xmlns:a="http://schemas.openxmlformats.org/drawingml/2006/main">
                  <a:graphicData uri="http://schemas.microsoft.com/office/word/2010/wordprocessingShape">
                    <wps:wsp>
                      <wps:cNvSpPr txBox="1"/>
                      <wps:spPr>
                        <a:xfrm>
                          <a:off x="0" y="0"/>
                          <a:ext cx="5760085" cy="635"/>
                        </a:xfrm>
                        <a:prstGeom prst="rect">
                          <a:avLst/>
                        </a:prstGeom>
                        <a:noFill/>
                        <a:ln>
                          <a:noFill/>
                        </a:ln>
                      </wps:spPr>
                      <wps:txbx>
                        <w:txbxContent>
                          <w:p w14:paraId="5614B1A4" w14:textId="75C42E9A" w:rsidR="001F4380" w:rsidRPr="001F4380" w:rsidRDefault="001F4380" w:rsidP="004D23EF">
                            <w:pPr>
                              <w:pStyle w:val="Figuras"/>
                            </w:pPr>
                            <w:bookmarkStart w:id="21" w:name="_Toc231409249"/>
                            <w:bookmarkStart w:id="22" w:name="_Toc234608934"/>
                            <w:bookmarkStart w:id="23" w:name="_Toc234609088"/>
                            <w:bookmarkStart w:id="24" w:name="_Toc234609119"/>
                            <w:bookmarkStart w:id="25" w:name="_Toc238816308"/>
                            <w:r>
                              <w:t xml:space="preserve">Figura </w:t>
                            </w:r>
                            <w:fldSimple w:instr=" SEQ Figura \* ARABIC ">
                              <w:r w:rsidR="00EA43FE">
                                <w:rPr>
                                  <w:noProof/>
                                </w:rPr>
                                <w:t>1</w:t>
                              </w:r>
                            </w:fldSimple>
                            <w:r>
                              <w:t>.</w:t>
                            </w:r>
                            <w:r w:rsidRPr="001F4380">
                              <w:t xml:space="preserve">  Flujo de trabajo bioinformático para el análisis, armonización e integración de datos transcriptómicos de RNA-seq en adenocarcinoma colorrectal. (Elaboración propia)</w:t>
                            </w:r>
                            <w:bookmarkEnd w:id="21"/>
                            <w:bookmarkEnd w:id="22"/>
                            <w:bookmarkEnd w:id="23"/>
                            <w:bookmarkEnd w:id="24"/>
                            <w:bookmarkEnd w:id="2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7CF3DD8" id="_x0000_t202" coordsize="21600,21600" o:spt="202" path="m,l,21600r21600,l21600,xe">
                <v:stroke joinstyle="miter"/>
                <v:path gradientshapeok="t" o:connecttype="rect"/>
              </v:shapetype>
              <v:shape id="Cuadro de texto 1" o:spid="_x0000_s1026" type="#_x0000_t202" style="position:absolute;margin-left:0;margin-top:669.55pt;width:453.55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" filled="f" stroked="f">
                <v:textbox style="mso-fit-shape-to-text:t" inset="0,0,0,0">
                  <w:txbxContent>
                    <w:p w14:paraId="5614B1A4" w14:textId="75C42E9A" w:rsidR="001F4380" w:rsidRPr="001F4380" w:rsidRDefault="001F4380" w:rsidP="004D23EF">
                      <w:pPr>
                        <w:pStyle w:val="Figuras"/>
                      </w:pPr>
                      <w:bookmarkStart w:id="26" w:name="_Toc231409249"/>
                      <w:bookmarkStart w:id="27" w:name="_Toc234608934"/>
                      <w:bookmarkStart w:id="28" w:name="_Toc234609088"/>
                      <w:bookmarkStart w:id="29" w:name="_Toc234609119"/>
                      <w:bookmarkStart w:id="30" w:name="_Toc238816308"/>
                      <w:r>
                        <w:t xml:space="preserve">Figura </w:t>
                      </w:r>
                      <w:fldSimple w:instr=" SEQ Figura \* ARABIC ">
                        <w:r w:rsidR="00EA43FE">
                          <w:rPr>
                            <w:noProof/>
                          </w:rPr>
                          <w:t>1</w:t>
                        </w:r>
                      </w:fldSimple>
                      <w:r>
                        <w:t>.</w:t>
                      </w:r>
                      <w:r w:rsidRPr="001F4380">
                        <w:t xml:space="preserve">  Flujo de trabajo bioinformático para el análisis, armonización e integración de datos transcriptómicos de RNA-seq en adenocarcinoma colorrectal. (Elaboración propia)</w:t>
                      </w:r>
                      <w:bookmarkEnd w:id="26"/>
                      <w:bookmarkEnd w:id="27"/>
                      <w:bookmarkEnd w:id="28"/>
                      <w:bookmarkEnd w:id="29"/>
                      <w:bookmarkEnd w:id="30"/>
                    </w:p>
                  </w:txbxContent>
                </v:textbox>
                <w10:wrap type="square"/>
              </v:shape>
            </w:pict>
          </mc:Fallback>
        </mc:AlternateContent>
      </w:r>
      <w:r>
        <w:rPr>
          <w:noProof/>
          <w:color w:val="833C0B" w:themeColor="accent2" w:themeShade="80"/>
        </w:rPr>
        <w:drawing>
          <wp:anchor distT="0" distB="0" distL="114300" distR="114300" simplePos="0" relativeHeight="251658240" behindDoc="0" locked="0" layoutInCell="1" allowOverlap="1" wp14:anchorId="3C82D89D" wp14:editId="57BA6329">
            <wp:simplePos x="1075055" y="904240"/>
            <wp:positionH relativeFrom="margin">
              <wp:align>center</wp:align>
            </wp:positionH>
            <wp:positionV relativeFrom="margin">
              <wp:align>top</wp:align>
            </wp:positionV>
            <wp:extent cx="5760085" cy="8493125"/>
            <wp:effectExtent l="0" t="0" r="0" b="3175"/>
            <wp:wrapSquare wrapText="bothSides"/>
            <wp:docPr id="11490267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026772" name="Imagen 114902677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60085" cy="8493125"/>
                    </a:xfrm>
                    <a:prstGeom prst="rect">
                      <a:avLst/>
                    </a:prstGeom>
                  </pic:spPr>
                </pic:pic>
              </a:graphicData>
            </a:graphic>
          </wp:anchor>
        </w:drawing>
      </w:r>
      <w:r w:rsidR="0020681F">
        <w:rPr>
          <w:color w:val="833C0B" w:themeColor="accent2" w:themeShade="80"/>
        </w:rPr>
        <w:br w:type="page"/>
      </w:r>
    </w:p>
    <w:p w14:paraId="60E6A36B" w14:textId="77777777" w:rsidR="00F3241D" w:rsidRDefault="00F3241D" w:rsidP="00F3241D">
      <w:pPr>
        <w:pStyle w:val="Ttulo1"/>
        <w:rPr>
          <w:caps w:val="0"/>
        </w:rPr>
      </w:pPr>
      <w:bookmarkStart w:id="31" w:name="_Toc239417047"/>
      <w:r w:rsidRPr="005B771F">
        <w:rPr>
          <w:caps w:val="0"/>
        </w:rPr>
        <w:lastRenderedPageBreak/>
        <w:t>Resultados</w:t>
      </w:r>
      <w:bookmarkEnd w:id="31"/>
    </w:p>
    <w:p w14:paraId="244F51B9" w14:textId="071EA39D" w:rsidR="009F071D" w:rsidRPr="009F071D" w:rsidRDefault="009F071D" w:rsidP="009F071D">
      <w:r>
        <w:t xml:space="preserve">En este apartado se presentan los hallazgos derivados del análisis bioinformático de las diferentes cohortes de </w:t>
      </w:r>
      <w:r w:rsidR="002A4866">
        <w:t>CRC</w:t>
      </w:r>
      <w:r>
        <w:t>. Los resultados se exponen siguiendo de forma cronológica las etapas del flujo de trabajo metodológico. En primer lugar, se describen los análisis exploratorios y de control de calidad que validan la integridad de las muestras. Posteriormente, se detallan los perfiles de expresión diferencial obtenidos de manera independiente para cada serie, dando paso a la identificación de la firma molecular consenso. Finalmente, se aborda la caracterización funcional y el estudio de redes de interacción biológica de los genes comunes, sentando las bases para su posterior interpretación.</w:t>
      </w:r>
    </w:p>
    <w:p w14:paraId="0B181871" w14:textId="22F573B6" w:rsidR="00F3241D" w:rsidRPr="000D09A0" w:rsidRDefault="009F071D" w:rsidP="00F3241D">
      <w:pPr>
        <w:pStyle w:val="Ttulo2"/>
      </w:pPr>
      <w:bookmarkStart w:id="32" w:name="_Toc239417048"/>
      <w:r>
        <w:rPr>
          <w:caps w:val="0"/>
        </w:rPr>
        <w:t>Análisis</w:t>
      </w:r>
      <w:r w:rsidR="00F3241D" w:rsidRPr="005B771F">
        <w:rPr>
          <w:caps w:val="0"/>
        </w:rPr>
        <w:t xml:space="preserve"> Exp</w:t>
      </w:r>
      <w:r>
        <w:rPr>
          <w:caps w:val="0"/>
        </w:rPr>
        <w:t>loratorio y Control de Calidad Inicial</w:t>
      </w:r>
      <w:bookmarkEnd w:id="32"/>
    </w:p>
    <w:p w14:paraId="2B15B777" w14:textId="77777777" w:rsidR="00861AA9" w:rsidRDefault="00861AA9" w:rsidP="00861AA9">
      <w:r>
        <w:t xml:space="preserve">Como se introdujo al inicio de la metodología, las seis cohortes seleccionadas para este estudio presentan una gran variabilidad en cuanto a su tamaño muestral y su origen. Por esta razón, y antes de avanzar hacia el modelado estadístico con </w:t>
      </w:r>
      <w:r w:rsidRPr="00861AA9">
        <w:t>DESeq2</w:t>
      </w:r>
      <w:r>
        <w:t xml:space="preserve">, se aplicó un filtrado dinámico adaptado a dicha heterogeneidad. Al eliminar de las matrices de conteos aquellos transcritos con baja expresión, este filtro ayuda a reducir el ruido de fondo técnico. Los resultados de este proceso se detallan a continuación en la </w:t>
      </w:r>
      <w:r w:rsidRPr="00861AA9">
        <w:rPr>
          <w:i/>
          <w:iCs/>
        </w:rPr>
        <w:t>Tabla 2</w:t>
      </w:r>
      <w:r>
        <w:t>.</w:t>
      </w:r>
    </w:p>
    <w:p w14:paraId="6C98B7C1" w14:textId="28BCDE88" w:rsidR="006E3EE4" w:rsidRDefault="002079D1" w:rsidP="00861AA9">
      <w:r w:rsidRPr="002079D1">
        <w:t xml:space="preserve">Como se observa en los resultados, la escala de las cohortes abarca desde las 10 muestras de </w:t>
      </w:r>
      <w:r w:rsidRPr="002079D1">
        <w:rPr>
          <w:i/>
          <w:iCs/>
        </w:rPr>
        <w:t>GSE164541</w:t>
      </w:r>
      <w:r w:rsidRPr="002079D1">
        <w:t xml:space="preserve"> hasta las 514 de </w:t>
      </w:r>
      <w:r w:rsidRPr="002079D1">
        <w:rPr>
          <w:i/>
          <w:iCs/>
        </w:rPr>
        <w:t>TCGA-COAD</w:t>
      </w:r>
      <w:r w:rsidRPr="002079D1">
        <w:t xml:space="preserve">. Esta disparidad confirma la utilidad del parámetro </w:t>
      </w:r>
      <w:proofErr w:type="spellStart"/>
      <w:r w:rsidRPr="002079D1">
        <w:rPr>
          <w:i/>
          <w:iCs/>
        </w:rPr>
        <w:t>smallestGroupSize</w:t>
      </w:r>
      <w:proofErr w:type="spellEnd"/>
      <w:r w:rsidRPr="002079D1">
        <w:t xml:space="preserve">, el cual permitió adaptar el umbral de corte </w:t>
      </w:r>
      <w:r>
        <w:t>a</w:t>
      </w:r>
      <w:r w:rsidRPr="002079D1">
        <w:t xml:space="preserve"> cada serie. A pesar de que los conjuntos de datos partían de dimensiones muy diferentes, oscilando entre los 39.376 y los 60.660 transcritos, el filtrado estabilizó el número de genes en un intervalo estrecho</w:t>
      </w:r>
      <w:r>
        <w:t xml:space="preserve"> de</w:t>
      </w:r>
      <w:r w:rsidRPr="002079D1">
        <w:t xml:space="preserve"> entre 17.225 y 24.160. Este comportamiento sitúa el promedio general en torno a los 20.000 genes por cohorte, lo que estandariza el volumen de variables analizadas en todo el estudio. </w:t>
      </w:r>
    </w:p>
    <w:p w14:paraId="35AAD701" w14:textId="285C54B0" w:rsidR="002079D1" w:rsidRDefault="00C97641" w:rsidP="00861AA9">
      <w:r w:rsidRPr="00C97641">
        <w:t>Para evaluar de forma directa el impacto de esta optimización en la distribución y estructura de las cohortes, se generaron histogramas, diagramas de densidad y análisis de componentes principales comparativos para los estados previo y posterior al filtrado</w:t>
      </w:r>
      <w:r w:rsidR="00D35BA6">
        <w:t xml:space="preserve"> y la transformación logarítmica</w:t>
      </w:r>
      <w:r w:rsidRPr="00C97641">
        <w:t xml:space="preserve">. Estas </w:t>
      </w:r>
      <w:r>
        <w:t>representaciones gráficas</w:t>
      </w:r>
      <w:r w:rsidRPr="00C97641">
        <w:t xml:space="preserve"> permiten monitorizar los cambios </w:t>
      </w:r>
      <w:r>
        <w:t>dados</w:t>
      </w:r>
      <w:r w:rsidRPr="00C97641">
        <w:t xml:space="preserve"> en las muestras tras la eliminación del ruido. Con el fin de estructurar la exposición de estos resultados, la cohorte </w:t>
      </w:r>
      <w:r w:rsidRPr="00C97641">
        <w:rPr>
          <w:i/>
          <w:iCs/>
        </w:rPr>
        <w:t>GSE104836</w:t>
      </w:r>
      <w:r w:rsidRPr="00C97641">
        <w:t xml:space="preserve"> se seleccionó como modelo representativo para detallar las </w:t>
      </w:r>
      <w:r w:rsidRPr="00C97641">
        <w:lastRenderedPageBreak/>
        <w:t xml:space="preserve">variaciones observadas. Los gráficos correspondientes al resto de los </w:t>
      </w:r>
      <w:r>
        <w:t>datasets</w:t>
      </w:r>
      <w:r w:rsidRPr="00C97641">
        <w:t xml:space="preserve"> se encuentran en el repositorio de </w:t>
      </w:r>
      <w:hyperlink r:id="rId18" w:history="1">
        <w:r w:rsidRPr="00C97641">
          <w:rPr>
            <w:rStyle w:val="Hipervnculo"/>
          </w:rPr>
          <w:t>GitHub</w:t>
        </w:r>
      </w:hyperlink>
      <w:r w:rsidRPr="00C97641">
        <w:t xml:space="preserve"> del proyecto.</w:t>
      </w:r>
    </w:p>
    <w:p w14:paraId="169E69CC" w14:textId="0AD92CF4" w:rsidR="00EF779E" w:rsidRDefault="00EF779E" w:rsidP="00EF779E">
      <w:pPr>
        <w:pStyle w:val="TtuloTDC"/>
        <w:spacing w:after="0"/>
      </w:pPr>
      <w:bookmarkStart w:id="33" w:name="_Toc238816333"/>
      <w:r w:rsidRPr="00CF3B8A">
        <w:t xml:space="preserve">Tabla </w:t>
      </w:r>
      <w:r>
        <w:t>2</w:t>
      </w:r>
      <w:r w:rsidRPr="00CF3B8A">
        <w:t xml:space="preserve">. </w:t>
      </w:r>
      <w:r w:rsidRPr="00EF779E">
        <w:t>Dimensiones estructurales de las cohortes de estudio y rendimiento del filtrado dinámico de baja expresión génica previo al modelado estadístico</w:t>
      </w:r>
      <w:r w:rsidRPr="00CF3B8A">
        <w:t>.</w:t>
      </w:r>
      <w:bookmarkEnd w:id="33"/>
    </w:p>
    <w:tbl>
      <w:tblPr>
        <w:tblStyle w:val="Tablaconcuadrcula7concolores"/>
        <w:tblW w:w="5001" w:type="pct"/>
        <w:tblLayout w:type="fixed"/>
        <w:tblLook w:val="04A0" w:firstRow="1" w:lastRow="0" w:firstColumn="1" w:lastColumn="0" w:noHBand="0" w:noVBand="1"/>
      </w:tblPr>
      <w:tblGrid>
        <w:gridCol w:w="1327"/>
        <w:gridCol w:w="1139"/>
        <w:gridCol w:w="2393"/>
        <w:gridCol w:w="1150"/>
        <w:gridCol w:w="1366"/>
        <w:gridCol w:w="1698"/>
      </w:tblGrid>
      <w:tr w:rsidR="006A7207" w:rsidRPr="00970175" w14:paraId="349C1523" w14:textId="09ABF416" w:rsidTr="00C85C10">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731" w:type="pct"/>
            <w:vAlign w:val="center"/>
          </w:tcPr>
          <w:p w14:paraId="3E465E41" w14:textId="77777777" w:rsidR="006A7207" w:rsidRPr="00E83CAD" w:rsidRDefault="006A7207" w:rsidP="007C4BF1">
            <w:pPr>
              <w:jc w:val="center"/>
              <w:rPr>
                <w:rFonts w:cstheme="minorHAnsi"/>
                <w:i w:val="0"/>
                <w:iCs w:val="0"/>
                <w:color w:val="auto"/>
              </w:rPr>
            </w:pPr>
            <w:r w:rsidRPr="00E83CAD">
              <w:rPr>
                <w:rFonts w:cstheme="minorHAnsi"/>
                <w:b w:val="0"/>
                <w:bCs w:val="0"/>
                <w:i w:val="0"/>
                <w:iCs w:val="0"/>
                <w:color w:val="auto"/>
              </w:rPr>
              <w:t>ID Dataset</w:t>
            </w:r>
          </w:p>
        </w:tc>
        <w:tc>
          <w:tcPr>
            <w:tcW w:w="627" w:type="pct"/>
            <w:vAlign w:val="center"/>
          </w:tcPr>
          <w:p w14:paraId="2C9ABA75" w14:textId="4D573053" w:rsidR="006A7207" w:rsidRPr="00970175" w:rsidRDefault="006A7207" w:rsidP="007C4BF1">
            <w:pPr>
              <w:jc w:val="center"/>
              <w:cnfStyle w:val="100000000000" w:firstRow="1" w:lastRow="0" w:firstColumn="0" w:lastColumn="0" w:oddVBand="0" w:evenVBand="0" w:oddHBand="0" w:evenHBand="0" w:firstRowFirstColumn="0" w:firstRowLastColumn="0" w:lastRowFirstColumn="0" w:lastRowLastColumn="0"/>
              <w:rPr>
                <w:rFonts w:cstheme="minorHAnsi"/>
                <w:color w:val="auto"/>
              </w:rPr>
            </w:pPr>
            <w:r>
              <w:rPr>
                <w:rFonts w:cstheme="minorHAnsi"/>
                <w:b w:val="0"/>
                <w:bCs w:val="0"/>
                <w:color w:val="auto"/>
              </w:rPr>
              <w:t>Muestras</w:t>
            </w:r>
            <w:r w:rsidRPr="00970175">
              <w:rPr>
                <w:rFonts w:cstheme="minorHAnsi"/>
                <w:b w:val="0"/>
                <w:bCs w:val="0"/>
                <w:color w:val="auto"/>
              </w:rPr>
              <w:t xml:space="preserve"> (</w:t>
            </w:r>
            <m:oMath>
              <m:r>
                <m:rPr>
                  <m:sty m:val="bi"/>
                </m:rPr>
                <w:rPr>
                  <w:rFonts w:ascii="Cambria Math" w:hAnsi="Cambria Math" w:cstheme="minorHAnsi"/>
                  <w:color w:val="auto"/>
                </w:rPr>
                <m:t>N</m:t>
              </m:r>
            </m:oMath>
            <w:r w:rsidRPr="00970175">
              <w:rPr>
                <w:rFonts w:cstheme="minorHAnsi"/>
                <w:b w:val="0"/>
                <w:bCs w:val="0"/>
                <w:color w:val="auto"/>
              </w:rPr>
              <w:t>)</w:t>
            </w:r>
          </w:p>
        </w:tc>
        <w:tc>
          <w:tcPr>
            <w:tcW w:w="1319" w:type="pct"/>
            <w:vAlign w:val="center"/>
          </w:tcPr>
          <w:p w14:paraId="46EFE1FC" w14:textId="2EFE9BDD" w:rsidR="006A7207" w:rsidRPr="00970175" w:rsidRDefault="006A7207" w:rsidP="007C4BF1">
            <w:pPr>
              <w:jc w:val="center"/>
              <w:cnfStyle w:val="100000000000" w:firstRow="1" w:lastRow="0" w:firstColumn="0" w:lastColumn="0" w:oddVBand="0" w:evenVBand="0" w:oddHBand="0" w:evenHBand="0" w:firstRowFirstColumn="0" w:firstRowLastColumn="0" w:lastRowFirstColumn="0" w:lastRowLastColumn="0"/>
              <w:rPr>
                <w:rFonts w:cstheme="minorHAnsi"/>
                <w:color w:val="auto"/>
              </w:rPr>
            </w:pPr>
            <w:r>
              <w:rPr>
                <w:rFonts w:cstheme="minorHAnsi"/>
                <w:b w:val="0"/>
                <w:bCs w:val="0"/>
                <w:color w:val="auto"/>
              </w:rPr>
              <w:t>Umbral Muestras</w:t>
            </w:r>
            <w:r w:rsidRPr="00970175">
              <w:rPr>
                <w:rFonts w:cstheme="minorHAnsi"/>
                <w:b w:val="0"/>
                <w:bCs w:val="0"/>
                <w:color w:val="auto"/>
              </w:rPr>
              <w:t xml:space="preserve"> </w:t>
            </w:r>
            <w:r>
              <w:rPr>
                <w:rFonts w:cstheme="minorHAnsi"/>
                <w:b w:val="0"/>
                <w:bCs w:val="0"/>
                <w:color w:val="auto"/>
              </w:rPr>
              <w:t>(</w:t>
            </w:r>
            <m:oMath>
              <m:r>
                <m:rPr>
                  <m:sty m:val="bi"/>
                </m:rPr>
                <w:rPr>
                  <w:rFonts w:ascii="Cambria Math" w:hAnsi="Cambria Math" w:cstheme="minorHAnsi"/>
                  <w:color w:val="auto"/>
                  <w:sz w:val="20"/>
                  <w:szCs w:val="20"/>
                </w:rPr>
                <m:t>smallestGroupSize</m:t>
              </m:r>
            </m:oMath>
            <w:r>
              <w:rPr>
                <w:rFonts w:cstheme="minorHAnsi"/>
                <w:b w:val="0"/>
                <w:bCs w:val="0"/>
                <w:color w:val="auto"/>
              </w:rPr>
              <w:t>)</w:t>
            </w:r>
          </w:p>
        </w:tc>
        <w:tc>
          <w:tcPr>
            <w:tcW w:w="634" w:type="pct"/>
            <w:vAlign w:val="center"/>
          </w:tcPr>
          <w:p w14:paraId="7BBD6552" w14:textId="4EAF6208" w:rsidR="006A7207" w:rsidRPr="00970175" w:rsidRDefault="006A7207" w:rsidP="007C4BF1">
            <w:pPr>
              <w:jc w:val="center"/>
              <w:cnfStyle w:val="100000000000" w:firstRow="1" w:lastRow="0" w:firstColumn="0" w:lastColumn="0" w:oddVBand="0" w:evenVBand="0" w:oddHBand="0" w:evenHBand="0" w:firstRowFirstColumn="0" w:firstRowLastColumn="0" w:lastRowFirstColumn="0" w:lastRowLastColumn="0"/>
              <w:rPr>
                <w:rFonts w:cstheme="minorHAnsi"/>
                <w:color w:val="auto"/>
              </w:rPr>
            </w:pPr>
            <w:r>
              <w:rPr>
                <w:rFonts w:cstheme="minorHAnsi"/>
                <w:b w:val="0"/>
                <w:bCs w:val="0"/>
                <w:color w:val="auto"/>
              </w:rPr>
              <w:t>Genes Iniciales</w:t>
            </w:r>
          </w:p>
        </w:tc>
        <w:tc>
          <w:tcPr>
            <w:tcW w:w="753" w:type="pct"/>
            <w:vAlign w:val="center"/>
          </w:tcPr>
          <w:p w14:paraId="2BE506C2" w14:textId="683626BE" w:rsidR="006A7207" w:rsidRPr="00970175" w:rsidRDefault="006A7207" w:rsidP="007C4BF1">
            <w:pPr>
              <w:jc w:val="center"/>
              <w:cnfStyle w:val="100000000000" w:firstRow="1" w:lastRow="0" w:firstColumn="0" w:lastColumn="0" w:oddVBand="0" w:evenVBand="0" w:oddHBand="0" w:evenHBand="0" w:firstRowFirstColumn="0" w:firstRowLastColumn="0" w:lastRowFirstColumn="0" w:lastRowLastColumn="0"/>
              <w:rPr>
                <w:rFonts w:cstheme="minorHAnsi"/>
                <w:color w:val="auto"/>
              </w:rPr>
            </w:pPr>
            <w:r>
              <w:rPr>
                <w:rFonts w:cstheme="minorHAnsi"/>
                <w:b w:val="0"/>
                <w:bCs w:val="0"/>
                <w:color w:val="auto"/>
              </w:rPr>
              <w:t>Genes Eliminados</w:t>
            </w:r>
          </w:p>
        </w:tc>
        <w:tc>
          <w:tcPr>
            <w:tcW w:w="936" w:type="pct"/>
            <w:vAlign w:val="center"/>
          </w:tcPr>
          <w:p w14:paraId="0C40FFA5" w14:textId="02596669" w:rsidR="006A7207" w:rsidRPr="00970175" w:rsidRDefault="006A7207" w:rsidP="007C4BF1">
            <w:pPr>
              <w:jc w:val="center"/>
              <w:cnfStyle w:val="100000000000" w:firstRow="1" w:lastRow="0" w:firstColumn="0" w:lastColumn="0" w:oddVBand="0" w:evenVBand="0" w:oddHBand="0" w:evenHBand="0" w:firstRowFirstColumn="0" w:firstRowLastColumn="0" w:lastRowFirstColumn="0" w:lastRowLastColumn="0"/>
              <w:rPr>
                <w:rFonts w:cstheme="minorHAnsi"/>
                <w:color w:val="auto"/>
              </w:rPr>
            </w:pPr>
            <w:r>
              <w:rPr>
                <w:rFonts w:cstheme="minorHAnsi"/>
                <w:b w:val="0"/>
                <w:bCs w:val="0"/>
                <w:color w:val="auto"/>
              </w:rPr>
              <w:t>Genes Retenidos (%)</w:t>
            </w:r>
          </w:p>
        </w:tc>
      </w:tr>
      <w:tr w:rsidR="006A7207" w:rsidRPr="00970175" w14:paraId="252A1957" w14:textId="67340129" w:rsidTr="00C85C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1" w:type="pct"/>
            <w:vAlign w:val="center"/>
          </w:tcPr>
          <w:p w14:paraId="62E3C265" w14:textId="77777777" w:rsidR="006A7207" w:rsidRPr="00970175" w:rsidRDefault="006A7207" w:rsidP="007C4BF1">
            <w:pPr>
              <w:jc w:val="center"/>
              <w:rPr>
                <w:rFonts w:cstheme="minorHAnsi"/>
              </w:rPr>
            </w:pPr>
            <w:r w:rsidRPr="00970175">
              <w:rPr>
                <w:rFonts w:cstheme="minorHAnsi"/>
                <w:color w:val="000000"/>
              </w:rPr>
              <w:t>GSE50760</w:t>
            </w:r>
          </w:p>
        </w:tc>
        <w:tc>
          <w:tcPr>
            <w:tcW w:w="627" w:type="pct"/>
            <w:vAlign w:val="center"/>
          </w:tcPr>
          <w:p w14:paraId="56A57EFF" w14:textId="5FB69750" w:rsidR="006A7207" w:rsidRPr="00970175" w:rsidRDefault="00C85C10" w:rsidP="007C4BF1">
            <w:pPr>
              <w:jc w:val="center"/>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color w:val="000000"/>
              </w:rPr>
              <w:t>36</w:t>
            </w:r>
          </w:p>
        </w:tc>
        <w:tc>
          <w:tcPr>
            <w:tcW w:w="1319" w:type="pct"/>
            <w:vAlign w:val="center"/>
          </w:tcPr>
          <w:p w14:paraId="2605E277" w14:textId="77777777" w:rsidR="006A7207" w:rsidRPr="00970175" w:rsidRDefault="006A7207" w:rsidP="007C4BF1">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970175">
              <w:rPr>
                <w:rFonts w:cstheme="minorHAnsi"/>
                <w:color w:val="000000"/>
              </w:rPr>
              <w:t>18</w:t>
            </w:r>
          </w:p>
        </w:tc>
        <w:tc>
          <w:tcPr>
            <w:tcW w:w="634" w:type="pct"/>
            <w:vAlign w:val="center"/>
          </w:tcPr>
          <w:p w14:paraId="4ACDC34D" w14:textId="0AFA8608" w:rsidR="006A7207" w:rsidRPr="00C85C10" w:rsidRDefault="00C85C10" w:rsidP="00C85C10">
            <w:pPr>
              <w:jc w:val="center"/>
              <w:cnfStyle w:val="000000100000" w:firstRow="0" w:lastRow="0" w:firstColumn="0" w:lastColumn="0" w:oddVBand="0" w:evenVBand="0" w:oddHBand="1" w:evenHBand="0" w:firstRowFirstColumn="0" w:firstRowLastColumn="0" w:lastRowFirstColumn="0" w:lastRowLastColumn="0"/>
              <w:rPr>
                <w:rFonts w:cstheme="minorHAnsi"/>
                <w:color w:val="000000"/>
              </w:rPr>
            </w:pPr>
            <w:r w:rsidRPr="00C85C10">
              <w:rPr>
                <w:rFonts w:cstheme="minorHAnsi"/>
                <w:color w:val="000000"/>
              </w:rPr>
              <w:t>39</w:t>
            </w:r>
            <w:r>
              <w:rPr>
                <w:rFonts w:cstheme="minorHAnsi"/>
                <w:color w:val="000000"/>
              </w:rPr>
              <w:t>.</w:t>
            </w:r>
            <w:r w:rsidRPr="00C85C10">
              <w:rPr>
                <w:rFonts w:cstheme="minorHAnsi"/>
                <w:color w:val="000000"/>
              </w:rPr>
              <w:t>376</w:t>
            </w:r>
          </w:p>
        </w:tc>
        <w:tc>
          <w:tcPr>
            <w:tcW w:w="753" w:type="pct"/>
            <w:vAlign w:val="center"/>
          </w:tcPr>
          <w:p w14:paraId="52CA332B" w14:textId="25CCD26F" w:rsidR="006A7207" w:rsidRPr="00970175" w:rsidRDefault="00C85C10" w:rsidP="00C85C10">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C85C10">
              <w:rPr>
                <w:rFonts w:cstheme="minorHAnsi"/>
              </w:rPr>
              <w:t>19</w:t>
            </w:r>
            <w:r>
              <w:rPr>
                <w:rFonts w:cstheme="minorHAnsi"/>
              </w:rPr>
              <w:t>.</w:t>
            </w:r>
            <w:r w:rsidRPr="00C85C10">
              <w:rPr>
                <w:rFonts w:cstheme="minorHAnsi"/>
              </w:rPr>
              <w:t>568</w:t>
            </w:r>
          </w:p>
        </w:tc>
        <w:tc>
          <w:tcPr>
            <w:tcW w:w="936" w:type="pct"/>
            <w:vAlign w:val="center"/>
          </w:tcPr>
          <w:p w14:paraId="3219DC6D" w14:textId="0CF8B60C" w:rsidR="006A7207" w:rsidRPr="00970175" w:rsidRDefault="00C85C10" w:rsidP="007C4BF1">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C85C10">
              <w:rPr>
                <w:rFonts w:cstheme="minorHAnsi"/>
                <w:color w:val="000000"/>
              </w:rPr>
              <w:t>19</w:t>
            </w:r>
            <w:r>
              <w:rPr>
                <w:rFonts w:cstheme="minorHAnsi"/>
                <w:color w:val="000000"/>
              </w:rPr>
              <w:t>.</w:t>
            </w:r>
            <w:r w:rsidRPr="00C85C10">
              <w:rPr>
                <w:rFonts w:cstheme="minorHAnsi"/>
                <w:color w:val="000000"/>
              </w:rPr>
              <w:t xml:space="preserve">808 </w:t>
            </w:r>
            <w:r>
              <w:rPr>
                <w:rFonts w:cstheme="minorHAnsi"/>
                <w:color w:val="000000"/>
              </w:rPr>
              <w:t>(50,30)</w:t>
            </w:r>
          </w:p>
        </w:tc>
      </w:tr>
      <w:tr w:rsidR="006A7207" w:rsidRPr="00970175" w14:paraId="456B7DA3" w14:textId="70B0B1CF" w:rsidTr="00C85C10">
        <w:tc>
          <w:tcPr>
            <w:cnfStyle w:val="001000000000" w:firstRow="0" w:lastRow="0" w:firstColumn="1" w:lastColumn="0" w:oddVBand="0" w:evenVBand="0" w:oddHBand="0" w:evenHBand="0" w:firstRowFirstColumn="0" w:firstRowLastColumn="0" w:lastRowFirstColumn="0" w:lastRowLastColumn="0"/>
            <w:tcW w:w="731" w:type="pct"/>
            <w:vAlign w:val="center"/>
          </w:tcPr>
          <w:p w14:paraId="5B1AECFB" w14:textId="77777777" w:rsidR="006A7207" w:rsidRPr="00970175" w:rsidRDefault="006A7207" w:rsidP="007C4BF1">
            <w:pPr>
              <w:jc w:val="center"/>
              <w:rPr>
                <w:rFonts w:cstheme="minorHAnsi"/>
              </w:rPr>
            </w:pPr>
            <w:r w:rsidRPr="00970175">
              <w:rPr>
                <w:rFonts w:cstheme="minorHAnsi"/>
                <w:color w:val="000000"/>
              </w:rPr>
              <w:t>GSE104836</w:t>
            </w:r>
          </w:p>
        </w:tc>
        <w:tc>
          <w:tcPr>
            <w:tcW w:w="627" w:type="pct"/>
            <w:vAlign w:val="center"/>
          </w:tcPr>
          <w:p w14:paraId="330232E0" w14:textId="77777777" w:rsidR="006A7207" w:rsidRPr="00970175" w:rsidRDefault="006A7207" w:rsidP="007C4BF1">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970175">
              <w:rPr>
                <w:rFonts w:cstheme="minorHAnsi"/>
                <w:color w:val="000000"/>
              </w:rPr>
              <w:t>20</w:t>
            </w:r>
          </w:p>
        </w:tc>
        <w:tc>
          <w:tcPr>
            <w:tcW w:w="1319" w:type="pct"/>
            <w:vAlign w:val="center"/>
          </w:tcPr>
          <w:p w14:paraId="76667F1B" w14:textId="77777777" w:rsidR="006A7207" w:rsidRPr="00970175" w:rsidRDefault="006A7207" w:rsidP="007C4BF1">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970175">
              <w:rPr>
                <w:rFonts w:cstheme="minorHAnsi"/>
                <w:color w:val="000000"/>
              </w:rPr>
              <w:t>10</w:t>
            </w:r>
          </w:p>
        </w:tc>
        <w:tc>
          <w:tcPr>
            <w:tcW w:w="634" w:type="pct"/>
            <w:vAlign w:val="center"/>
          </w:tcPr>
          <w:p w14:paraId="552736CD" w14:textId="0CDAD328" w:rsidR="006A7207" w:rsidRPr="00970175" w:rsidRDefault="00C85C10" w:rsidP="007C4BF1">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C85C10">
              <w:rPr>
                <w:rFonts w:cstheme="minorHAnsi"/>
                <w:color w:val="000000"/>
              </w:rPr>
              <w:t>39</w:t>
            </w:r>
            <w:r>
              <w:rPr>
                <w:rFonts w:cstheme="minorHAnsi"/>
                <w:color w:val="000000"/>
              </w:rPr>
              <w:t>.</w:t>
            </w:r>
            <w:r w:rsidRPr="00C85C10">
              <w:rPr>
                <w:rFonts w:cstheme="minorHAnsi"/>
                <w:color w:val="000000"/>
              </w:rPr>
              <w:t>376</w:t>
            </w:r>
          </w:p>
        </w:tc>
        <w:tc>
          <w:tcPr>
            <w:tcW w:w="753" w:type="pct"/>
            <w:vAlign w:val="center"/>
          </w:tcPr>
          <w:p w14:paraId="5C6E4A63" w14:textId="22416B82" w:rsidR="006A7207" w:rsidRPr="00970175" w:rsidRDefault="00C85C10" w:rsidP="00C85C10">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C85C10">
              <w:rPr>
                <w:rFonts w:cstheme="minorHAnsi"/>
              </w:rPr>
              <w:t>16</w:t>
            </w:r>
            <w:r>
              <w:rPr>
                <w:rFonts w:cstheme="minorHAnsi"/>
              </w:rPr>
              <w:t>.</w:t>
            </w:r>
            <w:r w:rsidRPr="00C85C10">
              <w:rPr>
                <w:rFonts w:cstheme="minorHAnsi"/>
              </w:rPr>
              <w:t>067</w:t>
            </w:r>
          </w:p>
        </w:tc>
        <w:tc>
          <w:tcPr>
            <w:tcW w:w="936" w:type="pct"/>
            <w:vAlign w:val="center"/>
          </w:tcPr>
          <w:p w14:paraId="0E2891BB" w14:textId="4077D065" w:rsidR="006A7207" w:rsidRPr="00970175" w:rsidRDefault="00C85C10" w:rsidP="007C4BF1">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C85C10">
              <w:rPr>
                <w:rFonts w:cstheme="minorHAnsi"/>
                <w:color w:val="000000"/>
              </w:rPr>
              <w:t>23</w:t>
            </w:r>
            <w:r>
              <w:rPr>
                <w:rFonts w:cstheme="minorHAnsi"/>
                <w:color w:val="000000"/>
              </w:rPr>
              <w:t>.</w:t>
            </w:r>
            <w:r w:rsidRPr="00C85C10">
              <w:rPr>
                <w:rFonts w:cstheme="minorHAnsi"/>
                <w:color w:val="000000"/>
              </w:rPr>
              <w:t>309</w:t>
            </w:r>
            <w:r>
              <w:rPr>
                <w:rFonts w:cstheme="minorHAnsi"/>
                <w:color w:val="000000"/>
              </w:rPr>
              <w:t xml:space="preserve"> (59,20)</w:t>
            </w:r>
          </w:p>
        </w:tc>
      </w:tr>
      <w:tr w:rsidR="006A7207" w:rsidRPr="00970175" w14:paraId="091BCB13" w14:textId="7BF8B0ED" w:rsidTr="00C85C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1" w:type="pct"/>
            <w:vAlign w:val="center"/>
          </w:tcPr>
          <w:p w14:paraId="47BFB3BA" w14:textId="77777777" w:rsidR="006A7207" w:rsidRPr="00970175" w:rsidRDefault="006A7207" w:rsidP="007C4BF1">
            <w:pPr>
              <w:jc w:val="center"/>
              <w:rPr>
                <w:rFonts w:cstheme="minorHAnsi"/>
              </w:rPr>
            </w:pPr>
            <w:r w:rsidRPr="00970175">
              <w:rPr>
                <w:rFonts w:cstheme="minorHAnsi"/>
                <w:color w:val="000000"/>
              </w:rPr>
              <w:t>GSE142279</w:t>
            </w:r>
          </w:p>
        </w:tc>
        <w:tc>
          <w:tcPr>
            <w:tcW w:w="627" w:type="pct"/>
            <w:vAlign w:val="center"/>
          </w:tcPr>
          <w:p w14:paraId="205EB46C" w14:textId="77777777" w:rsidR="006A7207" w:rsidRPr="00970175" w:rsidRDefault="006A7207" w:rsidP="007C4BF1">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970175">
              <w:rPr>
                <w:rFonts w:cstheme="minorHAnsi"/>
                <w:color w:val="000000"/>
              </w:rPr>
              <w:t>40</w:t>
            </w:r>
          </w:p>
        </w:tc>
        <w:tc>
          <w:tcPr>
            <w:tcW w:w="1319" w:type="pct"/>
            <w:vAlign w:val="center"/>
          </w:tcPr>
          <w:p w14:paraId="6C3C6282" w14:textId="77777777" w:rsidR="006A7207" w:rsidRPr="00970175" w:rsidRDefault="006A7207" w:rsidP="007C4BF1">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970175">
              <w:rPr>
                <w:rFonts w:cstheme="minorHAnsi"/>
                <w:color w:val="000000"/>
              </w:rPr>
              <w:t>20</w:t>
            </w:r>
          </w:p>
        </w:tc>
        <w:tc>
          <w:tcPr>
            <w:tcW w:w="634" w:type="pct"/>
            <w:vAlign w:val="center"/>
          </w:tcPr>
          <w:p w14:paraId="639BF5CF" w14:textId="1750689C" w:rsidR="006A7207" w:rsidRPr="00970175" w:rsidRDefault="00C85C10" w:rsidP="007C4BF1">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C85C10">
              <w:rPr>
                <w:rFonts w:cstheme="minorHAnsi"/>
                <w:color w:val="000000"/>
              </w:rPr>
              <w:t>39</w:t>
            </w:r>
            <w:r>
              <w:rPr>
                <w:rFonts w:cstheme="minorHAnsi"/>
                <w:color w:val="000000"/>
              </w:rPr>
              <w:t>.</w:t>
            </w:r>
            <w:r w:rsidRPr="00C85C10">
              <w:rPr>
                <w:rFonts w:cstheme="minorHAnsi"/>
                <w:color w:val="000000"/>
              </w:rPr>
              <w:t>376</w:t>
            </w:r>
          </w:p>
        </w:tc>
        <w:tc>
          <w:tcPr>
            <w:tcW w:w="753" w:type="pct"/>
            <w:vAlign w:val="center"/>
          </w:tcPr>
          <w:p w14:paraId="7131E548" w14:textId="708E4E33" w:rsidR="006A7207" w:rsidRPr="00970175" w:rsidRDefault="00F569C4" w:rsidP="00F569C4">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F569C4">
              <w:rPr>
                <w:rFonts w:cstheme="minorHAnsi"/>
              </w:rPr>
              <w:t>19</w:t>
            </w:r>
            <w:r>
              <w:rPr>
                <w:rFonts w:cstheme="minorHAnsi"/>
              </w:rPr>
              <w:t>.</w:t>
            </w:r>
            <w:r w:rsidRPr="00F569C4">
              <w:rPr>
                <w:rFonts w:cstheme="minorHAnsi"/>
              </w:rPr>
              <w:t>828</w:t>
            </w:r>
          </w:p>
        </w:tc>
        <w:tc>
          <w:tcPr>
            <w:tcW w:w="936" w:type="pct"/>
            <w:vAlign w:val="center"/>
          </w:tcPr>
          <w:p w14:paraId="2235E841" w14:textId="420C955F" w:rsidR="006A7207" w:rsidRPr="00970175" w:rsidRDefault="00F569C4" w:rsidP="007C4BF1">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F569C4">
              <w:rPr>
                <w:rFonts w:cstheme="minorHAnsi"/>
                <w:color w:val="000000"/>
              </w:rPr>
              <w:t>19</w:t>
            </w:r>
            <w:r>
              <w:rPr>
                <w:rFonts w:cstheme="minorHAnsi"/>
                <w:color w:val="000000"/>
              </w:rPr>
              <w:t>.</w:t>
            </w:r>
            <w:r w:rsidRPr="00F569C4">
              <w:rPr>
                <w:rFonts w:cstheme="minorHAnsi"/>
                <w:color w:val="000000"/>
              </w:rPr>
              <w:t>548</w:t>
            </w:r>
            <w:r>
              <w:rPr>
                <w:rFonts w:cstheme="minorHAnsi"/>
                <w:color w:val="000000"/>
              </w:rPr>
              <w:t xml:space="preserve"> (49,64)</w:t>
            </w:r>
          </w:p>
        </w:tc>
      </w:tr>
      <w:tr w:rsidR="006A7207" w:rsidRPr="00970175" w14:paraId="408692D6" w14:textId="6CD93E71" w:rsidTr="00C85C10">
        <w:tc>
          <w:tcPr>
            <w:cnfStyle w:val="001000000000" w:firstRow="0" w:lastRow="0" w:firstColumn="1" w:lastColumn="0" w:oddVBand="0" w:evenVBand="0" w:oddHBand="0" w:evenHBand="0" w:firstRowFirstColumn="0" w:firstRowLastColumn="0" w:lastRowFirstColumn="0" w:lastRowLastColumn="0"/>
            <w:tcW w:w="731" w:type="pct"/>
            <w:vAlign w:val="center"/>
          </w:tcPr>
          <w:p w14:paraId="0A4A59FE" w14:textId="77777777" w:rsidR="006A7207" w:rsidRPr="00970175" w:rsidRDefault="006A7207" w:rsidP="007C4BF1">
            <w:pPr>
              <w:jc w:val="center"/>
              <w:rPr>
                <w:rFonts w:cstheme="minorHAnsi"/>
              </w:rPr>
            </w:pPr>
            <w:r w:rsidRPr="00970175">
              <w:rPr>
                <w:rFonts w:cstheme="minorHAnsi"/>
                <w:color w:val="000000"/>
              </w:rPr>
              <w:t>GSE156451</w:t>
            </w:r>
          </w:p>
        </w:tc>
        <w:tc>
          <w:tcPr>
            <w:tcW w:w="627" w:type="pct"/>
            <w:vAlign w:val="center"/>
          </w:tcPr>
          <w:p w14:paraId="616B20B1" w14:textId="77777777" w:rsidR="006A7207" w:rsidRPr="00970175" w:rsidRDefault="006A7207" w:rsidP="007C4BF1">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970175">
              <w:rPr>
                <w:rFonts w:cstheme="minorHAnsi"/>
                <w:color w:val="000000"/>
              </w:rPr>
              <w:t>95</w:t>
            </w:r>
          </w:p>
        </w:tc>
        <w:tc>
          <w:tcPr>
            <w:tcW w:w="1319" w:type="pct"/>
            <w:vAlign w:val="center"/>
          </w:tcPr>
          <w:p w14:paraId="65D201B6" w14:textId="77777777" w:rsidR="006A7207" w:rsidRPr="00970175" w:rsidRDefault="006A7207" w:rsidP="007C4BF1">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970175">
              <w:rPr>
                <w:rFonts w:cstheme="minorHAnsi"/>
                <w:color w:val="000000"/>
              </w:rPr>
              <w:t>47</w:t>
            </w:r>
          </w:p>
        </w:tc>
        <w:tc>
          <w:tcPr>
            <w:tcW w:w="634" w:type="pct"/>
            <w:vAlign w:val="center"/>
          </w:tcPr>
          <w:p w14:paraId="44989409" w14:textId="23106333" w:rsidR="006A7207" w:rsidRPr="00970175" w:rsidRDefault="00C85C10" w:rsidP="007C4BF1">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C85C10">
              <w:rPr>
                <w:rFonts w:cstheme="minorHAnsi"/>
                <w:color w:val="000000"/>
              </w:rPr>
              <w:t>39</w:t>
            </w:r>
            <w:r>
              <w:rPr>
                <w:rFonts w:cstheme="minorHAnsi"/>
                <w:color w:val="000000"/>
              </w:rPr>
              <w:t>.</w:t>
            </w:r>
            <w:r w:rsidRPr="00C85C10">
              <w:rPr>
                <w:rFonts w:cstheme="minorHAnsi"/>
                <w:color w:val="000000"/>
              </w:rPr>
              <w:t>376</w:t>
            </w:r>
          </w:p>
        </w:tc>
        <w:tc>
          <w:tcPr>
            <w:tcW w:w="753" w:type="pct"/>
            <w:vAlign w:val="center"/>
          </w:tcPr>
          <w:p w14:paraId="2C73ECD8" w14:textId="617C846F" w:rsidR="006A7207" w:rsidRPr="00970175" w:rsidRDefault="00F569C4" w:rsidP="00F569C4">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F569C4">
              <w:rPr>
                <w:rFonts w:cstheme="minorHAnsi"/>
              </w:rPr>
              <w:t>22</w:t>
            </w:r>
            <w:r>
              <w:rPr>
                <w:rFonts w:cstheme="minorHAnsi"/>
              </w:rPr>
              <w:t>.</w:t>
            </w:r>
            <w:r w:rsidRPr="00F569C4">
              <w:rPr>
                <w:rFonts w:cstheme="minorHAnsi"/>
              </w:rPr>
              <w:t>151</w:t>
            </w:r>
          </w:p>
        </w:tc>
        <w:tc>
          <w:tcPr>
            <w:tcW w:w="936" w:type="pct"/>
            <w:vAlign w:val="center"/>
          </w:tcPr>
          <w:p w14:paraId="7651F08F" w14:textId="3B9B0C15" w:rsidR="006A7207" w:rsidRPr="00970175" w:rsidRDefault="00F569C4" w:rsidP="007C4BF1">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F569C4">
              <w:rPr>
                <w:rFonts w:cstheme="minorHAnsi"/>
              </w:rPr>
              <w:t>17</w:t>
            </w:r>
            <w:r>
              <w:rPr>
                <w:rFonts w:cstheme="minorHAnsi"/>
              </w:rPr>
              <w:t>.</w:t>
            </w:r>
            <w:r w:rsidRPr="00F569C4">
              <w:rPr>
                <w:rFonts w:cstheme="minorHAnsi"/>
              </w:rPr>
              <w:t>225</w:t>
            </w:r>
            <w:r>
              <w:rPr>
                <w:rFonts w:cstheme="minorHAnsi"/>
              </w:rPr>
              <w:t xml:space="preserve"> (43,74)</w:t>
            </w:r>
          </w:p>
        </w:tc>
      </w:tr>
      <w:tr w:rsidR="006A7207" w:rsidRPr="00970175" w14:paraId="3DC36C5E" w14:textId="00B13CFC" w:rsidTr="00C85C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1" w:type="pct"/>
            <w:vAlign w:val="center"/>
          </w:tcPr>
          <w:p w14:paraId="05BC035F" w14:textId="77777777" w:rsidR="006A7207" w:rsidRPr="00970175" w:rsidRDefault="006A7207" w:rsidP="007C4BF1">
            <w:pPr>
              <w:jc w:val="center"/>
              <w:rPr>
                <w:rFonts w:cstheme="minorHAnsi"/>
              </w:rPr>
            </w:pPr>
            <w:r w:rsidRPr="00970175">
              <w:rPr>
                <w:rFonts w:cstheme="minorHAnsi"/>
                <w:color w:val="000000"/>
              </w:rPr>
              <w:t>GSE164541</w:t>
            </w:r>
          </w:p>
        </w:tc>
        <w:tc>
          <w:tcPr>
            <w:tcW w:w="627" w:type="pct"/>
            <w:vAlign w:val="center"/>
          </w:tcPr>
          <w:p w14:paraId="18DA0F02" w14:textId="45A2E2B2" w:rsidR="006A7207" w:rsidRPr="00970175" w:rsidRDefault="00C85C10" w:rsidP="007C4BF1">
            <w:pPr>
              <w:jc w:val="center"/>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color w:val="000000"/>
              </w:rPr>
              <w:t>10</w:t>
            </w:r>
          </w:p>
        </w:tc>
        <w:tc>
          <w:tcPr>
            <w:tcW w:w="1319" w:type="pct"/>
            <w:vAlign w:val="center"/>
          </w:tcPr>
          <w:p w14:paraId="007E7BC0" w14:textId="77777777" w:rsidR="006A7207" w:rsidRPr="00970175" w:rsidRDefault="006A7207" w:rsidP="007C4BF1">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970175">
              <w:rPr>
                <w:rFonts w:cstheme="minorHAnsi"/>
                <w:color w:val="000000"/>
              </w:rPr>
              <w:t>5</w:t>
            </w:r>
          </w:p>
        </w:tc>
        <w:tc>
          <w:tcPr>
            <w:tcW w:w="634" w:type="pct"/>
            <w:vAlign w:val="center"/>
          </w:tcPr>
          <w:p w14:paraId="0F5E14D3" w14:textId="385F56F0" w:rsidR="006A7207" w:rsidRPr="00970175" w:rsidRDefault="00C85C10" w:rsidP="007C4BF1">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C85C10">
              <w:rPr>
                <w:rFonts w:cstheme="minorHAnsi"/>
                <w:color w:val="000000"/>
              </w:rPr>
              <w:t>58</w:t>
            </w:r>
            <w:r>
              <w:rPr>
                <w:rFonts w:cstheme="minorHAnsi"/>
                <w:color w:val="000000"/>
              </w:rPr>
              <w:t>.</w:t>
            </w:r>
            <w:r w:rsidRPr="00C85C10">
              <w:rPr>
                <w:rFonts w:cstheme="minorHAnsi"/>
                <w:color w:val="000000"/>
              </w:rPr>
              <w:t>395</w:t>
            </w:r>
          </w:p>
        </w:tc>
        <w:tc>
          <w:tcPr>
            <w:tcW w:w="753" w:type="pct"/>
            <w:vAlign w:val="center"/>
          </w:tcPr>
          <w:p w14:paraId="27518C3E" w14:textId="65BD3E9C" w:rsidR="006A7207" w:rsidRPr="00970175" w:rsidRDefault="00C85C10" w:rsidP="007C4BF1">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C85C10">
              <w:rPr>
                <w:rFonts w:cstheme="minorHAnsi"/>
              </w:rPr>
              <w:t>40.870</w:t>
            </w:r>
          </w:p>
        </w:tc>
        <w:tc>
          <w:tcPr>
            <w:tcW w:w="936" w:type="pct"/>
            <w:vAlign w:val="center"/>
          </w:tcPr>
          <w:p w14:paraId="7E7DDE3B" w14:textId="51F80ADC" w:rsidR="006A7207" w:rsidRPr="00970175" w:rsidRDefault="00C85C10" w:rsidP="007C4BF1">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C85C10">
              <w:rPr>
                <w:rFonts w:cstheme="minorHAnsi"/>
                <w:color w:val="000000"/>
              </w:rPr>
              <w:t>17</w:t>
            </w:r>
            <w:r>
              <w:rPr>
                <w:rFonts w:cstheme="minorHAnsi"/>
                <w:color w:val="000000"/>
              </w:rPr>
              <w:t>.</w:t>
            </w:r>
            <w:r w:rsidRPr="00C85C10">
              <w:rPr>
                <w:rFonts w:cstheme="minorHAnsi"/>
                <w:color w:val="000000"/>
              </w:rPr>
              <w:t>525</w:t>
            </w:r>
            <w:r>
              <w:rPr>
                <w:rFonts w:cstheme="minorHAnsi"/>
                <w:color w:val="000000"/>
              </w:rPr>
              <w:t xml:space="preserve"> (30,01)</w:t>
            </w:r>
          </w:p>
        </w:tc>
      </w:tr>
      <w:tr w:rsidR="006A7207" w:rsidRPr="00970175" w14:paraId="0E40B63D" w14:textId="2130BDFC" w:rsidTr="00C85C10">
        <w:tc>
          <w:tcPr>
            <w:cnfStyle w:val="001000000000" w:firstRow="0" w:lastRow="0" w:firstColumn="1" w:lastColumn="0" w:oddVBand="0" w:evenVBand="0" w:oddHBand="0" w:evenHBand="0" w:firstRowFirstColumn="0" w:firstRowLastColumn="0" w:lastRowFirstColumn="0" w:lastRowLastColumn="0"/>
            <w:tcW w:w="731" w:type="pct"/>
            <w:vAlign w:val="center"/>
          </w:tcPr>
          <w:p w14:paraId="0D2115D0" w14:textId="77777777" w:rsidR="006A7207" w:rsidRPr="00970175" w:rsidRDefault="006A7207" w:rsidP="007C4BF1">
            <w:pPr>
              <w:jc w:val="center"/>
              <w:rPr>
                <w:rFonts w:cstheme="minorHAnsi"/>
              </w:rPr>
            </w:pPr>
            <w:r w:rsidRPr="00970175">
              <w:rPr>
                <w:rFonts w:cstheme="minorHAnsi"/>
                <w:color w:val="000000"/>
              </w:rPr>
              <w:t>TCGA-COAD</w:t>
            </w:r>
          </w:p>
        </w:tc>
        <w:tc>
          <w:tcPr>
            <w:tcW w:w="627" w:type="pct"/>
            <w:vAlign w:val="center"/>
          </w:tcPr>
          <w:p w14:paraId="494E80DD" w14:textId="213144E3" w:rsidR="006A7207" w:rsidRPr="00970175" w:rsidRDefault="006A7207" w:rsidP="007C4BF1">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970175">
              <w:rPr>
                <w:rFonts w:cstheme="minorHAnsi"/>
                <w:color w:val="000000"/>
              </w:rPr>
              <w:t>5</w:t>
            </w:r>
            <w:r w:rsidR="00C85C10">
              <w:rPr>
                <w:rFonts w:cstheme="minorHAnsi"/>
                <w:color w:val="000000"/>
              </w:rPr>
              <w:t>1</w:t>
            </w:r>
            <w:r w:rsidRPr="00970175">
              <w:rPr>
                <w:rFonts w:cstheme="minorHAnsi"/>
                <w:color w:val="000000"/>
              </w:rPr>
              <w:t>4</w:t>
            </w:r>
          </w:p>
        </w:tc>
        <w:tc>
          <w:tcPr>
            <w:tcW w:w="1319" w:type="pct"/>
            <w:vAlign w:val="center"/>
          </w:tcPr>
          <w:p w14:paraId="63B26FE1" w14:textId="77777777" w:rsidR="006A7207" w:rsidRPr="00970175" w:rsidRDefault="006A7207" w:rsidP="007C4BF1">
            <w:pPr>
              <w:jc w:val="cente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41</w:t>
            </w:r>
          </w:p>
        </w:tc>
        <w:tc>
          <w:tcPr>
            <w:tcW w:w="634" w:type="pct"/>
            <w:vAlign w:val="center"/>
          </w:tcPr>
          <w:p w14:paraId="4F7B0386" w14:textId="1176E92C" w:rsidR="006A7207" w:rsidRPr="00970175" w:rsidRDefault="00F569C4" w:rsidP="00F569C4">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F569C4">
              <w:rPr>
                <w:rFonts w:cstheme="minorHAnsi"/>
              </w:rPr>
              <w:t>60</w:t>
            </w:r>
            <w:r>
              <w:rPr>
                <w:rFonts w:cstheme="minorHAnsi"/>
              </w:rPr>
              <w:t>.</w:t>
            </w:r>
            <w:r w:rsidRPr="00F569C4">
              <w:rPr>
                <w:rFonts w:cstheme="minorHAnsi"/>
              </w:rPr>
              <w:t>660</w:t>
            </w:r>
          </w:p>
        </w:tc>
        <w:tc>
          <w:tcPr>
            <w:tcW w:w="753" w:type="pct"/>
            <w:vAlign w:val="center"/>
          </w:tcPr>
          <w:p w14:paraId="3D42FE07" w14:textId="0FF2E56C" w:rsidR="006A7207" w:rsidRPr="00970175" w:rsidRDefault="00F569C4" w:rsidP="00F569C4">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F569C4">
              <w:rPr>
                <w:rFonts w:cstheme="minorHAnsi"/>
              </w:rPr>
              <w:t>36</w:t>
            </w:r>
            <w:r>
              <w:rPr>
                <w:rFonts w:cstheme="minorHAnsi"/>
              </w:rPr>
              <w:t>.</w:t>
            </w:r>
            <w:r w:rsidRPr="00F569C4">
              <w:rPr>
                <w:rFonts w:cstheme="minorHAnsi"/>
              </w:rPr>
              <w:t>500</w:t>
            </w:r>
          </w:p>
        </w:tc>
        <w:tc>
          <w:tcPr>
            <w:tcW w:w="936" w:type="pct"/>
            <w:vAlign w:val="center"/>
          </w:tcPr>
          <w:p w14:paraId="4E181DEC" w14:textId="24551822" w:rsidR="006A7207" w:rsidRPr="00F569C4" w:rsidRDefault="00F569C4" w:rsidP="00F569C4">
            <w:pPr>
              <w:jc w:val="center"/>
              <w:cnfStyle w:val="000000000000" w:firstRow="0" w:lastRow="0" w:firstColumn="0" w:lastColumn="0" w:oddVBand="0" w:evenVBand="0" w:oddHBand="0" w:evenHBand="0" w:firstRowFirstColumn="0" w:firstRowLastColumn="0" w:lastRowFirstColumn="0" w:lastRowLastColumn="0"/>
              <w:rPr>
                <w:rFonts w:cstheme="minorHAnsi"/>
                <w:color w:val="000000"/>
              </w:rPr>
            </w:pPr>
            <w:r w:rsidRPr="00F569C4">
              <w:rPr>
                <w:rFonts w:cstheme="minorHAnsi"/>
                <w:color w:val="000000"/>
              </w:rPr>
              <w:t>24</w:t>
            </w:r>
            <w:r>
              <w:rPr>
                <w:rFonts w:cstheme="minorHAnsi"/>
                <w:color w:val="000000"/>
              </w:rPr>
              <w:t>.</w:t>
            </w:r>
            <w:r w:rsidRPr="00F569C4">
              <w:rPr>
                <w:rFonts w:cstheme="minorHAnsi"/>
                <w:color w:val="000000"/>
              </w:rPr>
              <w:t>160</w:t>
            </w:r>
            <w:r>
              <w:rPr>
                <w:rFonts w:cstheme="minorHAnsi"/>
                <w:color w:val="000000"/>
              </w:rPr>
              <w:t xml:space="preserve"> (39</w:t>
            </w:r>
            <w:r w:rsidR="00EF779E">
              <w:rPr>
                <w:rFonts w:cstheme="minorHAnsi"/>
                <w:color w:val="000000"/>
              </w:rPr>
              <w:t>,</w:t>
            </w:r>
            <w:r>
              <w:rPr>
                <w:rFonts w:cstheme="minorHAnsi"/>
                <w:color w:val="000000"/>
              </w:rPr>
              <w:t>83)</w:t>
            </w:r>
          </w:p>
        </w:tc>
      </w:tr>
    </w:tbl>
    <w:p w14:paraId="6F903261" w14:textId="77777777" w:rsidR="006A7207" w:rsidRDefault="006A7207">
      <w:pPr>
        <w:spacing w:before="0" w:after="0" w:line="240" w:lineRule="auto"/>
        <w:jc w:val="left"/>
      </w:pPr>
    </w:p>
    <w:p w14:paraId="15AEEDBD" w14:textId="7BFDB1EB" w:rsidR="0033324A" w:rsidRDefault="00294BBD" w:rsidP="00294BBD">
      <w:r w:rsidRPr="00294BBD">
        <w:t xml:space="preserve">En primer lugar, </w:t>
      </w:r>
      <w:r>
        <w:t>los</w:t>
      </w:r>
      <w:r w:rsidRPr="00294BBD">
        <w:t xml:space="preserve"> histograma</w:t>
      </w:r>
      <w:r>
        <w:t>s y diagramas de densidad</w:t>
      </w:r>
      <w:r w:rsidRPr="00294BBD">
        <w:t xml:space="preserve"> de conteos crudos iniciales revel</w:t>
      </w:r>
      <w:r>
        <w:t>aron</w:t>
      </w:r>
      <w:r w:rsidRPr="00294BBD">
        <w:t xml:space="preserve"> la marcada asimetría positiva característica de los experimentos de RNA-</w:t>
      </w:r>
      <w:proofErr w:type="spellStart"/>
      <w:r w:rsidRPr="00294BBD">
        <w:t>seq</w:t>
      </w:r>
      <w:proofErr w:type="spellEnd"/>
      <w:r w:rsidRPr="00294BBD">
        <w:t xml:space="preserve"> (</w:t>
      </w:r>
      <w:r w:rsidRPr="002A4866">
        <w:t xml:space="preserve">Figura </w:t>
      </w:r>
      <w:r w:rsidR="002A4866" w:rsidRPr="002A4866">
        <w:t>2</w:t>
      </w:r>
      <w:r w:rsidRPr="00294BBD">
        <w:t>). Est</w:t>
      </w:r>
      <w:r>
        <w:t>os</w:t>
      </w:r>
      <w:r w:rsidRPr="00294BBD">
        <w:t xml:space="preserve"> perfil</w:t>
      </w:r>
      <w:r>
        <w:t>es</w:t>
      </w:r>
      <w:r w:rsidRPr="00294BBD">
        <w:t xml:space="preserve"> se defini</w:t>
      </w:r>
      <w:r>
        <w:t>eron</w:t>
      </w:r>
      <w:r w:rsidRPr="00294BBD">
        <w:t xml:space="preserve"> por un </w:t>
      </w:r>
      <w:r>
        <w:t xml:space="preserve">pico pronunciado </w:t>
      </w:r>
      <w:r w:rsidRPr="00294BBD">
        <w:t xml:space="preserve">en el extremo izquierdo de la escala logarítmica, representativo del ruido de fondo de genes </w:t>
      </w:r>
      <w:r>
        <w:t xml:space="preserve">no expresados o con </w:t>
      </w:r>
      <w:r w:rsidRPr="00294BBD">
        <w:t>lecturas residuales.</w:t>
      </w:r>
      <w:r w:rsidR="00115357">
        <w:t xml:space="preserve"> </w:t>
      </w:r>
      <w:r w:rsidR="00115357" w:rsidRPr="00115357">
        <w:t>Tras aplicar el filtrado dinámico, los conteos retenidos se sometieron a la transformación de logaritmo regularizado (</w:t>
      </w:r>
      <w:proofErr w:type="spellStart"/>
      <w:r w:rsidR="00115357" w:rsidRPr="00115357">
        <w:rPr>
          <w:i/>
          <w:iCs/>
        </w:rPr>
        <w:t>rlog</w:t>
      </w:r>
      <w:proofErr w:type="spellEnd"/>
      <w:r w:rsidR="00115357">
        <w:t xml:space="preserve"> o </w:t>
      </w:r>
      <w:proofErr w:type="spellStart"/>
      <w:r w:rsidR="00115357" w:rsidRPr="00115357">
        <w:rPr>
          <w:i/>
          <w:iCs/>
        </w:rPr>
        <w:t>vs</w:t>
      </w:r>
      <w:r w:rsidR="00115357">
        <w:rPr>
          <w:i/>
          <w:iCs/>
        </w:rPr>
        <w:t>t</w:t>
      </w:r>
      <w:proofErr w:type="spellEnd"/>
      <w:r w:rsidR="00115357">
        <w:t xml:space="preserve"> según el tamaño muestral</w:t>
      </w:r>
      <w:r w:rsidR="00115357" w:rsidRPr="00115357">
        <w:t>), eliminando por completo este sesgo técnico (</w:t>
      </w:r>
      <w:r w:rsidR="002A4866" w:rsidRPr="002A4866">
        <w:t xml:space="preserve">Figura </w:t>
      </w:r>
      <w:r w:rsidR="002A4866">
        <w:t>3</w:t>
      </w:r>
      <w:r w:rsidR="00115357" w:rsidRPr="00115357">
        <w:t>).</w:t>
      </w:r>
      <w:r w:rsidR="0033324A">
        <w:t xml:space="preserve"> </w:t>
      </w:r>
      <w:r w:rsidR="0033324A" w:rsidRPr="0033324A">
        <w:t xml:space="preserve">El resultado fue una distribución muy homogénea, donde las curvas de las muestras se superponen casi por completo. Este comportamiento se observó de manera uniforme en las seis cohortes analizadas. Esta similitud </w:t>
      </w:r>
      <w:r w:rsidR="0033324A">
        <w:t xml:space="preserve">entre las condiciones dentro de un mismo dataset </w:t>
      </w:r>
      <w:r w:rsidR="0033324A" w:rsidRPr="0033324A">
        <w:t xml:space="preserve">confirma que se han corregido las diferencias técnicas de secuenciación, asegurando que las muestras sean comparables </w:t>
      </w:r>
      <w:r w:rsidR="008E76FC">
        <w:t>para</w:t>
      </w:r>
      <w:r w:rsidR="0033324A" w:rsidRPr="0033324A">
        <w:t xml:space="preserve"> </w:t>
      </w:r>
      <w:r w:rsidR="008E76FC">
        <w:t>los siguientes</w:t>
      </w:r>
      <w:r w:rsidR="0033324A">
        <w:t xml:space="preserve"> </w:t>
      </w:r>
      <w:r w:rsidR="0033324A" w:rsidRPr="0033324A">
        <w:t>análisis.</w:t>
      </w:r>
    </w:p>
    <w:p w14:paraId="73F77622" w14:textId="77777777" w:rsidR="00113976" w:rsidRDefault="00027819" w:rsidP="00F06018">
      <w:pPr>
        <w:spacing w:after="0"/>
        <w:jc w:val="center"/>
      </w:pPr>
      <w:r>
        <w:rPr>
          <w:noProof/>
        </w:rPr>
        <w:lastRenderedPageBreak/>
        <w:drawing>
          <wp:inline distT="0" distB="0" distL="0" distR="0" wp14:anchorId="0FCB9B9D" wp14:editId="1D421926">
            <wp:extent cx="5485738" cy="2743200"/>
            <wp:effectExtent l="0" t="0" r="1270" b="0"/>
            <wp:docPr id="115685122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851224" name="Imagen 115685122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492546" cy="2746604"/>
                    </a:xfrm>
                    <a:prstGeom prst="rect">
                      <a:avLst/>
                    </a:prstGeom>
                  </pic:spPr>
                </pic:pic>
              </a:graphicData>
            </a:graphic>
          </wp:inline>
        </w:drawing>
      </w:r>
    </w:p>
    <w:p w14:paraId="384FE2E4" w14:textId="1F49217B" w:rsidR="00B809D8" w:rsidRDefault="00113976" w:rsidP="004D23EF">
      <w:pPr>
        <w:pStyle w:val="Figuras"/>
      </w:pPr>
      <w:bookmarkStart w:id="34" w:name="_Toc238816309"/>
      <w:r>
        <w:t xml:space="preserve">Figura </w:t>
      </w:r>
      <w:fldSimple w:instr=" SEQ Figura \* ARABIC ">
        <w:r w:rsidR="00EA43FE">
          <w:rPr>
            <w:noProof/>
          </w:rPr>
          <w:t>2</w:t>
        </w:r>
      </w:fldSimple>
      <w:r>
        <w:t xml:space="preserve">. </w:t>
      </w:r>
      <w:r w:rsidRPr="00B34C5D">
        <w:t>Histograma de conteos crudos iniciales en la cohorte modelo GSE104836.</w:t>
      </w:r>
      <w:bookmarkEnd w:id="34"/>
    </w:p>
    <w:p w14:paraId="13EC5CDA" w14:textId="77777777" w:rsidR="00113976" w:rsidRDefault="00027819" w:rsidP="00113976">
      <w:pPr>
        <w:keepNext/>
        <w:spacing w:after="0"/>
        <w:jc w:val="center"/>
      </w:pPr>
      <w:r>
        <w:rPr>
          <w:noProof/>
        </w:rPr>
        <w:drawing>
          <wp:inline distT="0" distB="0" distL="0" distR="0" wp14:anchorId="4D298D9E" wp14:editId="49E9FF07">
            <wp:extent cx="5457825" cy="2729230"/>
            <wp:effectExtent l="0" t="0" r="9525" b="0"/>
            <wp:docPr id="75544266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442661" name="Imagen 75544266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457825" cy="2729230"/>
                    </a:xfrm>
                    <a:prstGeom prst="rect">
                      <a:avLst/>
                    </a:prstGeom>
                  </pic:spPr>
                </pic:pic>
              </a:graphicData>
            </a:graphic>
          </wp:inline>
        </w:drawing>
      </w:r>
    </w:p>
    <w:p w14:paraId="33592F75" w14:textId="15D1127B" w:rsidR="00113976" w:rsidRDefault="00113976" w:rsidP="004D23EF">
      <w:pPr>
        <w:pStyle w:val="Figuras"/>
      </w:pPr>
      <w:bookmarkStart w:id="35" w:name="_Toc238816310"/>
      <w:r>
        <w:t xml:space="preserve">Figura </w:t>
      </w:r>
      <w:fldSimple w:instr=" SEQ Figura \* ARABIC ">
        <w:r w:rsidR="00EA43FE">
          <w:rPr>
            <w:noProof/>
          </w:rPr>
          <w:t>3</w:t>
        </w:r>
      </w:fldSimple>
      <w:r>
        <w:t xml:space="preserve">. </w:t>
      </w:r>
      <w:r w:rsidRPr="00235640">
        <w:t xml:space="preserve">Histograma de frecuencias tras el filtrado dinámico y la transformación </w:t>
      </w:r>
      <w:proofErr w:type="spellStart"/>
      <w:r w:rsidRPr="00235640">
        <w:t>rlog</w:t>
      </w:r>
      <w:proofErr w:type="spellEnd"/>
      <w:r w:rsidRPr="00235640">
        <w:t xml:space="preserve"> en la cohorte modelo GSE104836.</w:t>
      </w:r>
      <w:bookmarkEnd w:id="35"/>
    </w:p>
    <w:p w14:paraId="0D3CCAC6" w14:textId="130148F9" w:rsidR="00215F8A" w:rsidRDefault="00693776" w:rsidP="00113976">
      <w:pPr>
        <w:spacing w:after="0"/>
      </w:pPr>
      <w:r w:rsidRPr="00693776">
        <w:t xml:space="preserve">Por último, el PCA permitió evaluar la estructura multidimensional de las muestras antes y después del procesamiento. </w:t>
      </w:r>
      <w:r w:rsidR="00215F8A" w:rsidRPr="00215F8A">
        <w:t>En las proyecciones iniciales con los conteos crudos, todas las cohortes mostraron una alta dispersión y un solapamiento parcial, lo que hacía que las fronteras entre las condiciones biológicas fuesen más difusas</w:t>
      </w:r>
      <w:r w:rsidRPr="00693776">
        <w:t xml:space="preserve">. </w:t>
      </w:r>
      <w:r w:rsidR="002F3EDE" w:rsidRPr="002F3EDE">
        <w:t>Sin embargo, tras aplicar el filtrado y la transformación, se observó una mejora clara en la disposición de los datos en todo el conjunto de análisis</w:t>
      </w:r>
      <w:r w:rsidR="00215F8A" w:rsidRPr="00215F8A">
        <w:t xml:space="preserve">. </w:t>
      </w:r>
      <w:r w:rsidR="002F3EDE">
        <w:t>Además, l</w:t>
      </w:r>
      <w:r w:rsidR="002F3EDE" w:rsidRPr="002F3EDE">
        <w:t xml:space="preserve">as muestras definieron agrupaciones más compactas según su condición biológica y la varianza explicada por el primer componente aumentó de forma </w:t>
      </w:r>
      <w:r w:rsidR="002F3EDE" w:rsidRPr="002F3EDE">
        <w:lastRenderedPageBreak/>
        <w:t>notable</w:t>
      </w:r>
      <w:r w:rsidR="002F3EDE">
        <w:t>;</w:t>
      </w:r>
      <w:r w:rsidR="002F3EDE" w:rsidRPr="002F3EDE">
        <w:t xml:space="preserve"> un incremento que en la mayoría de las series también se extendió al segundo componente.</w:t>
      </w:r>
    </w:p>
    <w:p w14:paraId="2D1DC1CA" w14:textId="3311A8A0" w:rsidR="00C162AE" w:rsidRDefault="002F3EDE" w:rsidP="00C162AE">
      <w:pPr>
        <w:spacing w:before="0"/>
      </w:pPr>
      <w:r w:rsidRPr="002F3EDE">
        <w:t>La cohorte modelo GSE104836 ilustra este cambio en la definición de los grupos. En su estado inicial, el Componente Principal 1 (PC1) solo captaba el 17,74% de la variabilidad total, reflejando esa menor definición entre las condiciones (</w:t>
      </w:r>
      <w:r w:rsidR="002A4866" w:rsidRPr="002A4866">
        <w:t xml:space="preserve">Figura </w:t>
      </w:r>
      <w:r w:rsidR="002A4866">
        <w:t>4</w:t>
      </w:r>
      <w:r w:rsidRPr="002F3EDE">
        <w:t>). Tras el procesamiento, el PC1 incrementó la varianza explicada hasta el 43%, separando de forma clara las muestras normales a un lado del eje y las tumorales al otro (</w:t>
      </w:r>
      <w:r w:rsidR="002A4866" w:rsidRPr="002A4866">
        <w:t xml:space="preserve">Figura </w:t>
      </w:r>
      <w:r w:rsidR="002A4866">
        <w:t>5</w:t>
      </w:r>
      <w:r w:rsidRPr="002F3EDE">
        <w:t>). En este caso concreto, el Componente Principal 2 (PC2) retuvo un 13% de la variabilidad restante. Esta tendencia hacia una mejor delimitación según la condición clínica, detallada en este ejemplo, se replicó de forma equivalente en el resto de las series analizadas.</w:t>
      </w:r>
    </w:p>
    <w:p w14:paraId="7BCD1E08" w14:textId="77777777" w:rsidR="00C162AE" w:rsidRDefault="00113976" w:rsidP="00F06018">
      <w:pPr>
        <w:spacing w:after="0"/>
        <w:jc w:val="center"/>
      </w:pPr>
      <w:r>
        <w:rPr>
          <w:noProof/>
        </w:rPr>
        <w:drawing>
          <wp:inline distT="0" distB="0" distL="0" distR="0" wp14:anchorId="4579388D" wp14:editId="5215ADBA">
            <wp:extent cx="5649595" cy="3506296"/>
            <wp:effectExtent l="0" t="0" r="8255" b="0"/>
            <wp:docPr id="213879175"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79175" name="Imagen 6"/>
                    <pic:cNvPicPr/>
                  </pic:nvPicPr>
                  <pic:blipFill rotWithShape="1">
                    <a:blip r:embed="rId21">
                      <a:extLst>
                        <a:ext uri="{28A0092B-C50C-407E-A947-70E740481C1C}">
                          <a14:useLocalDpi xmlns:a14="http://schemas.microsoft.com/office/drawing/2010/main" val="0"/>
                        </a:ext>
                      </a:extLst>
                    </a:blip>
                    <a:srcRect b="2595"/>
                    <a:stretch>
                      <a:fillRect/>
                    </a:stretch>
                  </pic:blipFill>
                  <pic:spPr bwMode="auto">
                    <a:xfrm>
                      <a:off x="0" y="0"/>
                      <a:ext cx="5650078" cy="3506596"/>
                    </a:xfrm>
                    <a:prstGeom prst="rect">
                      <a:avLst/>
                    </a:prstGeom>
                    <a:ln>
                      <a:noFill/>
                    </a:ln>
                    <a:extLst>
                      <a:ext uri="{53640926-AAD7-44D8-BBD7-CCE9431645EC}">
                        <a14:shadowObscured xmlns:a14="http://schemas.microsoft.com/office/drawing/2010/main"/>
                      </a:ext>
                    </a:extLst>
                  </pic:spPr>
                </pic:pic>
              </a:graphicData>
            </a:graphic>
          </wp:inline>
        </w:drawing>
      </w:r>
    </w:p>
    <w:p w14:paraId="1CFC5A1F" w14:textId="67F63E77" w:rsidR="00113976" w:rsidRDefault="00C162AE" w:rsidP="004D23EF">
      <w:pPr>
        <w:pStyle w:val="Figuras"/>
      </w:pPr>
      <w:bookmarkStart w:id="36" w:name="_Toc238816311"/>
      <w:r>
        <w:t xml:space="preserve">Figura </w:t>
      </w:r>
      <w:fldSimple w:instr=" SEQ Figura \* ARABIC ">
        <w:r w:rsidR="00EA43FE">
          <w:rPr>
            <w:noProof/>
          </w:rPr>
          <w:t>4</w:t>
        </w:r>
      </w:fldSimple>
      <w:r>
        <w:t xml:space="preserve">. </w:t>
      </w:r>
      <w:r w:rsidRPr="00CB056D">
        <w:t>Análisis de componentes principales de los conteos crudos iniciales en la cohorte modelo GSE104836.</w:t>
      </w:r>
      <w:bookmarkEnd w:id="36"/>
    </w:p>
    <w:p w14:paraId="7A0F7BBF" w14:textId="6750C29B" w:rsidR="008E76FC" w:rsidRDefault="008E76FC" w:rsidP="00751ECC">
      <w:r w:rsidRPr="008E76FC">
        <w:t xml:space="preserve">Tras completar este análisis exploratorio, </w:t>
      </w:r>
      <w:r>
        <w:t>los resultados</w:t>
      </w:r>
      <w:r w:rsidRPr="008E76FC">
        <w:t xml:space="preserve"> confirman que las muestras están listas y son comparables entre sí. Haber eliminado el ruido técnico inicial permite que los datos reflejen con claridad las diferencias biológicas reales entre el tejido sano y el tumoral. Con esta base garantizada, se puede proceder al </w:t>
      </w:r>
      <w:r w:rsidR="006A4CA7">
        <w:t>DGEA</w:t>
      </w:r>
      <w:r w:rsidRPr="008E76FC">
        <w:t xml:space="preserve"> para identificar individualmente qué genes específicos cambian en cada una de las seis cohortes.</w:t>
      </w:r>
    </w:p>
    <w:p w14:paraId="47E4FA89" w14:textId="77777777" w:rsidR="00C162AE" w:rsidRDefault="00C162AE" w:rsidP="004D23EF">
      <w:pPr>
        <w:pStyle w:val="Figuras"/>
      </w:pPr>
    </w:p>
    <w:p w14:paraId="6B21C7A4" w14:textId="4D0CABE8" w:rsidR="00113976" w:rsidRDefault="00113976" w:rsidP="00F06018">
      <w:pPr>
        <w:spacing w:after="0"/>
        <w:jc w:val="center"/>
      </w:pPr>
      <w:r>
        <w:rPr>
          <w:noProof/>
        </w:rPr>
        <w:drawing>
          <wp:inline distT="0" distB="0" distL="0" distR="0" wp14:anchorId="3A0501EE" wp14:editId="5280BBDF">
            <wp:extent cx="5553075" cy="3526031"/>
            <wp:effectExtent l="0" t="0" r="0" b="0"/>
            <wp:docPr id="1829917371"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917371" name="Imagen 7"/>
                    <pic:cNvPicPr/>
                  </pic:nvPicPr>
                  <pic:blipFill rotWithShape="1">
                    <a:blip r:embed="rId22">
                      <a:extLst>
                        <a:ext uri="{28A0092B-C50C-407E-A947-70E740481C1C}">
                          <a14:useLocalDpi xmlns:a14="http://schemas.microsoft.com/office/drawing/2010/main" val="0"/>
                        </a:ext>
                      </a:extLst>
                    </a:blip>
                    <a:srcRect l="854" r="854" b="2046"/>
                    <a:stretch>
                      <a:fillRect/>
                    </a:stretch>
                  </pic:blipFill>
                  <pic:spPr bwMode="auto">
                    <a:xfrm>
                      <a:off x="0" y="0"/>
                      <a:ext cx="5553572" cy="3526347"/>
                    </a:xfrm>
                    <a:prstGeom prst="rect">
                      <a:avLst/>
                    </a:prstGeom>
                    <a:ln>
                      <a:noFill/>
                    </a:ln>
                    <a:extLst>
                      <a:ext uri="{53640926-AAD7-44D8-BBD7-CCE9431645EC}">
                        <a14:shadowObscured xmlns:a14="http://schemas.microsoft.com/office/drawing/2010/main"/>
                      </a:ext>
                    </a:extLst>
                  </pic:spPr>
                </pic:pic>
              </a:graphicData>
            </a:graphic>
          </wp:inline>
        </w:drawing>
      </w:r>
    </w:p>
    <w:p w14:paraId="6919527A" w14:textId="0D51F128" w:rsidR="00693776" w:rsidRPr="00693776" w:rsidRDefault="00113976" w:rsidP="004D23EF">
      <w:pPr>
        <w:pStyle w:val="Figuras"/>
      </w:pPr>
      <w:bookmarkStart w:id="37" w:name="_Toc238816312"/>
      <w:r>
        <w:t xml:space="preserve">Figura </w:t>
      </w:r>
      <w:fldSimple w:instr=" SEQ Figura \* ARABIC ">
        <w:r w:rsidR="00EA43FE">
          <w:rPr>
            <w:noProof/>
          </w:rPr>
          <w:t>5</w:t>
        </w:r>
      </w:fldSimple>
      <w:r w:rsidRPr="00C57D20">
        <w:t>. Análisis de componentes principales tras el filtrado dinámico y la transformación en la cohorte modelo GSE104836.</w:t>
      </w:r>
      <w:bookmarkEnd w:id="37"/>
    </w:p>
    <w:p w14:paraId="126B3904" w14:textId="4A22FDCB" w:rsidR="00F3241D" w:rsidRPr="007E0007" w:rsidRDefault="009F071D" w:rsidP="00F3241D">
      <w:pPr>
        <w:pStyle w:val="Ttulo2"/>
      </w:pPr>
      <w:bookmarkStart w:id="38" w:name="_Toc239417049"/>
      <w:r w:rsidRPr="005B771F">
        <w:rPr>
          <w:caps w:val="0"/>
        </w:rPr>
        <w:t xml:space="preserve">Identificación de Genes Diferencialmente Expresados </w:t>
      </w:r>
      <w:r>
        <w:rPr>
          <w:caps w:val="0"/>
        </w:rPr>
        <w:t>Por Cohorte</w:t>
      </w:r>
      <w:bookmarkEnd w:id="38"/>
    </w:p>
    <w:p w14:paraId="14E44209" w14:textId="17EAE3EF" w:rsidR="00197B1C" w:rsidRPr="00197B1C" w:rsidRDefault="00197B1C" w:rsidP="00197B1C">
      <w:r w:rsidRPr="00197B1C">
        <w:t>Una vez ajustados los modelos estadísticos, se procedió a la generación y depuración de los contrastes biológicos para cada cohorte independiente. Este proceso se ejecutó siguiendo una secuencia de tres etapas consecutivas</w:t>
      </w:r>
      <w:r>
        <w:t>, las cuales se detallaron en profundidad en la metodología</w:t>
      </w:r>
      <w:r w:rsidRPr="00197B1C">
        <w:t xml:space="preserve">. En primer lugar, se extrajeron los resultados preliminares mediante la función </w:t>
      </w:r>
      <w:proofErr w:type="spellStart"/>
      <w:r w:rsidRPr="00197B1C">
        <w:rPr>
          <w:i/>
          <w:iCs/>
        </w:rPr>
        <w:t>results</w:t>
      </w:r>
      <w:proofErr w:type="spellEnd"/>
      <w:r w:rsidRPr="00197B1C">
        <w:rPr>
          <w:i/>
          <w:iCs/>
        </w:rPr>
        <w:t>()</w:t>
      </w:r>
      <w:r w:rsidRPr="00197B1C">
        <w:t xml:space="preserve">, estableciendo un test de hipótesis de intervalo con un umbral de relevancia de </w:t>
      </w:r>
      <m:oMath>
        <m:sSub>
          <m:sSubPr>
            <m:ctrlPr>
              <w:rPr>
                <w:rFonts w:ascii="Cambria Math" w:hAnsi="Cambria Math"/>
                <w:i/>
                <w:color w:val="000000" w:themeColor="text1"/>
              </w:rPr>
            </m:ctrlPr>
          </m:sSubPr>
          <m:e>
            <m:r>
              <w:rPr>
                <w:rFonts w:ascii="Cambria Math" w:hAnsi="Cambria Math"/>
                <w:color w:val="000000" w:themeColor="text1"/>
              </w:rPr>
              <m:t>|log</m:t>
            </m:r>
          </m:e>
          <m:sub>
            <m:r>
              <w:rPr>
                <w:rFonts w:ascii="Cambria Math" w:hAnsi="Cambria Math"/>
                <w:color w:val="000000" w:themeColor="text1"/>
              </w:rPr>
              <m:t>2</m:t>
            </m:r>
          </m:sub>
        </m:sSub>
        <m:r>
          <w:rPr>
            <w:rFonts w:ascii="Cambria Math" w:hAnsi="Cambria Math"/>
            <w:color w:val="000000" w:themeColor="text1"/>
          </w:rPr>
          <m:t>FC|&gt;0.585</m:t>
        </m:r>
      </m:oMath>
      <w:r w:rsidRPr="00197B1C">
        <w:t xml:space="preserve"> y un control de falsos positivos de </w:t>
      </w:r>
      <m:oMath>
        <m:r>
          <w:rPr>
            <w:rFonts w:ascii="Cambria Math" w:hAnsi="Cambria Math"/>
          </w:rPr>
          <m:t>alpha = 0.05</m:t>
        </m:r>
      </m:oMath>
      <w:r w:rsidRPr="00197B1C">
        <w:t xml:space="preserve">. Posteriormente, este objeto se introdujo en la función </w:t>
      </w:r>
      <w:proofErr w:type="spellStart"/>
      <w:r w:rsidRPr="00197B1C">
        <w:rPr>
          <w:i/>
          <w:iCs/>
        </w:rPr>
        <w:t>lfcShrink</w:t>
      </w:r>
      <w:proofErr w:type="spellEnd"/>
      <w:r w:rsidRPr="00197B1C">
        <w:rPr>
          <w:i/>
          <w:iCs/>
        </w:rPr>
        <w:t>()</w:t>
      </w:r>
      <w:r w:rsidRPr="00197B1C">
        <w:t xml:space="preserve"> para aplicar la contracción de</w:t>
      </w:r>
      <w:r>
        <w:t>l</w:t>
      </w:r>
      <w:r w:rsidRPr="00197B1C">
        <w:t xml:space="preserve"> </w:t>
      </w:r>
      <w:r w:rsidRPr="00197B1C">
        <w:rPr>
          <w:i/>
          <w:iCs/>
        </w:rPr>
        <w:t>LFC</w:t>
      </w:r>
      <w:r w:rsidRPr="00197B1C">
        <w:t xml:space="preserve"> mediante el algoritmo </w:t>
      </w:r>
      <w:proofErr w:type="spellStart"/>
      <w:r w:rsidRPr="00197B1C">
        <w:rPr>
          <w:i/>
          <w:iCs/>
        </w:rPr>
        <w:t>apeglm</w:t>
      </w:r>
      <w:proofErr w:type="spellEnd"/>
      <w:r w:rsidRPr="00197B1C">
        <w:t xml:space="preserve">, estabilizando las magnitudes de los cambios de expresión. Finalmente, se realizó un filtrado sobre las columnas de la tabla resultante para asegurar la selección exclusiva de aquellos transcritos que mantuvieran un </w:t>
      </w:r>
      <m:oMath>
        <m:sSub>
          <m:sSubPr>
            <m:ctrlPr>
              <w:rPr>
                <w:rFonts w:ascii="Cambria Math" w:hAnsi="Cambria Math"/>
                <w:i/>
              </w:rPr>
            </m:ctrlPr>
          </m:sSubPr>
          <m:e>
            <m:r>
              <w:rPr>
                <w:rFonts w:ascii="Cambria Math" w:hAnsi="Cambria Math"/>
              </w:rPr>
              <m:t>p</m:t>
            </m:r>
          </m:e>
          <m:sub>
            <m:r>
              <w:rPr>
                <w:rFonts w:ascii="Cambria Math" w:hAnsi="Cambria Math"/>
              </w:rPr>
              <m:t>adj</m:t>
            </m:r>
          </m:sub>
        </m:sSub>
        <m:r>
          <w:rPr>
            <w:rFonts w:ascii="Cambria Math" w:hAnsi="Cambria Math"/>
          </w:rPr>
          <m:t>&lt;0.05</m:t>
        </m:r>
      </m:oMath>
      <w:r w:rsidRPr="00197B1C">
        <w:t xml:space="preserve"> y un </w:t>
      </w:r>
      <m:oMath>
        <m:sSub>
          <m:sSubPr>
            <m:ctrlPr>
              <w:rPr>
                <w:rFonts w:ascii="Cambria Math" w:hAnsi="Cambria Math"/>
                <w:i/>
                <w:color w:val="000000" w:themeColor="text1"/>
              </w:rPr>
            </m:ctrlPr>
          </m:sSubPr>
          <m:e>
            <m:r>
              <w:rPr>
                <w:rFonts w:ascii="Cambria Math" w:hAnsi="Cambria Math"/>
                <w:color w:val="000000" w:themeColor="text1"/>
              </w:rPr>
              <m:t>|log</m:t>
            </m:r>
          </m:e>
          <m:sub>
            <m:r>
              <w:rPr>
                <w:rFonts w:ascii="Cambria Math" w:hAnsi="Cambria Math"/>
                <w:color w:val="000000" w:themeColor="text1"/>
              </w:rPr>
              <m:t>2</m:t>
            </m:r>
          </m:sub>
        </m:sSub>
        <m:r>
          <w:rPr>
            <w:rFonts w:ascii="Cambria Math" w:hAnsi="Cambria Math"/>
            <w:color w:val="000000" w:themeColor="text1"/>
          </w:rPr>
          <m:t>FC|&gt;0.585</m:t>
        </m:r>
      </m:oMath>
      <w:r w:rsidRPr="00197B1C">
        <w:t xml:space="preserve">, consolidando así la lista definitiva de </w:t>
      </w:r>
      <w:r>
        <w:t>genes</w:t>
      </w:r>
      <w:r w:rsidRPr="00197B1C">
        <w:t xml:space="preserve"> significativos.</w:t>
      </w:r>
      <w:r w:rsidR="00267950" w:rsidRPr="00267950">
        <w:t xml:space="preserve"> </w:t>
      </w:r>
      <w:r w:rsidR="00E63489" w:rsidRPr="00E63489">
        <w:t>Cabe añadir que las tablas de resultados (</w:t>
      </w:r>
      <w:proofErr w:type="spellStart"/>
      <w:r w:rsidR="00E63489" w:rsidRPr="00E63489">
        <w:rPr>
          <w:i/>
          <w:iCs/>
        </w:rPr>
        <w:t>resLFC</w:t>
      </w:r>
      <w:proofErr w:type="spellEnd"/>
      <w:r w:rsidR="00E63489" w:rsidRPr="00E63489">
        <w:t xml:space="preserve">) se encuentran alojadas en el repositorio de </w:t>
      </w:r>
      <w:hyperlink r:id="rId23" w:history="1">
        <w:r w:rsidR="00F9626A" w:rsidRPr="00C97641">
          <w:rPr>
            <w:rStyle w:val="Hipervnculo"/>
          </w:rPr>
          <w:t>GitHub</w:t>
        </w:r>
      </w:hyperlink>
      <w:r w:rsidR="00E63489" w:rsidRPr="00E63489">
        <w:t>, organizadas en un documento de Excel independiente para cada cohorte</w:t>
      </w:r>
      <w:r w:rsidR="00267950">
        <w:t>.</w:t>
      </w:r>
      <w:r w:rsidRPr="00197B1C">
        <w:t xml:space="preserve"> A continuación, se desglosa el volumen de </w:t>
      </w:r>
      <w:r>
        <w:t>DEGs</w:t>
      </w:r>
      <w:r w:rsidRPr="00197B1C">
        <w:t xml:space="preserve"> significativos identificados en cada una de las series analizadas</w:t>
      </w:r>
      <w:r w:rsidR="00267950">
        <w:t xml:space="preserve"> (</w:t>
      </w:r>
      <w:r w:rsidR="00267950" w:rsidRPr="00267950">
        <w:rPr>
          <w:i/>
          <w:iCs/>
        </w:rPr>
        <w:t>Tabla 3</w:t>
      </w:r>
      <w:r w:rsidR="00267950">
        <w:t>)</w:t>
      </w:r>
      <w:r w:rsidRPr="00197B1C">
        <w:t>.</w:t>
      </w:r>
    </w:p>
    <w:p w14:paraId="4E524966" w14:textId="64DD3118" w:rsidR="00E63489" w:rsidRDefault="00E63489" w:rsidP="00E63489">
      <w:pPr>
        <w:pStyle w:val="TtuloTDC"/>
        <w:spacing w:after="0"/>
      </w:pPr>
      <w:bookmarkStart w:id="39" w:name="_Toc238816334"/>
      <w:r w:rsidRPr="00CF3B8A">
        <w:lastRenderedPageBreak/>
        <w:t xml:space="preserve">Tabla </w:t>
      </w:r>
      <w:r>
        <w:t>3</w:t>
      </w:r>
      <w:r w:rsidRPr="00CF3B8A">
        <w:t xml:space="preserve">. </w:t>
      </w:r>
      <w:r w:rsidRPr="00E63489">
        <w:t>Recuento de genes diferencialmente expresados (DEGs) sobreexpresados (UP) y subexpresados (DOWN) identificados por cohorte bajo los criterios de significación establecidos (</w:t>
      </w:r>
      <m:oMath>
        <m:sSub>
          <m:sSubPr>
            <m:ctrlPr>
              <w:rPr>
                <w:rFonts w:ascii="Cambria Math" w:hAnsi="Cambria Math"/>
              </w:rPr>
            </m:ctrlPr>
          </m:sSubPr>
          <m:e>
            <m:r>
              <m:rPr>
                <m:sty m:val="bi"/>
              </m:rPr>
              <w:rPr>
                <w:rFonts w:ascii="Cambria Math" w:hAnsi="Cambria Math"/>
              </w:rPr>
              <m:t>p</m:t>
            </m:r>
          </m:e>
          <m:sub>
            <m:r>
              <m:rPr>
                <m:sty m:val="bi"/>
              </m:rPr>
              <w:rPr>
                <w:rFonts w:ascii="Cambria Math" w:hAnsi="Cambria Math"/>
              </w:rPr>
              <m:t>adj</m:t>
            </m:r>
          </m:sub>
        </m:sSub>
        <m:r>
          <m:rPr>
            <m:sty m:val="b"/>
          </m:rPr>
          <w:rPr>
            <w:rFonts w:ascii="Cambria Math" w:hAnsi="Cambria Math"/>
          </w:rPr>
          <m:t>&lt;0.05</m:t>
        </m:r>
      </m:oMath>
      <w:r w:rsidRPr="00E63489">
        <w:t xml:space="preserve"> y </w:t>
      </w:r>
      <m:oMath>
        <m:sSub>
          <m:sSubPr>
            <m:ctrlPr>
              <w:rPr>
                <w:rFonts w:ascii="Cambria Math" w:hAnsi="Cambria Math"/>
              </w:rPr>
            </m:ctrlPr>
          </m:sSubPr>
          <m:e>
            <m:r>
              <m:rPr>
                <m:sty m:val="bi"/>
              </m:rPr>
              <w:rPr>
                <w:rFonts w:ascii="Cambria Math" w:hAnsi="Cambria Math"/>
              </w:rPr>
              <m:t>|log</m:t>
            </m:r>
          </m:e>
          <m:sub>
            <m:r>
              <m:rPr>
                <m:sty m:val="b"/>
              </m:rPr>
              <w:rPr>
                <w:rFonts w:ascii="Cambria Math" w:hAnsi="Cambria Math"/>
              </w:rPr>
              <m:t>2</m:t>
            </m:r>
          </m:sub>
        </m:sSub>
        <m:r>
          <m:rPr>
            <m:sty m:val="bi"/>
          </m:rPr>
          <w:rPr>
            <w:rFonts w:ascii="Cambria Math" w:hAnsi="Cambria Math"/>
          </w:rPr>
          <m:t>FC|</m:t>
        </m:r>
        <m:r>
          <m:rPr>
            <m:sty m:val="b"/>
          </m:rPr>
          <w:rPr>
            <w:rFonts w:ascii="Cambria Math" w:hAnsi="Cambria Math"/>
          </w:rPr>
          <m:t>&gt;0.585</m:t>
        </m:r>
      </m:oMath>
      <w:r w:rsidRPr="00E63489">
        <w:t>).</w:t>
      </w:r>
      <w:bookmarkEnd w:id="39"/>
    </w:p>
    <w:tbl>
      <w:tblPr>
        <w:tblStyle w:val="Tablaconcuadrcula7concolores"/>
        <w:tblW w:w="5079" w:type="pct"/>
        <w:jc w:val="center"/>
        <w:tblLayout w:type="fixed"/>
        <w:tblLook w:val="04A0" w:firstRow="1" w:lastRow="0" w:firstColumn="1" w:lastColumn="0" w:noHBand="0" w:noVBand="1"/>
      </w:tblPr>
      <w:tblGrid>
        <w:gridCol w:w="1324"/>
        <w:gridCol w:w="1187"/>
        <w:gridCol w:w="1318"/>
        <w:gridCol w:w="1839"/>
        <w:gridCol w:w="1987"/>
        <w:gridCol w:w="1559"/>
      </w:tblGrid>
      <w:tr w:rsidR="007B5C11" w:rsidRPr="00970175" w14:paraId="6F320272" w14:textId="15AD99BF" w:rsidTr="007B5C11">
        <w:trPr>
          <w:cnfStyle w:val="100000000000" w:firstRow="1" w:lastRow="0" w:firstColumn="0" w:lastColumn="0" w:oddVBand="0" w:evenVBand="0" w:oddHBand="0" w:evenHBand="0" w:firstRowFirstColumn="0" w:firstRowLastColumn="0" w:lastRowFirstColumn="0" w:lastRowLastColumn="0"/>
          <w:tblHeader/>
          <w:jc w:val="center"/>
        </w:trPr>
        <w:tc>
          <w:tcPr>
            <w:cnfStyle w:val="001000000100" w:firstRow="0" w:lastRow="0" w:firstColumn="1" w:lastColumn="0" w:oddVBand="0" w:evenVBand="0" w:oddHBand="0" w:evenHBand="0" w:firstRowFirstColumn="1" w:firstRowLastColumn="0" w:lastRowFirstColumn="0" w:lastRowLastColumn="0"/>
            <w:tcW w:w="718" w:type="pct"/>
            <w:vAlign w:val="center"/>
          </w:tcPr>
          <w:p w14:paraId="0BE97328" w14:textId="77777777" w:rsidR="007B5C11" w:rsidRPr="00E83CAD" w:rsidRDefault="007B5C11" w:rsidP="007B5C11">
            <w:pPr>
              <w:jc w:val="center"/>
              <w:rPr>
                <w:rFonts w:cstheme="minorHAnsi"/>
                <w:i w:val="0"/>
                <w:iCs w:val="0"/>
                <w:color w:val="auto"/>
              </w:rPr>
            </w:pPr>
            <w:r w:rsidRPr="00E83CAD">
              <w:rPr>
                <w:rFonts w:cstheme="minorHAnsi"/>
                <w:b w:val="0"/>
                <w:bCs w:val="0"/>
                <w:i w:val="0"/>
                <w:iCs w:val="0"/>
                <w:color w:val="auto"/>
              </w:rPr>
              <w:t>ID Dataset</w:t>
            </w:r>
          </w:p>
        </w:tc>
        <w:tc>
          <w:tcPr>
            <w:tcW w:w="644" w:type="pct"/>
            <w:vAlign w:val="center"/>
          </w:tcPr>
          <w:p w14:paraId="0A0565E3" w14:textId="15CD42E8" w:rsidR="007B5C11" w:rsidRDefault="007B5C11" w:rsidP="007B5C11">
            <w:pPr>
              <w:jc w:val="center"/>
              <w:cnfStyle w:val="100000000000" w:firstRow="1" w:lastRow="0" w:firstColumn="0" w:lastColumn="0" w:oddVBand="0" w:evenVBand="0" w:oddHBand="0" w:evenHBand="0" w:firstRowFirstColumn="0" w:firstRowLastColumn="0" w:lastRowFirstColumn="0" w:lastRowLastColumn="0"/>
              <w:rPr>
                <w:rFonts w:cstheme="minorHAnsi"/>
              </w:rPr>
            </w:pPr>
            <w:r>
              <w:rPr>
                <w:rFonts w:cstheme="minorHAnsi"/>
                <w:b w:val="0"/>
                <w:bCs w:val="0"/>
                <w:color w:val="auto"/>
              </w:rPr>
              <w:t>Muestras</w:t>
            </w:r>
            <w:r w:rsidRPr="00970175">
              <w:rPr>
                <w:rFonts w:cstheme="minorHAnsi"/>
                <w:b w:val="0"/>
                <w:bCs w:val="0"/>
                <w:color w:val="auto"/>
              </w:rPr>
              <w:t xml:space="preserve"> (</w:t>
            </w:r>
            <m:oMath>
              <m:r>
                <m:rPr>
                  <m:sty m:val="bi"/>
                </m:rPr>
                <w:rPr>
                  <w:rFonts w:ascii="Cambria Math" w:hAnsi="Cambria Math" w:cstheme="minorHAnsi"/>
                  <w:color w:val="auto"/>
                </w:rPr>
                <m:t>N</m:t>
              </m:r>
            </m:oMath>
            <w:r w:rsidRPr="00970175">
              <w:rPr>
                <w:rFonts w:cstheme="minorHAnsi"/>
                <w:b w:val="0"/>
                <w:bCs w:val="0"/>
                <w:color w:val="auto"/>
              </w:rPr>
              <w:t>)</w:t>
            </w:r>
          </w:p>
        </w:tc>
        <w:tc>
          <w:tcPr>
            <w:tcW w:w="715" w:type="pct"/>
            <w:vAlign w:val="center"/>
          </w:tcPr>
          <w:p w14:paraId="625B9A0E" w14:textId="138D4837" w:rsidR="007B5C11" w:rsidRPr="00970175" w:rsidRDefault="007B5C11" w:rsidP="007B5C11">
            <w:pPr>
              <w:jc w:val="center"/>
              <w:cnfStyle w:val="100000000000" w:firstRow="1" w:lastRow="0" w:firstColumn="0" w:lastColumn="0" w:oddVBand="0" w:evenVBand="0" w:oddHBand="0" w:evenHBand="0" w:firstRowFirstColumn="0" w:firstRowLastColumn="0" w:lastRowFirstColumn="0" w:lastRowLastColumn="0"/>
              <w:rPr>
                <w:rFonts w:cstheme="minorHAnsi"/>
                <w:color w:val="auto"/>
              </w:rPr>
            </w:pPr>
            <w:r>
              <w:rPr>
                <w:rFonts w:cstheme="minorHAnsi"/>
                <w:b w:val="0"/>
                <w:bCs w:val="0"/>
                <w:color w:val="auto"/>
              </w:rPr>
              <w:t>Genes Analizados</w:t>
            </w:r>
          </w:p>
        </w:tc>
        <w:tc>
          <w:tcPr>
            <w:tcW w:w="998" w:type="pct"/>
            <w:vAlign w:val="center"/>
          </w:tcPr>
          <w:p w14:paraId="0A413E60" w14:textId="06989379" w:rsidR="007B5C11" w:rsidRDefault="007B5C11" w:rsidP="007B5C11">
            <w:pPr>
              <w:jc w:val="center"/>
              <w:cnfStyle w:val="100000000000" w:firstRow="1" w:lastRow="0" w:firstColumn="0" w:lastColumn="0" w:oddVBand="0" w:evenVBand="0" w:oddHBand="0" w:evenHBand="0" w:firstRowFirstColumn="0" w:firstRowLastColumn="0" w:lastRowFirstColumn="0" w:lastRowLastColumn="0"/>
              <w:rPr>
                <w:rFonts w:cstheme="minorHAnsi"/>
              </w:rPr>
            </w:pPr>
            <w:r>
              <w:rPr>
                <w:rFonts w:cstheme="minorHAnsi"/>
                <w:b w:val="0"/>
                <w:bCs w:val="0"/>
                <w:color w:val="auto"/>
              </w:rPr>
              <w:t xml:space="preserve">DEGs UP           </w:t>
            </w:r>
            <w:r w:rsidRPr="007B5C11">
              <w:rPr>
                <w:rFonts w:cstheme="minorHAnsi"/>
                <w:b w:val="0"/>
                <w:bCs w:val="0"/>
                <w:color w:val="auto"/>
                <w:sz w:val="22"/>
                <w:szCs w:val="22"/>
              </w:rPr>
              <w:t>(</w:t>
            </w:r>
            <m:oMath>
              <m:sSub>
                <m:sSubPr>
                  <m:ctrlPr>
                    <w:rPr>
                      <w:rFonts w:ascii="Cambria Math" w:hAnsi="Cambria Math" w:cstheme="minorHAnsi"/>
                      <w:b w:val="0"/>
                      <w:bCs w:val="0"/>
                      <w:color w:val="auto"/>
                      <w:sz w:val="22"/>
                      <w:szCs w:val="22"/>
                    </w:rPr>
                  </m:ctrlPr>
                </m:sSubPr>
                <m:e>
                  <m:r>
                    <m:rPr>
                      <m:sty m:val="bi"/>
                    </m:rPr>
                    <w:rPr>
                      <w:rFonts w:ascii="Cambria Math" w:hAnsi="Cambria Math" w:cstheme="minorHAnsi"/>
                      <w:color w:val="auto"/>
                      <w:sz w:val="22"/>
                      <w:szCs w:val="22"/>
                    </w:rPr>
                    <m:t>p</m:t>
                  </m:r>
                </m:e>
                <m:sub>
                  <m:r>
                    <m:rPr>
                      <m:sty m:val="bi"/>
                    </m:rPr>
                    <w:rPr>
                      <w:rFonts w:ascii="Cambria Math" w:hAnsi="Cambria Math" w:cstheme="minorHAnsi"/>
                      <w:color w:val="auto"/>
                      <w:sz w:val="22"/>
                      <w:szCs w:val="22"/>
                    </w:rPr>
                    <m:t>adj</m:t>
                  </m:r>
                </m:sub>
              </m:sSub>
              <m:r>
                <m:rPr>
                  <m:sty m:val="b"/>
                </m:rPr>
                <w:rPr>
                  <w:rFonts w:ascii="Cambria Math" w:hAnsi="Cambria Math" w:cstheme="minorHAnsi"/>
                  <w:color w:val="auto"/>
                  <w:sz w:val="22"/>
                  <w:szCs w:val="22"/>
                </w:rPr>
                <m:t>&lt;0.05</m:t>
              </m:r>
            </m:oMath>
            <w:r w:rsidRPr="007B5C11">
              <w:rPr>
                <w:rFonts w:cstheme="minorHAnsi"/>
                <w:b w:val="0"/>
                <w:bCs w:val="0"/>
                <w:color w:val="auto"/>
                <w:sz w:val="22"/>
                <w:szCs w:val="22"/>
              </w:rPr>
              <w:t xml:space="preserve"> y </w:t>
            </w:r>
            <m:oMath>
              <m:sSub>
                <m:sSubPr>
                  <m:ctrlPr>
                    <w:rPr>
                      <w:rFonts w:ascii="Cambria Math" w:hAnsi="Cambria Math" w:cstheme="minorHAnsi"/>
                      <w:b w:val="0"/>
                      <w:bCs w:val="0"/>
                      <w:color w:val="auto"/>
                      <w:sz w:val="22"/>
                      <w:szCs w:val="22"/>
                    </w:rPr>
                  </m:ctrlPr>
                </m:sSubPr>
                <m:e>
                  <m:r>
                    <m:rPr>
                      <m:sty m:val="bi"/>
                    </m:rPr>
                    <w:rPr>
                      <w:rFonts w:ascii="Cambria Math" w:hAnsi="Cambria Math" w:cstheme="minorHAnsi"/>
                      <w:color w:val="auto"/>
                      <w:sz w:val="22"/>
                      <w:szCs w:val="22"/>
                    </w:rPr>
                    <m:t>log</m:t>
                  </m:r>
                </m:e>
                <m:sub>
                  <m:r>
                    <m:rPr>
                      <m:sty m:val="b"/>
                    </m:rPr>
                    <w:rPr>
                      <w:rFonts w:ascii="Cambria Math" w:hAnsi="Cambria Math" w:cstheme="minorHAnsi"/>
                      <w:color w:val="auto"/>
                      <w:sz w:val="22"/>
                      <w:szCs w:val="22"/>
                    </w:rPr>
                    <m:t>2</m:t>
                  </m:r>
                </m:sub>
              </m:sSub>
              <m:r>
                <m:rPr>
                  <m:sty m:val="bi"/>
                </m:rPr>
                <w:rPr>
                  <w:rFonts w:ascii="Cambria Math" w:hAnsi="Cambria Math" w:cstheme="minorHAnsi"/>
                  <w:color w:val="auto"/>
                  <w:sz w:val="22"/>
                  <w:szCs w:val="22"/>
                </w:rPr>
                <m:t>FC&gt;</m:t>
              </m:r>
              <m:r>
                <m:rPr>
                  <m:sty m:val="b"/>
                </m:rPr>
                <w:rPr>
                  <w:rFonts w:ascii="Cambria Math" w:hAnsi="Cambria Math" w:cstheme="minorHAnsi"/>
                  <w:color w:val="auto"/>
                  <w:sz w:val="22"/>
                  <w:szCs w:val="22"/>
                </w:rPr>
                <m:t>0.585</m:t>
              </m:r>
            </m:oMath>
            <w:r w:rsidRPr="007B5C11">
              <w:rPr>
                <w:rFonts w:cstheme="minorHAnsi"/>
                <w:b w:val="0"/>
                <w:bCs w:val="0"/>
                <w:color w:val="auto"/>
                <w:sz w:val="22"/>
                <w:szCs w:val="22"/>
              </w:rPr>
              <w:t>)</w:t>
            </w:r>
          </w:p>
        </w:tc>
        <w:tc>
          <w:tcPr>
            <w:tcW w:w="1078" w:type="pct"/>
            <w:vAlign w:val="center"/>
          </w:tcPr>
          <w:p w14:paraId="33FE1B35" w14:textId="55795651" w:rsidR="007B5C11" w:rsidRPr="002C6516" w:rsidRDefault="007B5C11" w:rsidP="007B5C11">
            <w:pPr>
              <w:jc w:val="center"/>
              <w:cnfStyle w:val="100000000000" w:firstRow="1" w:lastRow="0" w:firstColumn="0" w:lastColumn="0" w:oddVBand="0" w:evenVBand="0" w:oddHBand="0" w:evenHBand="0" w:firstRowFirstColumn="0" w:firstRowLastColumn="0" w:lastRowFirstColumn="0" w:lastRowLastColumn="0"/>
              <w:rPr>
                <w:rFonts w:cstheme="minorHAnsi"/>
                <w:b w:val="0"/>
                <w:bCs w:val="0"/>
                <w:color w:val="auto"/>
              </w:rPr>
            </w:pPr>
            <w:r>
              <w:rPr>
                <w:rFonts w:cstheme="minorHAnsi"/>
                <w:b w:val="0"/>
                <w:bCs w:val="0"/>
                <w:color w:val="auto"/>
              </w:rPr>
              <w:t xml:space="preserve">DEGs DOWN </w:t>
            </w:r>
            <w:r w:rsidRPr="007B5C11">
              <w:rPr>
                <w:rFonts w:cstheme="minorHAnsi"/>
                <w:b w:val="0"/>
                <w:bCs w:val="0"/>
                <w:color w:val="auto"/>
                <w:sz w:val="22"/>
                <w:szCs w:val="22"/>
              </w:rPr>
              <w:t>(</w:t>
            </w:r>
            <m:oMath>
              <m:sSub>
                <m:sSubPr>
                  <m:ctrlPr>
                    <w:rPr>
                      <w:rFonts w:ascii="Cambria Math" w:hAnsi="Cambria Math" w:cstheme="minorHAnsi"/>
                      <w:b w:val="0"/>
                      <w:bCs w:val="0"/>
                      <w:color w:val="auto"/>
                      <w:sz w:val="22"/>
                      <w:szCs w:val="22"/>
                    </w:rPr>
                  </m:ctrlPr>
                </m:sSubPr>
                <m:e>
                  <m:r>
                    <m:rPr>
                      <m:sty m:val="bi"/>
                    </m:rPr>
                    <w:rPr>
                      <w:rFonts w:ascii="Cambria Math" w:hAnsi="Cambria Math" w:cstheme="minorHAnsi"/>
                      <w:color w:val="auto"/>
                      <w:sz w:val="22"/>
                      <w:szCs w:val="22"/>
                    </w:rPr>
                    <m:t>p</m:t>
                  </m:r>
                </m:e>
                <m:sub>
                  <m:r>
                    <m:rPr>
                      <m:sty m:val="bi"/>
                    </m:rPr>
                    <w:rPr>
                      <w:rFonts w:ascii="Cambria Math" w:hAnsi="Cambria Math" w:cstheme="minorHAnsi"/>
                      <w:color w:val="auto"/>
                      <w:sz w:val="22"/>
                      <w:szCs w:val="22"/>
                    </w:rPr>
                    <m:t>adj</m:t>
                  </m:r>
                </m:sub>
              </m:sSub>
              <m:r>
                <m:rPr>
                  <m:sty m:val="b"/>
                </m:rPr>
                <w:rPr>
                  <w:rFonts w:ascii="Cambria Math" w:hAnsi="Cambria Math" w:cstheme="minorHAnsi"/>
                  <w:color w:val="auto"/>
                  <w:sz w:val="22"/>
                  <w:szCs w:val="22"/>
                </w:rPr>
                <m:t>&lt;0.05</m:t>
              </m:r>
            </m:oMath>
            <w:r w:rsidRPr="007B5C11">
              <w:rPr>
                <w:rFonts w:cstheme="minorHAnsi"/>
                <w:b w:val="0"/>
                <w:bCs w:val="0"/>
                <w:color w:val="auto"/>
                <w:sz w:val="22"/>
                <w:szCs w:val="22"/>
              </w:rPr>
              <w:t xml:space="preserve"> y </w:t>
            </w:r>
            <m:oMath>
              <m:sSub>
                <m:sSubPr>
                  <m:ctrlPr>
                    <w:rPr>
                      <w:rFonts w:ascii="Cambria Math" w:hAnsi="Cambria Math" w:cstheme="minorHAnsi"/>
                      <w:b w:val="0"/>
                      <w:bCs w:val="0"/>
                      <w:color w:val="auto"/>
                      <w:sz w:val="22"/>
                      <w:szCs w:val="22"/>
                    </w:rPr>
                  </m:ctrlPr>
                </m:sSubPr>
                <m:e>
                  <m:r>
                    <m:rPr>
                      <m:sty m:val="bi"/>
                    </m:rPr>
                    <w:rPr>
                      <w:rFonts w:ascii="Cambria Math" w:hAnsi="Cambria Math" w:cstheme="minorHAnsi"/>
                      <w:color w:val="auto"/>
                      <w:sz w:val="22"/>
                      <w:szCs w:val="22"/>
                    </w:rPr>
                    <m:t>log</m:t>
                  </m:r>
                </m:e>
                <m:sub>
                  <m:r>
                    <m:rPr>
                      <m:sty m:val="b"/>
                    </m:rPr>
                    <w:rPr>
                      <w:rFonts w:ascii="Cambria Math" w:hAnsi="Cambria Math" w:cstheme="minorHAnsi"/>
                      <w:color w:val="auto"/>
                      <w:sz w:val="22"/>
                      <w:szCs w:val="22"/>
                    </w:rPr>
                    <m:t>2</m:t>
                  </m:r>
                </m:sub>
              </m:sSub>
              <m:r>
                <m:rPr>
                  <m:sty m:val="bi"/>
                </m:rPr>
                <w:rPr>
                  <w:rFonts w:ascii="Cambria Math" w:hAnsi="Cambria Math" w:cstheme="minorHAnsi"/>
                  <w:color w:val="auto"/>
                  <w:sz w:val="22"/>
                  <w:szCs w:val="22"/>
                </w:rPr>
                <m:t>FC</m:t>
              </m:r>
              <m:r>
                <m:rPr>
                  <m:sty m:val="b"/>
                </m:rPr>
                <w:rPr>
                  <w:rFonts w:ascii="Cambria Math" w:hAnsi="Cambria Math" w:cstheme="minorHAnsi"/>
                  <w:color w:val="auto"/>
                  <w:sz w:val="22"/>
                  <w:szCs w:val="22"/>
                </w:rPr>
                <m:t>&lt;-0.585</m:t>
              </m:r>
            </m:oMath>
            <w:r w:rsidRPr="007B5C11">
              <w:rPr>
                <w:rFonts w:cstheme="minorHAnsi"/>
                <w:b w:val="0"/>
                <w:bCs w:val="0"/>
                <w:color w:val="auto"/>
                <w:sz w:val="22"/>
                <w:szCs w:val="22"/>
              </w:rPr>
              <w:t>)</w:t>
            </w:r>
          </w:p>
        </w:tc>
        <w:tc>
          <w:tcPr>
            <w:tcW w:w="846" w:type="pct"/>
            <w:vAlign w:val="center"/>
          </w:tcPr>
          <w:p w14:paraId="3FEFF7E6" w14:textId="10B4D3BF" w:rsidR="007B5C11" w:rsidRPr="002C6516" w:rsidRDefault="007B5C11" w:rsidP="007B5C11">
            <w:pPr>
              <w:jc w:val="center"/>
              <w:cnfStyle w:val="100000000000" w:firstRow="1" w:lastRow="0" w:firstColumn="0" w:lastColumn="0" w:oddVBand="0" w:evenVBand="0" w:oddHBand="0" w:evenHBand="0" w:firstRowFirstColumn="0" w:firstRowLastColumn="0" w:lastRowFirstColumn="0" w:lastRowLastColumn="0"/>
              <w:rPr>
                <w:rFonts w:cstheme="minorHAnsi"/>
                <w:b w:val="0"/>
                <w:bCs w:val="0"/>
                <w:color w:val="auto"/>
              </w:rPr>
            </w:pPr>
            <w:r w:rsidRPr="002C6516">
              <w:rPr>
                <w:rFonts w:cstheme="minorHAnsi"/>
                <w:b w:val="0"/>
                <w:bCs w:val="0"/>
                <w:color w:val="auto"/>
              </w:rPr>
              <w:t>Total DEGs Significativos</w:t>
            </w:r>
          </w:p>
        </w:tc>
      </w:tr>
      <w:tr w:rsidR="007B5C11" w:rsidRPr="00970175" w14:paraId="56F0F2CA" w14:textId="7405FF47" w:rsidTr="007B5C1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18" w:type="pct"/>
            <w:vAlign w:val="center"/>
          </w:tcPr>
          <w:p w14:paraId="6C94B6D0" w14:textId="77777777" w:rsidR="007B5C11" w:rsidRPr="00970175" w:rsidRDefault="007B5C11" w:rsidP="007B5C11">
            <w:pPr>
              <w:jc w:val="center"/>
              <w:rPr>
                <w:rFonts w:cstheme="minorHAnsi"/>
              </w:rPr>
            </w:pPr>
            <w:r w:rsidRPr="00970175">
              <w:rPr>
                <w:rFonts w:cstheme="minorHAnsi"/>
                <w:color w:val="000000"/>
              </w:rPr>
              <w:t>GSE50760</w:t>
            </w:r>
          </w:p>
        </w:tc>
        <w:tc>
          <w:tcPr>
            <w:tcW w:w="644" w:type="pct"/>
            <w:vAlign w:val="center"/>
          </w:tcPr>
          <w:p w14:paraId="1E62FFC3" w14:textId="7E8C8695" w:rsidR="007B5C11" w:rsidRPr="00C85C10" w:rsidRDefault="007B5C11" w:rsidP="007B5C11">
            <w:pPr>
              <w:jc w:val="center"/>
              <w:cnfStyle w:val="000000100000" w:firstRow="0" w:lastRow="0" w:firstColumn="0" w:lastColumn="0" w:oddVBand="0" w:evenVBand="0" w:oddHBand="1" w:evenHBand="0" w:firstRowFirstColumn="0" w:firstRowLastColumn="0" w:lastRowFirstColumn="0" w:lastRowLastColumn="0"/>
              <w:rPr>
                <w:rFonts w:cstheme="minorHAnsi"/>
                <w:color w:val="000000"/>
              </w:rPr>
            </w:pPr>
            <w:r>
              <w:rPr>
                <w:rFonts w:cstheme="minorHAnsi"/>
                <w:color w:val="000000"/>
              </w:rPr>
              <w:t>36</w:t>
            </w:r>
          </w:p>
        </w:tc>
        <w:tc>
          <w:tcPr>
            <w:tcW w:w="715" w:type="pct"/>
            <w:vAlign w:val="center"/>
          </w:tcPr>
          <w:p w14:paraId="4E100086" w14:textId="6CB81922" w:rsidR="007B5C11" w:rsidRPr="00970175" w:rsidRDefault="007B5C11" w:rsidP="007B5C11">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C85C10">
              <w:rPr>
                <w:rFonts w:cstheme="minorHAnsi"/>
                <w:color w:val="000000"/>
              </w:rPr>
              <w:t>19</w:t>
            </w:r>
            <w:r>
              <w:rPr>
                <w:rFonts w:cstheme="minorHAnsi"/>
                <w:color w:val="000000"/>
              </w:rPr>
              <w:t>.</w:t>
            </w:r>
            <w:r w:rsidRPr="00C85C10">
              <w:rPr>
                <w:rFonts w:cstheme="minorHAnsi"/>
                <w:color w:val="000000"/>
              </w:rPr>
              <w:t>808</w:t>
            </w:r>
          </w:p>
        </w:tc>
        <w:tc>
          <w:tcPr>
            <w:tcW w:w="998" w:type="pct"/>
            <w:vAlign w:val="center"/>
          </w:tcPr>
          <w:p w14:paraId="72ADE071" w14:textId="3F151C77" w:rsidR="007B5C11" w:rsidRPr="00C85C10" w:rsidRDefault="007B5C11" w:rsidP="007B5C11">
            <w:pPr>
              <w:jc w:val="center"/>
              <w:cnfStyle w:val="000000100000" w:firstRow="0" w:lastRow="0" w:firstColumn="0" w:lastColumn="0" w:oddVBand="0" w:evenVBand="0" w:oddHBand="1" w:evenHBand="0" w:firstRowFirstColumn="0" w:firstRowLastColumn="0" w:lastRowFirstColumn="0" w:lastRowLastColumn="0"/>
              <w:rPr>
                <w:rFonts w:cstheme="minorHAnsi"/>
                <w:color w:val="000000"/>
              </w:rPr>
            </w:pPr>
            <w:r w:rsidRPr="002C6516">
              <w:rPr>
                <w:rFonts w:cstheme="minorHAnsi"/>
                <w:color w:val="000000"/>
              </w:rPr>
              <w:t>594</w:t>
            </w:r>
          </w:p>
        </w:tc>
        <w:tc>
          <w:tcPr>
            <w:tcW w:w="1078" w:type="pct"/>
            <w:vAlign w:val="center"/>
          </w:tcPr>
          <w:p w14:paraId="17F90A7D" w14:textId="7EAFABAD" w:rsidR="007B5C11" w:rsidRPr="00C85C10" w:rsidRDefault="007B5C11" w:rsidP="007B5C11">
            <w:pPr>
              <w:jc w:val="center"/>
              <w:cnfStyle w:val="000000100000" w:firstRow="0" w:lastRow="0" w:firstColumn="0" w:lastColumn="0" w:oddVBand="0" w:evenVBand="0" w:oddHBand="1" w:evenHBand="0" w:firstRowFirstColumn="0" w:firstRowLastColumn="0" w:lastRowFirstColumn="0" w:lastRowLastColumn="0"/>
              <w:rPr>
                <w:rFonts w:cstheme="minorHAnsi"/>
                <w:color w:val="000000"/>
              </w:rPr>
            </w:pPr>
            <w:r w:rsidRPr="002C6516">
              <w:rPr>
                <w:rFonts w:cstheme="minorHAnsi"/>
                <w:color w:val="000000"/>
              </w:rPr>
              <w:t>823</w:t>
            </w:r>
          </w:p>
        </w:tc>
        <w:tc>
          <w:tcPr>
            <w:tcW w:w="846" w:type="pct"/>
            <w:vAlign w:val="center"/>
          </w:tcPr>
          <w:p w14:paraId="251F46FF" w14:textId="390D6854" w:rsidR="007B5C11" w:rsidRPr="00C85C10" w:rsidRDefault="007B5C11" w:rsidP="007B5C11">
            <w:pPr>
              <w:jc w:val="center"/>
              <w:cnfStyle w:val="000000100000" w:firstRow="0" w:lastRow="0" w:firstColumn="0" w:lastColumn="0" w:oddVBand="0" w:evenVBand="0" w:oddHBand="1" w:evenHBand="0" w:firstRowFirstColumn="0" w:firstRowLastColumn="0" w:lastRowFirstColumn="0" w:lastRowLastColumn="0"/>
              <w:rPr>
                <w:rFonts w:cstheme="minorHAnsi"/>
                <w:color w:val="000000"/>
              </w:rPr>
            </w:pPr>
            <w:r w:rsidRPr="002C6516">
              <w:rPr>
                <w:rFonts w:cstheme="minorHAnsi"/>
                <w:color w:val="000000"/>
              </w:rPr>
              <w:t>1</w:t>
            </w:r>
            <w:r>
              <w:rPr>
                <w:rFonts w:cstheme="minorHAnsi"/>
                <w:color w:val="000000"/>
              </w:rPr>
              <w:t>.</w:t>
            </w:r>
            <w:r w:rsidRPr="002C6516">
              <w:rPr>
                <w:rFonts w:cstheme="minorHAnsi"/>
                <w:color w:val="000000"/>
              </w:rPr>
              <w:t>417</w:t>
            </w:r>
          </w:p>
        </w:tc>
      </w:tr>
      <w:tr w:rsidR="007B5C11" w:rsidRPr="00970175" w14:paraId="288DF8AC" w14:textId="3BF37662" w:rsidTr="007B5C11">
        <w:trPr>
          <w:jc w:val="center"/>
        </w:trPr>
        <w:tc>
          <w:tcPr>
            <w:cnfStyle w:val="001000000000" w:firstRow="0" w:lastRow="0" w:firstColumn="1" w:lastColumn="0" w:oddVBand="0" w:evenVBand="0" w:oddHBand="0" w:evenHBand="0" w:firstRowFirstColumn="0" w:firstRowLastColumn="0" w:lastRowFirstColumn="0" w:lastRowLastColumn="0"/>
            <w:tcW w:w="718" w:type="pct"/>
            <w:vAlign w:val="center"/>
          </w:tcPr>
          <w:p w14:paraId="749F0E9D" w14:textId="77777777" w:rsidR="007B5C11" w:rsidRPr="00970175" w:rsidRDefault="007B5C11" w:rsidP="007B5C11">
            <w:pPr>
              <w:jc w:val="center"/>
              <w:rPr>
                <w:rFonts w:cstheme="minorHAnsi"/>
              </w:rPr>
            </w:pPr>
            <w:r w:rsidRPr="00970175">
              <w:rPr>
                <w:rFonts w:cstheme="minorHAnsi"/>
                <w:color w:val="000000"/>
              </w:rPr>
              <w:t>GSE104836</w:t>
            </w:r>
          </w:p>
        </w:tc>
        <w:tc>
          <w:tcPr>
            <w:tcW w:w="644" w:type="pct"/>
            <w:vAlign w:val="center"/>
          </w:tcPr>
          <w:p w14:paraId="65CBE2EC" w14:textId="70140D31" w:rsidR="007B5C11" w:rsidRPr="00C85C10" w:rsidRDefault="007B5C11" w:rsidP="007B5C11">
            <w:pPr>
              <w:jc w:val="center"/>
              <w:cnfStyle w:val="000000000000" w:firstRow="0" w:lastRow="0" w:firstColumn="0" w:lastColumn="0" w:oddVBand="0" w:evenVBand="0" w:oddHBand="0" w:evenHBand="0" w:firstRowFirstColumn="0" w:firstRowLastColumn="0" w:lastRowFirstColumn="0" w:lastRowLastColumn="0"/>
              <w:rPr>
                <w:rFonts w:cstheme="minorHAnsi"/>
                <w:color w:val="000000"/>
              </w:rPr>
            </w:pPr>
            <w:r w:rsidRPr="00970175">
              <w:rPr>
                <w:rFonts w:cstheme="minorHAnsi"/>
                <w:color w:val="000000"/>
              </w:rPr>
              <w:t>20</w:t>
            </w:r>
          </w:p>
        </w:tc>
        <w:tc>
          <w:tcPr>
            <w:tcW w:w="715" w:type="pct"/>
            <w:vAlign w:val="center"/>
          </w:tcPr>
          <w:p w14:paraId="4076CC72" w14:textId="0A040347" w:rsidR="007B5C11" w:rsidRPr="00970175" w:rsidRDefault="007B5C11" w:rsidP="007B5C11">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C85C10">
              <w:rPr>
                <w:rFonts w:cstheme="minorHAnsi"/>
                <w:color w:val="000000"/>
              </w:rPr>
              <w:t>23</w:t>
            </w:r>
            <w:r>
              <w:rPr>
                <w:rFonts w:cstheme="minorHAnsi"/>
                <w:color w:val="000000"/>
              </w:rPr>
              <w:t>.</w:t>
            </w:r>
            <w:r w:rsidRPr="00C85C10">
              <w:rPr>
                <w:rFonts w:cstheme="minorHAnsi"/>
                <w:color w:val="000000"/>
              </w:rPr>
              <w:t>309</w:t>
            </w:r>
          </w:p>
        </w:tc>
        <w:tc>
          <w:tcPr>
            <w:tcW w:w="998" w:type="pct"/>
            <w:vAlign w:val="center"/>
          </w:tcPr>
          <w:p w14:paraId="6F8BDFFA" w14:textId="6D0C3F6D" w:rsidR="007B5C11" w:rsidRPr="00C85C10" w:rsidRDefault="007B5C11" w:rsidP="007B5C11">
            <w:pPr>
              <w:jc w:val="center"/>
              <w:cnfStyle w:val="000000000000" w:firstRow="0" w:lastRow="0" w:firstColumn="0" w:lastColumn="0" w:oddVBand="0" w:evenVBand="0" w:oddHBand="0" w:evenHBand="0" w:firstRowFirstColumn="0" w:firstRowLastColumn="0" w:lastRowFirstColumn="0" w:lastRowLastColumn="0"/>
              <w:rPr>
                <w:rFonts w:cstheme="minorHAnsi"/>
                <w:color w:val="000000"/>
              </w:rPr>
            </w:pPr>
            <w:r w:rsidRPr="002C6516">
              <w:rPr>
                <w:rFonts w:cstheme="minorHAnsi"/>
                <w:color w:val="000000"/>
              </w:rPr>
              <w:t>911</w:t>
            </w:r>
          </w:p>
        </w:tc>
        <w:tc>
          <w:tcPr>
            <w:tcW w:w="1078" w:type="pct"/>
            <w:vAlign w:val="center"/>
          </w:tcPr>
          <w:p w14:paraId="48DAD7F8" w14:textId="3862FF18" w:rsidR="007B5C11" w:rsidRPr="00C85C10" w:rsidRDefault="007B5C11" w:rsidP="007B5C11">
            <w:pPr>
              <w:jc w:val="center"/>
              <w:cnfStyle w:val="000000000000" w:firstRow="0" w:lastRow="0" w:firstColumn="0" w:lastColumn="0" w:oddVBand="0" w:evenVBand="0" w:oddHBand="0" w:evenHBand="0" w:firstRowFirstColumn="0" w:firstRowLastColumn="0" w:lastRowFirstColumn="0" w:lastRowLastColumn="0"/>
              <w:rPr>
                <w:rFonts w:cstheme="minorHAnsi"/>
                <w:color w:val="000000"/>
              </w:rPr>
            </w:pPr>
            <w:r w:rsidRPr="002C6516">
              <w:rPr>
                <w:rFonts w:cstheme="minorHAnsi"/>
                <w:color w:val="000000"/>
              </w:rPr>
              <w:t>1</w:t>
            </w:r>
            <w:r>
              <w:rPr>
                <w:rFonts w:cstheme="minorHAnsi"/>
                <w:color w:val="000000"/>
              </w:rPr>
              <w:t>.</w:t>
            </w:r>
            <w:r w:rsidRPr="002C6516">
              <w:rPr>
                <w:rFonts w:cstheme="minorHAnsi"/>
                <w:color w:val="000000"/>
              </w:rPr>
              <w:t>110</w:t>
            </w:r>
          </w:p>
        </w:tc>
        <w:tc>
          <w:tcPr>
            <w:tcW w:w="846" w:type="pct"/>
            <w:vAlign w:val="center"/>
          </w:tcPr>
          <w:p w14:paraId="06116DF7" w14:textId="18408AB9" w:rsidR="007B5C11" w:rsidRPr="00C85C10" w:rsidRDefault="007B5C11" w:rsidP="007B5C11">
            <w:pPr>
              <w:jc w:val="center"/>
              <w:cnfStyle w:val="000000000000" w:firstRow="0" w:lastRow="0" w:firstColumn="0" w:lastColumn="0" w:oddVBand="0" w:evenVBand="0" w:oddHBand="0" w:evenHBand="0" w:firstRowFirstColumn="0" w:firstRowLastColumn="0" w:lastRowFirstColumn="0" w:lastRowLastColumn="0"/>
              <w:rPr>
                <w:rFonts w:cstheme="minorHAnsi"/>
                <w:color w:val="000000"/>
              </w:rPr>
            </w:pPr>
            <w:r w:rsidRPr="002C6516">
              <w:rPr>
                <w:rFonts w:cstheme="minorHAnsi"/>
                <w:color w:val="000000"/>
              </w:rPr>
              <w:t>2</w:t>
            </w:r>
            <w:r>
              <w:rPr>
                <w:rFonts w:cstheme="minorHAnsi"/>
                <w:color w:val="000000"/>
              </w:rPr>
              <w:t>.</w:t>
            </w:r>
            <w:r w:rsidRPr="002C6516">
              <w:rPr>
                <w:rFonts w:cstheme="minorHAnsi"/>
                <w:color w:val="000000"/>
              </w:rPr>
              <w:t>021</w:t>
            </w:r>
          </w:p>
        </w:tc>
      </w:tr>
      <w:tr w:rsidR="007B5C11" w:rsidRPr="00970175" w14:paraId="5560A3CF" w14:textId="65B44078" w:rsidTr="007B5C1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18" w:type="pct"/>
            <w:vAlign w:val="center"/>
          </w:tcPr>
          <w:p w14:paraId="6989AE5B" w14:textId="77777777" w:rsidR="007B5C11" w:rsidRPr="00970175" w:rsidRDefault="007B5C11" w:rsidP="007B5C11">
            <w:pPr>
              <w:jc w:val="center"/>
              <w:rPr>
                <w:rFonts w:cstheme="minorHAnsi"/>
              </w:rPr>
            </w:pPr>
            <w:r w:rsidRPr="00970175">
              <w:rPr>
                <w:rFonts w:cstheme="minorHAnsi"/>
                <w:color w:val="000000"/>
              </w:rPr>
              <w:t>GSE142279</w:t>
            </w:r>
          </w:p>
        </w:tc>
        <w:tc>
          <w:tcPr>
            <w:tcW w:w="644" w:type="pct"/>
            <w:vAlign w:val="center"/>
          </w:tcPr>
          <w:p w14:paraId="38B8D84B" w14:textId="4C4B15CC" w:rsidR="007B5C11" w:rsidRPr="00F569C4" w:rsidRDefault="007B5C11" w:rsidP="007B5C11">
            <w:pPr>
              <w:jc w:val="center"/>
              <w:cnfStyle w:val="000000100000" w:firstRow="0" w:lastRow="0" w:firstColumn="0" w:lastColumn="0" w:oddVBand="0" w:evenVBand="0" w:oddHBand="1" w:evenHBand="0" w:firstRowFirstColumn="0" w:firstRowLastColumn="0" w:lastRowFirstColumn="0" w:lastRowLastColumn="0"/>
              <w:rPr>
                <w:rFonts w:cstheme="minorHAnsi"/>
                <w:color w:val="000000"/>
              </w:rPr>
            </w:pPr>
            <w:r w:rsidRPr="00970175">
              <w:rPr>
                <w:rFonts w:cstheme="minorHAnsi"/>
                <w:color w:val="000000"/>
              </w:rPr>
              <w:t>40</w:t>
            </w:r>
          </w:p>
        </w:tc>
        <w:tc>
          <w:tcPr>
            <w:tcW w:w="715" w:type="pct"/>
            <w:vAlign w:val="center"/>
          </w:tcPr>
          <w:p w14:paraId="7381CB49" w14:textId="78243265" w:rsidR="007B5C11" w:rsidRPr="00970175" w:rsidRDefault="007B5C11" w:rsidP="007B5C11">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F569C4">
              <w:rPr>
                <w:rFonts w:cstheme="minorHAnsi"/>
                <w:color w:val="000000"/>
              </w:rPr>
              <w:t>19</w:t>
            </w:r>
            <w:r>
              <w:rPr>
                <w:rFonts w:cstheme="minorHAnsi"/>
                <w:color w:val="000000"/>
              </w:rPr>
              <w:t>.</w:t>
            </w:r>
            <w:r w:rsidRPr="00F569C4">
              <w:rPr>
                <w:rFonts w:cstheme="minorHAnsi"/>
                <w:color w:val="000000"/>
              </w:rPr>
              <w:t>548</w:t>
            </w:r>
          </w:p>
        </w:tc>
        <w:tc>
          <w:tcPr>
            <w:tcW w:w="998" w:type="pct"/>
            <w:vAlign w:val="center"/>
          </w:tcPr>
          <w:p w14:paraId="2F8B57A8" w14:textId="35C01537" w:rsidR="007B5C11" w:rsidRPr="00F569C4" w:rsidRDefault="007B5C11" w:rsidP="007B5C11">
            <w:pPr>
              <w:jc w:val="center"/>
              <w:cnfStyle w:val="000000100000" w:firstRow="0" w:lastRow="0" w:firstColumn="0" w:lastColumn="0" w:oddVBand="0" w:evenVBand="0" w:oddHBand="1" w:evenHBand="0" w:firstRowFirstColumn="0" w:firstRowLastColumn="0" w:lastRowFirstColumn="0" w:lastRowLastColumn="0"/>
              <w:rPr>
                <w:rFonts w:cstheme="minorHAnsi"/>
                <w:color w:val="000000"/>
              </w:rPr>
            </w:pPr>
            <w:r w:rsidRPr="002C6516">
              <w:rPr>
                <w:rFonts w:cstheme="minorHAnsi"/>
                <w:color w:val="000000"/>
              </w:rPr>
              <w:t>1</w:t>
            </w:r>
            <w:r>
              <w:rPr>
                <w:rFonts w:cstheme="minorHAnsi"/>
                <w:color w:val="000000"/>
              </w:rPr>
              <w:t>.</w:t>
            </w:r>
            <w:r w:rsidRPr="002C6516">
              <w:rPr>
                <w:rFonts w:cstheme="minorHAnsi"/>
                <w:color w:val="000000"/>
              </w:rPr>
              <w:t>539</w:t>
            </w:r>
          </w:p>
        </w:tc>
        <w:tc>
          <w:tcPr>
            <w:tcW w:w="1078" w:type="pct"/>
            <w:vAlign w:val="center"/>
          </w:tcPr>
          <w:p w14:paraId="1447C06D" w14:textId="72290C51" w:rsidR="007B5C11" w:rsidRPr="00F569C4" w:rsidRDefault="007B5C11" w:rsidP="007B5C11">
            <w:pPr>
              <w:jc w:val="center"/>
              <w:cnfStyle w:val="000000100000" w:firstRow="0" w:lastRow="0" w:firstColumn="0" w:lastColumn="0" w:oddVBand="0" w:evenVBand="0" w:oddHBand="1" w:evenHBand="0" w:firstRowFirstColumn="0" w:firstRowLastColumn="0" w:lastRowFirstColumn="0" w:lastRowLastColumn="0"/>
              <w:rPr>
                <w:rFonts w:cstheme="minorHAnsi"/>
                <w:color w:val="000000"/>
              </w:rPr>
            </w:pPr>
            <w:r w:rsidRPr="002C6516">
              <w:rPr>
                <w:rFonts w:cstheme="minorHAnsi"/>
                <w:color w:val="000000"/>
              </w:rPr>
              <w:t>2</w:t>
            </w:r>
            <w:r>
              <w:rPr>
                <w:rFonts w:cstheme="minorHAnsi"/>
                <w:color w:val="000000"/>
              </w:rPr>
              <w:t>.</w:t>
            </w:r>
            <w:r w:rsidRPr="002C6516">
              <w:rPr>
                <w:rFonts w:cstheme="minorHAnsi"/>
                <w:color w:val="000000"/>
              </w:rPr>
              <w:t>081</w:t>
            </w:r>
          </w:p>
        </w:tc>
        <w:tc>
          <w:tcPr>
            <w:tcW w:w="846" w:type="pct"/>
            <w:vAlign w:val="center"/>
          </w:tcPr>
          <w:p w14:paraId="4F1A2E15" w14:textId="21FFC117" w:rsidR="007B5C11" w:rsidRPr="00F569C4" w:rsidRDefault="007B5C11" w:rsidP="007B5C11">
            <w:pPr>
              <w:jc w:val="center"/>
              <w:cnfStyle w:val="000000100000" w:firstRow="0" w:lastRow="0" w:firstColumn="0" w:lastColumn="0" w:oddVBand="0" w:evenVBand="0" w:oddHBand="1" w:evenHBand="0" w:firstRowFirstColumn="0" w:firstRowLastColumn="0" w:lastRowFirstColumn="0" w:lastRowLastColumn="0"/>
              <w:rPr>
                <w:rFonts w:cstheme="minorHAnsi"/>
                <w:color w:val="000000"/>
              </w:rPr>
            </w:pPr>
            <w:r w:rsidRPr="002C6516">
              <w:rPr>
                <w:rFonts w:cstheme="minorHAnsi"/>
                <w:color w:val="000000"/>
              </w:rPr>
              <w:t>3</w:t>
            </w:r>
            <w:r>
              <w:rPr>
                <w:rFonts w:cstheme="minorHAnsi"/>
                <w:color w:val="000000"/>
              </w:rPr>
              <w:t>.</w:t>
            </w:r>
            <w:r w:rsidRPr="002C6516">
              <w:rPr>
                <w:rFonts w:cstheme="minorHAnsi"/>
                <w:color w:val="000000"/>
              </w:rPr>
              <w:t>620</w:t>
            </w:r>
          </w:p>
        </w:tc>
      </w:tr>
      <w:tr w:rsidR="007B5C11" w:rsidRPr="00970175" w14:paraId="0EB0B0A5" w14:textId="3A66CA73" w:rsidTr="007B5C11">
        <w:trPr>
          <w:jc w:val="center"/>
        </w:trPr>
        <w:tc>
          <w:tcPr>
            <w:cnfStyle w:val="001000000000" w:firstRow="0" w:lastRow="0" w:firstColumn="1" w:lastColumn="0" w:oddVBand="0" w:evenVBand="0" w:oddHBand="0" w:evenHBand="0" w:firstRowFirstColumn="0" w:firstRowLastColumn="0" w:lastRowFirstColumn="0" w:lastRowLastColumn="0"/>
            <w:tcW w:w="718" w:type="pct"/>
            <w:vAlign w:val="center"/>
          </w:tcPr>
          <w:p w14:paraId="77791270" w14:textId="77777777" w:rsidR="007B5C11" w:rsidRPr="00970175" w:rsidRDefault="007B5C11" w:rsidP="007B5C11">
            <w:pPr>
              <w:jc w:val="center"/>
              <w:rPr>
                <w:rFonts w:cstheme="minorHAnsi"/>
              </w:rPr>
            </w:pPr>
            <w:r w:rsidRPr="00970175">
              <w:rPr>
                <w:rFonts w:cstheme="minorHAnsi"/>
                <w:color w:val="000000"/>
              </w:rPr>
              <w:t>GSE156451</w:t>
            </w:r>
          </w:p>
        </w:tc>
        <w:tc>
          <w:tcPr>
            <w:tcW w:w="644" w:type="pct"/>
            <w:vAlign w:val="center"/>
          </w:tcPr>
          <w:p w14:paraId="2E9A9340" w14:textId="77901CD5" w:rsidR="007B5C11" w:rsidRPr="00F569C4" w:rsidRDefault="007B5C11" w:rsidP="007B5C11">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970175">
              <w:rPr>
                <w:rFonts w:cstheme="minorHAnsi"/>
                <w:color w:val="000000"/>
              </w:rPr>
              <w:t>95</w:t>
            </w:r>
          </w:p>
        </w:tc>
        <w:tc>
          <w:tcPr>
            <w:tcW w:w="715" w:type="pct"/>
            <w:vAlign w:val="center"/>
          </w:tcPr>
          <w:p w14:paraId="4B2612EB" w14:textId="78DAAC33" w:rsidR="007B5C11" w:rsidRPr="00970175" w:rsidRDefault="007B5C11" w:rsidP="007B5C11">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F569C4">
              <w:rPr>
                <w:rFonts w:cstheme="minorHAnsi"/>
              </w:rPr>
              <w:t>17</w:t>
            </w:r>
            <w:r>
              <w:rPr>
                <w:rFonts w:cstheme="minorHAnsi"/>
              </w:rPr>
              <w:t>.</w:t>
            </w:r>
            <w:r w:rsidRPr="00F569C4">
              <w:rPr>
                <w:rFonts w:cstheme="minorHAnsi"/>
              </w:rPr>
              <w:t>225</w:t>
            </w:r>
          </w:p>
        </w:tc>
        <w:tc>
          <w:tcPr>
            <w:tcW w:w="998" w:type="pct"/>
            <w:vAlign w:val="center"/>
          </w:tcPr>
          <w:p w14:paraId="355489EC" w14:textId="48467D4D" w:rsidR="007B5C11" w:rsidRPr="00F569C4" w:rsidRDefault="007B5C11" w:rsidP="007B5C11">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267950">
              <w:rPr>
                <w:rFonts w:cstheme="minorHAnsi"/>
              </w:rPr>
              <w:t>2</w:t>
            </w:r>
            <w:r>
              <w:rPr>
                <w:rFonts w:cstheme="minorHAnsi"/>
              </w:rPr>
              <w:t>.</w:t>
            </w:r>
            <w:r w:rsidRPr="00267950">
              <w:rPr>
                <w:rFonts w:cstheme="minorHAnsi"/>
              </w:rPr>
              <w:t>307</w:t>
            </w:r>
          </w:p>
        </w:tc>
        <w:tc>
          <w:tcPr>
            <w:tcW w:w="1078" w:type="pct"/>
            <w:vAlign w:val="center"/>
          </w:tcPr>
          <w:p w14:paraId="683B98C1" w14:textId="33F82B00" w:rsidR="007B5C11" w:rsidRPr="00F569C4" w:rsidRDefault="007B5C11" w:rsidP="007B5C11">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267950">
              <w:rPr>
                <w:rFonts w:cstheme="minorHAnsi"/>
              </w:rPr>
              <w:t>2</w:t>
            </w:r>
            <w:r>
              <w:rPr>
                <w:rFonts w:cstheme="minorHAnsi"/>
              </w:rPr>
              <w:t>.</w:t>
            </w:r>
            <w:r w:rsidRPr="00267950">
              <w:rPr>
                <w:rFonts w:cstheme="minorHAnsi"/>
              </w:rPr>
              <w:t>989</w:t>
            </w:r>
          </w:p>
        </w:tc>
        <w:tc>
          <w:tcPr>
            <w:tcW w:w="846" w:type="pct"/>
            <w:vAlign w:val="center"/>
          </w:tcPr>
          <w:p w14:paraId="14716A0F" w14:textId="6BFBD11F" w:rsidR="007B5C11" w:rsidRPr="00F569C4" w:rsidRDefault="007B5C11" w:rsidP="007B5C11">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267950">
              <w:rPr>
                <w:rFonts w:cstheme="minorHAnsi"/>
              </w:rPr>
              <w:t>5</w:t>
            </w:r>
            <w:r>
              <w:rPr>
                <w:rFonts w:cstheme="minorHAnsi"/>
              </w:rPr>
              <w:t>.</w:t>
            </w:r>
            <w:r w:rsidRPr="00267950">
              <w:rPr>
                <w:rFonts w:cstheme="minorHAnsi"/>
              </w:rPr>
              <w:t>296</w:t>
            </w:r>
          </w:p>
        </w:tc>
      </w:tr>
      <w:tr w:rsidR="007B5C11" w:rsidRPr="00970175" w14:paraId="2AD5C2D8" w14:textId="5DFE717A" w:rsidTr="007B5C1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18" w:type="pct"/>
            <w:vAlign w:val="center"/>
          </w:tcPr>
          <w:p w14:paraId="2B75534E" w14:textId="77777777" w:rsidR="007B5C11" w:rsidRPr="00970175" w:rsidRDefault="007B5C11" w:rsidP="007B5C11">
            <w:pPr>
              <w:jc w:val="center"/>
              <w:rPr>
                <w:rFonts w:cstheme="minorHAnsi"/>
              </w:rPr>
            </w:pPr>
            <w:r w:rsidRPr="00970175">
              <w:rPr>
                <w:rFonts w:cstheme="minorHAnsi"/>
                <w:color w:val="000000"/>
              </w:rPr>
              <w:t>GSE164541</w:t>
            </w:r>
          </w:p>
        </w:tc>
        <w:tc>
          <w:tcPr>
            <w:tcW w:w="644" w:type="pct"/>
            <w:vAlign w:val="center"/>
          </w:tcPr>
          <w:p w14:paraId="2AAAF2FA" w14:textId="6EAEFC88" w:rsidR="007B5C11" w:rsidRPr="00C85C10" w:rsidRDefault="007B5C11" w:rsidP="007B5C11">
            <w:pPr>
              <w:jc w:val="center"/>
              <w:cnfStyle w:val="000000100000" w:firstRow="0" w:lastRow="0" w:firstColumn="0" w:lastColumn="0" w:oddVBand="0" w:evenVBand="0" w:oddHBand="1" w:evenHBand="0" w:firstRowFirstColumn="0" w:firstRowLastColumn="0" w:lastRowFirstColumn="0" w:lastRowLastColumn="0"/>
              <w:rPr>
                <w:rFonts w:cstheme="minorHAnsi"/>
                <w:color w:val="000000"/>
              </w:rPr>
            </w:pPr>
            <w:r>
              <w:rPr>
                <w:rFonts w:cstheme="minorHAnsi"/>
                <w:color w:val="000000"/>
              </w:rPr>
              <w:t>10</w:t>
            </w:r>
          </w:p>
        </w:tc>
        <w:tc>
          <w:tcPr>
            <w:tcW w:w="715" w:type="pct"/>
            <w:vAlign w:val="center"/>
          </w:tcPr>
          <w:p w14:paraId="456ABCB2" w14:textId="295766FF" w:rsidR="007B5C11" w:rsidRPr="00970175" w:rsidRDefault="007B5C11" w:rsidP="007B5C11">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C85C10">
              <w:rPr>
                <w:rFonts w:cstheme="minorHAnsi"/>
                <w:color w:val="000000"/>
              </w:rPr>
              <w:t>17</w:t>
            </w:r>
            <w:r>
              <w:rPr>
                <w:rFonts w:cstheme="minorHAnsi"/>
                <w:color w:val="000000"/>
              </w:rPr>
              <w:t>.</w:t>
            </w:r>
            <w:r w:rsidRPr="00C85C10">
              <w:rPr>
                <w:rFonts w:cstheme="minorHAnsi"/>
                <w:color w:val="000000"/>
              </w:rPr>
              <w:t>525</w:t>
            </w:r>
          </w:p>
        </w:tc>
        <w:tc>
          <w:tcPr>
            <w:tcW w:w="998" w:type="pct"/>
            <w:vAlign w:val="center"/>
          </w:tcPr>
          <w:p w14:paraId="23A8C153" w14:textId="429AA71F" w:rsidR="007B5C11" w:rsidRPr="00C85C10" w:rsidRDefault="007B5C11" w:rsidP="007B5C11">
            <w:pPr>
              <w:jc w:val="center"/>
              <w:cnfStyle w:val="000000100000" w:firstRow="0" w:lastRow="0" w:firstColumn="0" w:lastColumn="0" w:oddVBand="0" w:evenVBand="0" w:oddHBand="1" w:evenHBand="0" w:firstRowFirstColumn="0" w:firstRowLastColumn="0" w:lastRowFirstColumn="0" w:lastRowLastColumn="0"/>
              <w:rPr>
                <w:rFonts w:cstheme="minorHAnsi"/>
                <w:color w:val="000000"/>
              </w:rPr>
            </w:pPr>
            <w:r w:rsidRPr="00267950">
              <w:rPr>
                <w:rFonts w:cstheme="minorHAnsi"/>
                <w:color w:val="000000"/>
              </w:rPr>
              <w:t>540</w:t>
            </w:r>
          </w:p>
        </w:tc>
        <w:tc>
          <w:tcPr>
            <w:tcW w:w="1078" w:type="pct"/>
            <w:vAlign w:val="center"/>
          </w:tcPr>
          <w:p w14:paraId="6E27C293" w14:textId="5DBC8832" w:rsidR="007B5C11" w:rsidRPr="00C85C10" w:rsidRDefault="007B5C11" w:rsidP="007B5C11">
            <w:pPr>
              <w:jc w:val="center"/>
              <w:cnfStyle w:val="000000100000" w:firstRow="0" w:lastRow="0" w:firstColumn="0" w:lastColumn="0" w:oddVBand="0" w:evenVBand="0" w:oddHBand="1" w:evenHBand="0" w:firstRowFirstColumn="0" w:firstRowLastColumn="0" w:lastRowFirstColumn="0" w:lastRowLastColumn="0"/>
              <w:rPr>
                <w:rFonts w:cstheme="minorHAnsi"/>
                <w:color w:val="000000"/>
              </w:rPr>
            </w:pPr>
            <w:r w:rsidRPr="00267950">
              <w:rPr>
                <w:rFonts w:cstheme="minorHAnsi"/>
                <w:color w:val="000000"/>
              </w:rPr>
              <w:t>979</w:t>
            </w:r>
          </w:p>
        </w:tc>
        <w:tc>
          <w:tcPr>
            <w:tcW w:w="846" w:type="pct"/>
            <w:vAlign w:val="center"/>
          </w:tcPr>
          <w:p w14:paraId="05543FB9" w14:textId="4EFB48CD" w:rsidR="007B5C11" w:rsidRPr="00C85C10" w:rsidRDefault="007B5C11" w:rsidP="007B5C11">
            <w:pPr>
              <w:jc w:val="center"/>
              <w:cnfStyle w:val="000000100000" w:firstRow="0" w:lastRow="0" w:firstColumn="0" w:lastColumn="0" w:oddVBand="0" w:evenVBand="0" w:oddHBand="1" w:evenHBand="0" w:firstRowFirstColumn="0" w:firstRowLastColumn="0" w:lastRowFirstColumn="0" w:lastRowLastColumn="0"/>
              <w:rPr>
                <w:rFonts w:cstheme="minorHAnsi"/>
                <w:color w:val="000000"/>
              </w:rPr>
            </w:pPr>
            <w:r w:rsidRPr="00267950">
              <w:rPr>
                <w:rFonts w:cstheme="minorHAnsi"/>
                <w:color w:val="000000"/>
              </w:rPr>
              <w:t>1</w:t>
            </w:r>
            <w:r>
              <w:rPr>
                <w:rFonts w:cstheme="minorHAnsi"/>
                <w:color w:val="000000"/>
              </w:rPr>
              <w:t>.</w:t>
            </w:r>
            <w:r w:rsidRPr="00267950">
              <w:rPr>
                <w:rFonts w:cstheme="minorHAnsi"/>
                <w:color w:val="000000"/>
              </w:rPr>
              <w:t>519</w:t>
            </w:r>
          </w:p>
        </w:tc>
      </w:tr>
      <w:tr w:rsidR="007B5C11" w:rsidRPr="00970175" w14:paraId="7B24140E" w14:textId="0C1D4CFD" w:rsidTr="007B5C11">
        <w:trPr>
          <w:jc w:val="center"/>
        </w:trPr>
        <w:tc>
          <w:tcPr>
            <w:cnfStyle w:val="001000000000" w:firstRow="0" w:lastRow="0" w:firstColumn="1" w:lastColumn="0" w:oddVBand="0" w:evenVBand="0" w:oddHBand="0" w:evenHBand="0" w:firstRowFirstColumn="0" w:firstRowLastColumn="0" w:lastRowFirstColumn="0" w:lastRowLastColumn="0"/>
            <w:tcW w:w="718" w:type="pct"/>
            <w:vAlign w:val="center"/>
          </w:tcPr>
          <w:p w14:paraId="65A0AB90" w14:textId="77777777" w:rsidR="007B5C11" w:rsidRPr="00970175" w:rsidRDefault="007B5C11" w:rsidP="00372141">
            <w:pPr>
              <w:spacing w:after="0"/>
              <w:jc w:val="center"/>
              <w:rPr>
                <w:rFonts w:cstheme="minorHAnsi"/>
              </w:rPr>
            </w:pPr>
            <w:r w:rsidRPr="00970175">
              <w:rPr>
                <w:rFonts w:cstheme="minorHAnsi"/>
                <w:color w:val="000000"/>
              </w:rPr>
              <w:t>TCGA-COAD</w:t>
            </w:r>
          </w:p>
        </w:tc>
        <w:tc>
          <w:tcPr>
            <w:tcW w:w="644" w:type="pct"/>
            <w:vAlign w:val="center"/>
          </w:tcPr>
          <w:p w14:paraId="34215A3E" w14:textId="4A1ACFA3" w:rsidR="007B5C11" w:rsidRPr="00F569C4" w:rsidRDefault="007B5C11" w:rsidP="00372141">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000000"/>
              </w:rPr>
            </w:pPr>
            <w:r w:rsidRPr="00970175">
              <w:rPr>
                <w:rFonts w:cstheme="minorHAnsi"/>
                <w:color w:val="000000"/>
              </w:rPr>
              <w:t>5</w:t>
            </w:r>
            <w:r>
              <w:rPr>
                <w:rFonts w:cstheme="minorHAnsi"/>
                <w:color w:val="000000"/>
              </w:rPr>
              <w:t>1</w:t>
            </w:r>
            <w:r w:rsidRPr="00970175">
              <w:rPr>
                <w:rFonts w:cstheme="minorHAnsi"/>
                <w:color w:val="000000"/>
              </w:rPr>
              <w:t>4</w:t>
            </w:r>
          </w:p>
        </w:tc>
        <w:tc>
          <w:tcPr>
            <w:tcW w:w="715" w:type="pct"/>
            <w:vAlign w:val="center"/>
          </w:tcPr>
          <w:p w14:paraId="42D18690" w14:textId="25AB8EFF" w:rsidR="007B5C11" w:rsidRPr="00F569C4" w:rsidRDefault="007B5C11" w:rsidP="00372141">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000000"/>
              </w:rPr>
            </w:pPr>
            <w:r w:rsidRPr="00F569C4">
              <w:rPr>
                <w:rFonts w:cstheme="minorHAnsi"/>
                <w:color w:val="000000"/>
              </w:rPr>
              <w:t>24</w:t>
            </w:r>
            <w:r>
              <w:rPr>
                <w:rFonts w:cstheme="minorHAnsi"/>
                <w:color w:val="000000"/>
              </w:rPr>
              <w:t>.</w:t>
            </w:r>
            <w:r w:rsidRPr="00F569C4">
              <w:rPr>
                <w:rFonts w:cstheme="minorHAnsi"/>
                <w:color w:val="000000"/>
              </w:rPr>
              <w:t>160</w:t>
            </w:r>
          </w:p>
        </w:tc>
        <w:tc>
          <w:tcPr>
            <w:tcW w:w="998" w:type="pct"/>
            <w:vAlign w:val="center"/>
          </w:tcPr>
          <w:p w14:paraId="487A185A" w14:textId="6E86102E" w:rsidR="007B5C11" w:rsidRPr="00F569C4" w:rsidRDefault="007B5C11" w:rsidP="00372141">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000000"/>
              </w:rPr>
            </w:pPr>
            <w:r w:rsidRPr="00E63489">
              <w:rPr>
                <w:rFonts w:cstheme="minorHAnsi"/>
                <w:color w:val="000000"/>
              </w:rPr>
              <w:t>5</w:t>
            </w:r>
            <w:r>
              <w:rPr>
                <w:rFonts w:cstheme="minorHAnsi"/>
                <w:color w:val="000000"/>
              </w:rPr>
              <w:t>.</w:t>
            </w:r>
            <w:r w:rsidRPr="00E63489">
              <w:rPr>
                <w:rFonts w:cstheme="minorHAnsi"/>
                <w:color w:val="000000"/>
              </w:rPr>
              <w:t>021</w:t>
            </w:r>
          </w:p>
        </w:tc>
        <w:tc>
          <w:tcPr>
            <w:tcW w:w="1078" w:type="pct"/>
            <w:vAlign w:val="center"/>
          </w:tcPr>
          <w:p w14:paraId="3A76813D" w14:textId="24A3D6B6" w:rsidR="007B5C11" w:rsidRPr="00F569C4" w:rsidRDefault="007B5C11" w:rsidP="00372141">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000000"/>
              </w:rPr>
            </w:pPr>
            <w:r w:rsidRPr="00E63489">
              <w:rPr>
                <w:rFonts w:cstheme="minorHAnsi"/>
                <w:color w:val="000000"/>
              </w:rPr>
              <w:t>3</w:t>
            </w:r>
            <w:r>
              <w:rPr>
                <w:rFonts w:cstheme="minorHAnsi"/>
                <w:color w:val="000000"/>
              </w:rPr>
              <w:t>.</w:t>
            </w:r>
            <w:r w:rsidRPr="00E63489">
              <w:rPr>
                <w:rFonts w:cstheme="minorHAnsi"/>
                <w:color w:val="000000"/>
              </w:rPr>
              <w:t>343</w:t>
            </w:r>
          </w:p>
        </w:tc>
        <w:tc>
          <w:tcPr>
            <w:tcW w:w="846" w:type="pct"/>
            <w:vAlign w:val="center"/>
          </w:tcPr>
          <w:p w14:paraId="5B1F42E7" w14:textId="4D6FDB87" w:rsidR="007B5C11" w:rsidRPr="00F569C4" w:rsidRDefault="007B5C11" w:rsidP="00372141">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000000"/>
              </w:rPr>
            </w:pPr>
            <w:r w:rsidRPr="00E63489">
              <w:rPr>
                <w:rFonts w:cstheme="minorHAnsi"/>
                <w:color w:val="000000"/>
              </w:rPr>
              <w:t>8</w:t>
            </w:r>
            <w:r>
              <w:rPr>
                <w:rFonts w:cstheme="minorHAnsi"/>
                <w:color w:val="000000"/>
              </w:rPr>
              <w:t>.</w:t>
            </w:r>
            <w:r w:rsidRPr="00E63489">
              <w:rPr>
                <w:rFonts w:cstheme="minorHAnsi"/>
                <w:color w:val="000000"/>
              </w:rPr>
              <w:t>364</w:t>
            </w:r>
          </w:p>
        </w:tc>
      </w:tr>
    </w:tbl>
    <w:p w14:paraId="0F3AD87C" w14:textId="77777777" w:rsidR="00301157" w:rsidRPr="00301157" w:rsidRDefault="00301157" w:rsidP="00301157">
      <w:pPr>
        <w:rPr>
          <w:sz w:val="8"/>
          <w:szCs w:val="8"/>
        </w:rPr>
      </w:pPr>
    </w:p>
    <w:p w14:paraId="7542333C" w14:textId="3F347142" w:rsidR="004B1E4E" w:rsidRPr="004B1E4E" w:rsidRDefault="004B1E4E" w:rsidP="004B1E4E">
      <w:r w:rsidRPr="004B1E4E">
        <w:t xml:space="preserve">Como muestra la </w:t>
      </w:r>
      <w:r w:rsidRPr="004B1E4E">
        <w:rPr>
          <w:i/>
          <w:iCs/>
        </w:rPr>
        <w:t>Tabla 3</w:t>
      </w:r>
      <w:r w:rsidRPr="004B1E4E">
        <w:t>, el número de DEGs detectados varía significativamente según el tamaño de cada conjunto de datos. La cohorte TCGA-COAD (</w:t>
      </w:r>
      <m:oMath>
        <m:r>
          <w:rPr>
            <w:rFonts w:ascii="Cambria Math" w:hAnsi="Cambria Math"/>
          </w:rPr>
          <m:t>N=514</m:t>
        </m:r>
      </m:oMath>
      <w:r w:rsidRPr="004B1E4E">
        <w:t xml:space="preserve">) registró el mayor </w:t>
      </w:r>
      <w:r>
        <w:t>número</w:t>
      </w:r>
      <w:r w:rsidRPr="004B1E4E">
        <w:t xml:space="preserve"> de genes significativos, alcanzando un total de 8.364 DEGs. En cambio, las series con menor tamaño muestral, como GSE50760 (</w:t>
      </w:r>
      <m:oMath>
        <m:r>
          <w:rPr>
            <w:rFonts w:ascii="Cambria Math" w:hAnsi="Cambria Math"/>
          </w:rPr>
          <m:t>N=36</m:t>
        </m:r>
      </m:oMath>
      <w:r w:rsidRPr="004B1E4E">
        <w:t>) y GSE164541 (</w:t>
      </w:r>
      <m:oMath>
        <m:r>
          <w:rPr>
            <w:rFonts w:ascii="Cambria Math" w:hAnsi="Cambria Math"/>
          </w:rPr>
          <m:t>N=10</m:t>
        </m:r>
      </m:oMath>
      <w:r w:rsidRPr="004B1E4E">
        <w:t xml:space="preserve">), arrojaron listas más reducidas, con 1.417 y 1.519 genes alterados respectivamente. A pesar de contar con apenas diez muestras, el hecho de que la serie GSE164541 logre identificar más de </w:t>
      </w:r>
      <w:r>
        <w:t>1.500</w:t>
      </w:r>
      <w:r w:rsidRPr="004B1E4E">
        <w:t xml:space="preserve"> genes demuestra la fuerza de la señal biológica del tumor frente al tejido sano.</w:t>
      </w:r>
    </w:p>
    <w:p w14:paraId="7B7701AB" w14:textId="514160B9" w:rsidR="004B1E4E" w:rsidRDefault="004B1E4E" w:rsidP="004B1E4E">
      <w:r w:rsidRPr="004B1E4E">
        <w:t>Por otra parte, se observa un patrón claro en la dirección del cambio dentro de las series procedentes de GEO. En todos estos conjuntos de datos, los genes subexpresados (</w:t>
      </w:r>
      <w:r w:rsidRPr="004B1E4E">
        <w:rPr>
          <w:i/>
          <w:iCs/>
        </w:rPr>
        <w:t>DOWN</w:t>
      </w:r>
      <w:r w:rsidRPr="004B1E4E">
        <w:t>) superan en número a los sobreexpresados (</w:t>
      </w:r>
      <w:r w:rsidRPr="004B1E4E">
        <w:rPr>
          <w:i/>
          <w:iCs/>
        </w:rPr>
        <w:t>UP</w:t>
      </w:r>
      <w:r w:rsidRPr="004B1E4E">
        <w:t xml:space="preserve">). Sin embargo, la cohorte de TCGA mostró la tendencia opuesta, con un predominio de genes activados. Esta </w:t>
      </w:r>
      <w:r>
        <w:t>diferencia puede que se</w:t>
      </w:r>
      <w:r w:rsidRPr="004B1E4E">
        <w:t xml:space="preserve"> deba a los diferentes métodos de secuenciación y algoritmos de alineamiento originales de cada plataforma. </w:t>
      </w:r>
      <w:r w:rsidR="00372141" w:rsidRPr="00372141">
        <w:t xml:space="preserve">Por este motivo, se planteó una </w:t>
      </w:r>
      <w:r w:rsidR="00372141">
        <w:t>fase</w:t>
      </w:r>
      <w:r w:rsidR="00372141" w:rsidRPr="00372141">
        <w:t xml:space="preserve"> posterior de intersección estricta con el fin </w:t>
      </w:r>
      <w:r w:rsidR="00372141" w:rsidRPr="00372141">
        <w:lastRenderedPageBreak/>
        <w:t>de extraer únicamente un núcleo de genes con un comportamiento robusto y consensuado. No obstante, antes de proceder a dicha integración global, resultó indispensable evaluar la calidad y la distribución de los DEGs obtenidos en cada cohorte mediante herramientas de visualización.</w:t>
      </w:r>
    </w:p>
    <w:p w14:paraId="1EA8AE14" w14:textId="1993613A" w:rsidR="00B468A9" w:rsidRPr="00B468A9" w:rsidRDefault="00535F17" w:rsidP="00B468A9">
      <w:r>
        <w:t>En primer lugar, p</w:t>
      </w:r>
      <w:r w:rsidR="00B468A9" w:rsidRPr="00B468A9">
        <w:t xml:space="preserve">ara comprobar si la señal biológica más potente del estudio era suficiente para agrupar las muestras según su condición, se realizó un </w:t>
      </w:r>
      <w:r w:rsidR="00B468A9">
        <w:t>nuevo</w:t>
      </w:r>
      <w:r w:rsidR="00B468A9" w:rsidRPr="00B468A9">
        <w:t xml:space="preserve"> PCA. En lugar de utilizar la matriz global, este análisis se limitó al grupo de los 1</w:t>
      </w:r>
      <w:r w:rsidR="0099114B">
        <w:t>.</w:t>
      </w:r>
      <w:r w:rsidR="00B468A9" w:rsidRPr="00B468A9">
        <w:t>500 genes con mayor significa</w:t>
      </w:r>
      <w:r>
        <w:t>ncia</w:t>
      </w:r>
      <w:r w:rsidR="00B468A9" w:rsidRPr="00B468A9">
        <w:t xml:space="preserve"> estadística. El objetivo de esta restricción era evaluar si este conjunto selecto de genes altamente alterados era capaz de discriminar las condiciones clínicas de manera autónoma.</w:t>
      </w:r>
    </w:p>
    <w:p w14:paraId="59A7B49D" w14:textId="59A05AC7" w:rsidR="00B468A9" w:rsidRPr="004B1E4E" w:rsidRDefault="00B468A9" w:rsidP="004B1E4E">
      <w:r w:rsidRPr="00B468A9">
        <w:t xml:space="preserve">En todas las cohortes, las proyecciones basadas en </w:t>
      </w:r>
      <w:r w:rsidR="00535F17">
        <w:t>esta selección de genes</w:t>
      </w:r>
      <w:r w:rsidRPr="00B468A9">
        <w:t xml:space="preserve"> mantuvieron o mejoraron la separación entre el tejido sano y el tumoral. El cambio más relevante respecto al PCA </w:t>
      </w:r>
      <w:r w:rsidR="00535F17">
        <w:t>previo</w:t>
      </w:r>
      <w:r w:rsidRPr="00B468A9">
        <w:t xml:space="preserve"> fue el aumento de la varianza explicada por el primer componente (PC1). En concreto, la varianza capturada por el PC1 aumentó del 45% al 62% en GSE50760, del 42% al 66% en GSE142279, del 43% al 65% en GSE156451, del 57% al 73% en GSE164541 y del 18% al 28% en TCGA-COAD.</w:t>
      </w:r>
    </w:p>
    <w:p w14:paraId="63D6E44B" w14:textId="77777777" w:rsidR="00535F17" w:rsidRDefault="00027EE3" w:rsidP="00535F17">
      <w:pPr>
        <w:keepNext/>
        <w:spacing w:before="0" w:after="0" w:line="240" w:lineRule="auto"/>
        <w:jc w:val="center"/>
      </w:pPr>
      <w:r>
        <w:rPr>
          <w:noProof/>
        </w:rPr>
        <w:drawing>
          <wp:inline distT="0" distB="0" distL="0" distR="0" wp14:anchorId="3AA81E34" wp14:editId="206F9BE6">
            <wp:extent cx="5710067" cy="3421011"/>
            <wp:effectExtent l="0" t="0" r="5080" b="8255"/>
            <wp:docPr id="140396743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967438" name="Imagen 1403967438"/>
                    <pic:cNvPicPr/>
                  </pic:nvPicPr>
                  <pic:blipFill rotWithShape="1">
                    <a:blip r:embed="rId24" cstate="print">
                      <a:extLst>
                        <a:ext uri="{28A0092B-C50C-407E-A947-70E740481C1C}">
                          <a14:useLocalDpi xmlns:a14="http://schemas.microsoft.com/office/drawing/2010/main" val="0"/>
                        </a:ext>
                      </a:extLst>
                    </a:blip>
                    <a:srcRect l="9479" r="8741" b="2020"/>
                    <a:stretch>
                      <a:fillRect/>
                    </a:stretch>
                  </pic:blipFill>
                  <pic:spPr bwMode="auto">
                    <a:xfrm>
                      <a:off x="0" y="0"/>
                      <a:ext cx="5717422" cy="3425417"/>
                    </a:xfrm>
                    <a:prstGeom prst="rect">
                      <a:avLst/>
                    </a:prstGeom>
                    <a:ln>
                      <a:noFill/>
                    </a:ln>
                    <a:extLst>
                      <a:ext uri="{53640926-AAD7-44D8-BBD7-CCE9431645EC}">
                        <a14:shadowObscured xmlns:a14="http://schemas.microsoft.com/office/drawing/2010/main"/>
                      </a:ext>
                    </a:extLst>
                  </pic:spPr>
                </pic:pic>
              </a:graphicData>
            </a:graphic>
          </wp:inline>
        </w:drawing>
      </w:r>
    </w:p>
    <w:p w14:paraId="2526AE00" w14:textId="6F60A0B4" w:rsidR="00301157" w:rsidRDefault="00535F17" w:rsidP="004D23EF">
      <w:pPr>
        <w:pStyle w:val="Figuras"/>
      </w:pPr>
      <w:bookmarkStart w:id="40" w:name="_Toc238816313"/>
      <w:r>
        <w:t xml:space="preserve">Figura </w:t>
      </w:r>
      <w:fldSimple w:instr=" SEQ Figura \* ARABIC ">
        <w:r w:rsidR="00EA43FE">
          <w:rPr>
            <w:noProof/>
          </w:rPr>
          <w:t>6</w:t>
        </w:r>
      </w:fldSimple>
      <w:r>
        <w:t xml:space="preserve">. </w:t>
      </w:r>
      <w:r w:rsidRPr="00E1134E">
        <w:t>Análisis de componentes principales restringido a los 1</w:t>
      </w:r>
      <w:r w:rsidR="0099114B">
        <w:t>.</w:t>
      </w:r>
      <w:r w:rsidRPr="00E1134E">
        <w:t>500 genes más significativos en la cohorte modelo GSE104836.</w:t>
      </w:r>
      <w:bookmarkEnd w:id="40"/>
    </w:p>
    <w:p w14:paraId="1AFB9738" w14:textId="036D988A" w:rsidR="00B468A9" w:rsidRPr="00B468A9" w:rsidRDefault="00B468A9" w:rsidP="00B468A9">
      <w:r w:rsidRPr="00B468A9">
        <w:t>La cohorte GSE104836 sirve como ejemplo de este comportamiento (</w:t>
      </w:r>
      <w:r w:rsidRPr="006770A3">
        <w:rPr>
          <w:i/>
          <w:iCs/>
          <w:highlight w:val="yellow"/>
        </w:rPr>
        <w:t xml:space="preserve">Figura </w:t>
      </w:r>
      <w:r w:rsidR="006770A3" w:rsidRPr="006770A3">
        <w:rPr>
          <w:i/>
          <w:iCs/>
          <w:highlight w:val="yellow"/>
        </w:rPr>
        <w:t>X</w:t>
      </w:r>
      <w:r w:rsidRPr="00B468A9">
        <w:t xml:space="preserve">). En este análisis dirigido, el PC1 pasó de explicar el 43% al 64% de la varianza total, mientras que el PC2 retuvo </w:t>
      </w:r>
      <w:r w:rsidRPr="00B468A9">
        <w:lastRenderedPageBreak/>
        <w:t>un 10%. Visualmente, las muestras normales se agruparon de forma compacta en el lado derecho del gráfico y las tumorales en el izquierdo. Este resultado confirma que limitar el análisis al núcleo de genes con mayor alteración molecular potencia la señal biológica clave, permitiendo una separación mucho más clara de las condiciones.</w:t>
      </w:r>
    </w:p>
    <w:p w14:paraId="5CED4C47" w14:textId="52F368C7" w:rsidR="00FF6FD0" w:rsidRPr="00FF6FD0" w:rsidRDefault="00FF6FD0" w:rsidP="00FF6FD0">
      <w:r w:rsidRPr="00FF6FD0">
        <w:t>Complementariamente, se generaron diagramas de dispersión MA (MA-</w:t>
      </w:r>
      <w:proofErr w:type="spellStart"/>
      <w:r w:rsidRPr="00FF6FD0">
        <w:t>plots</w:t>
      </w:r>
      <w:proofErr w:type="spellEnd"/>
      <w:r w:rsidRPr="00FF6FD0">
        <w:t>)</w:t>
      </w:r>
      <w:r>
        <w:t xml:space="preserve"> </w:t>
      </w:r>
      <w:r w:rsidRPr="00FF6FD0">
        <w:t xml:space="preserve">para examinar la relación entre la abundancia global de los transcritos y la magnitud de su cambio de expresión. Estos gráficos muestran en el eje horizontal la media de los conteos normalizados de cada gen y en el eje vertical el cambio de expresión en escala logarítmica </w:t>
      </w:r>
      <w:r>
        <w:t>(LFC</w:t>
      </w:r>
      <w:r w:rsidRPr="00FF6FD0">
        <w:t xml:space="preserve">). Asimismo, las líneas discontinuas de color rojo delimitan de forma fija los umbrales de relevancia biológica que se habían establecido en </w:t>
      </w:r>
      <m:oMath>
        <m:r>
          <w:rPr>
            <w:rFonts w:ascii="Cambria Math" w:hAnsi="Cambria Math"/>
          </w:rPr>
          <m:t>0.585</m:t>
        </m:r>
      </m:oMath>
      <w:r w:rsidRPr="00FF6FD0">
        <w:t xml:space="preserve"> y </w:t>
      </w:r>
      <m:oMath>
        <m:r>
          <w:rPr>
            <w:rFonts w:ascii="Cambria Math" w:hAnsi="Cambria Math"/>
          </w:rPr>
          <m:t>-0.585</m:t>
        </m:r>
      </m:oMath>
      <w:r w:rsidRPr="00FF6FD0">
        <w:t>.</w:t>
      </w:r>
    </w:p>
    <w:p w14:paraId="687EBC1E" w14:textId="77777777" w:rsidR="003A7518" w:rsidRDefault="00FF6FD0" w:rsidP="003A7518">
      <w:pPr>
        <w:spacing w:after="0"/>
      </w:pPr>
      <w:r w:rsidRPr="00FF6FD0">
        <w:t>En esta representación, los puntos de color azul corresponden a los DEGs estadísticamente significativos que superaron todos los filtros de calidad establecidos. Por el contrario, los puntos grises representan a los genes que no mostraron diferencias significativas entre las condiciones o cuyas magnitudes de cambio quedaron confinadas dentro de los límites de la hipótesis nula. Asimismo, los pequeños triángulos situados en los márgenes superior e inferior del recuadro indican transcritos con valores extremos de cambio de expresión que exceden los límites visuales definidos en la escala de la gráfica.</w:t>
      </w:r>
    </w:p>
    <w:p w14:paraId="089F4C6E" w14:textId="77777777" w:rsidR="003A7518" w:rsidRDefault="00FF6FD0" w:rsidP="003A7518">
      <w:pPr>
        <w:spacing w:before="0" w:after="0"/>
        <w:jc w:val="center"/>
      </w:pPr>
      <w:r>
        <w:rPr>
          <w:noProof/>
        </w:rPr>
        <w:drawing>
          <wp:inline distT="0" distB="0" distL="0" distR="0" wp14:anchorId="13392AA7" wp14:editId="42D1E490">
            <wp:extent cx="4467998" cy="2807677"/>
            <wp:effectExtent l="0" t="0" r="8890" b="0"/>
            <wp:docPr id="173386483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5">
                      <a:extLst>
                        <a:ext uri="{28A0092B-C50C-407E-A947-70E740481C1C}">
                          <a14:useLocalDpi xmlns:a14="http://schemas.microsoft.com/office/drawing/2010/main" val="0"/>
                        </a:ext>
                      </a:extLst>
                    </a:blip>
                    <a:srcRect t="14079" b="2076"/>
                    <a:stretch>
                      <a:fillRect/>
                    </a:stretch>
                  </pic:blipFill>
                  <pic:spPr bwMode="auto">
                    <a:xfrm>
                      <a:off x="0" y="0"/>
                      <a:ext cx="4487603" cy="2819997"/>
                    </a:xfrm>
                    <a:prstGeom prst="rect">
                      <a:avLst/>
                    </a:prstGeom>
                    <a:noFill/>
                    <a:ln>
                      <a:noFill/>
                    </a:ln>
                    <a:extLst>
                      <a:ext uri="{53640926-AAD7-44D8-BBD7-CCE9431645EC}">
                        <a14:shadowObscured xmlns:a14="http://schemas.microsoft.com/office/drawing/2010/main"/>
                      </a:ext>
                    </a:extLst>
                  </pic:spPr>
                </pic:pic>
              </a:graphicData>
            </a:graphic>
          </wp:inline>
        </w:drawing>
      </w:r>
    </w:p>
    <w:p w14:paraId="3DED77C8" w14:textId="35F8D1BB" w:rsidR="00FF6FD0" w:rsidRPr="00FF6FD0" w:rsidRDefault="00FF6FD0" w:rsidP="004D23EF">
      <w:pPr>
        <w:pStyle w:val="Figuras"/>
      </w:pPr>
      <w:bookmarkStart w:id="41" w:name="_Toc238816314"/>
      <w:r>
        <w:t xml:space="preserve">Figura </w:t>
      </w:r>
      <w:fldSimple w:instr=" SEQ Figura \* ARABIC ">
        <w:r w:rsidR="00EA43FE">
          <w:rPr>
            <w:noProof/>
          </w:rPr>
          <w:t>7</w:t>
        </w:r>
      </w:fldSimple>
      <w:r>
        <w:t xml:space="preserve">. </w:t>
      </w:r>
      <w:r w:rsidRPr="00F87702">
        <w:t>Gráfico MA de la distribución del cambio de expresión frente a la media de conteos normalizados en la cohorte modelo GSE104836.</w:t>
      </w:r>
      <w:bookmarkEnd w:id="41"/>
    </w:p>
    <w:p w14:paraId="4F84D586" w14:textId="4ED92D31" w:rsidR="00FF6FD0" w:rsidRPr="00FF6FD0" w:rsidRDefault="00FF6FD0" w:rsidP="003A7518">
      <w:pPr>
        <w:spacing w:after="0"/>
      </w:pPr>
      <w:r w:rsidRPr="00FF6FD0">
        <w:t xml:space="preserve">La distribución concentrada de la nube de puntos grises en la zona de bajas lecturas confirma la efectividad de la contracción del LFC mediante el algoritmo </w:t>
      </w:r>
      <w:proofErr w:type="spellStart"/>
      <w:r w:rsidRPr="00FF6FD0">
        <w:rPr>
          <w:i/>
          <w:iCs/>
        </w:rPr>
        <w:t>apeglm</w:t>
      </w:r>
      <w:proofErr w:type="spellEnd"/>
      <w:r w:rsidRPr="00FF6FD0">
        <w:t xml:space="preserve">. Este método corrige las </w:t>
      </w:r>
      <w:r w:rsidRPr="00FF6FD0">
        <w:lastRenderedPageBreak/>
        <w:t>estimaciones de cambio artificialmente infladas por el ruido de fondo técnico, alineando los genes de baja expresión en torno al valor cero. Este comportamiento se observa de manera uniforme en todo el estudio y se ilustra a través de la cohorte modelo GSE104836 (</w:t>
      </w:r>
      <w:r w:rsidRPr="006A4CA7">
        <w:t xml:space="preserve">Figura </w:t>
      </w:r>
      <w:r w:rsidR="006A4CA7">
        <w:t>7</w:t>
      </w:r>
      <w:r w:rsidRPr="00FF6FD0">
        <w:t>).</w:t>
      </w:r>
    </w:p>
    <w:p w14:paraId="2182DA47" w14:textId="30DB2A2B" w:rsidR="00B86249" w:rsidRDefault="00785991" w:rsidP="00B86249">
      <w:r>
        <w:t>A continuación, p</w:t>
      </w:r>
      <w:r w:rsidRPr="00785991">
        <w:t>ara evaluar</w:t>
      </w:r>
      <w:r w:rsidR="00B86249">
        <w:t xml:space="preserve"> en detalle</w:t>
      </w:r>
      <w:r w:rsidRPr="00785991">
        <w:t xml:space="preserve"> el perfil de expresión de los </w:t>
      </w:r>
      <w:r w:rsidR="001E247D">
        <w:t>genes</w:t>
      </w:r>
      <w:r w:rsidRPr="00785991">
        <w:t xml:space="preserve"> más robustos</w:t>
      </w:r>
      <w:r>
        <w:t xml:space="preserve"> </w:t>
      </w:r>
      <w:r w:rsidRPr="00785991">
        <w:t xml:space="preserve">se generaron diagramas de caja para los 20 más significativos de cada cohorte. </w:t>
      </w:r>
      <w:r w:rsidR="00B86249" w:rsidRPr="00B86249">
        <w:t xml:space="preserve">En estos gráficos facetados, cada panel independiente representa un marcador concreto donde los puntos negros muestran el nivel de expresión de ese gen específico en cada paciente. </w:t>
      </w:r>
      <w:r w:rsidR="003A7518" w:rsidRPr="003A7518">
        <w:t>Con el fin de mantener la consistencia con l</w:t>
      </w:r>
      <w:r w:rsidR="00305E66">
        <w:t xml:space="preserve">as representaciones </w:t>
      </w:r>
      <w:r w:rsidR="003A7518" w:rsidRPr="003A7518">
        <w:t>previ</w:t>
      </w:r>
      <w:r w:rsidR="00305E66">
        <w:t>a</w:t>
      </w:r>
      <w:r w:rsidR="003A7518" w:rsidRPr="003A7518">
        <w:t>s</w:t>
      </w:r>
      <w:r w:rsidR="00B86249" w:rsidRPr="00B86249">
        <w:t>, se seleccionó la cohorte GSE104836 como modelo para ilustrar dicha distribución (</w:t>
      </w:r>
      <w:r w:rsidR="006A4CA7" w:rsidRPr="002A4866">
        <w:t xml:space="preserve">Figura </w:t>
      </w:r>
      <w:r w:rsidR="006A4CA7">
        <w:t>8</w:t>
      </w:r>
      <w:r w:rsidR="00B86249" w:rsidRPr="00B86249">
        <w:t>).</w:t>
      </w:r>
    </w:p>
    <w:p w14:paraId="060C1071" w14:textId="77777777" w:rsidR="00B86249" w:rsidRDefault="00B86249" w:rsidP="00B86249">
      <w:pPr>
        <w:keepNext/>
        <w:spacing w:after="0"/>
        <w:jc w:val="center"/>
      </w:pPr>
      <w:r>
        <w:rPr>
          <w:noProof/>
        </w:rPr>
        <w:drawing>
          <wp:inline distT="0" distB="0" distL="0" distR="0" wp14:anchorId="08DABE89" wp14:editId="49F2C06D">
            <wp:extent cx="5749015" cy="3645877"/>
            <wp:effectExtent l="0" t="0" r="4445" b="0"/>
            <wp:docPr id="97014465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t="3364" b="1515"/>
                    <a:stretch>
                      <a:fillRect/>
                    </a:stretch>
                  </pic:blipFill>
                  <pic:spPr bwMode="auto">
                    <a:xfrm>
                      <a:off x="0" y="0"/>
                      <a:ext cx="5749925" cy="3646454"/>
                    </a:xfrm>
                    <a:prstGeom prst="rect">
                      <a:avLst/>
                    </a:prstGeom>
                    <a:noFill/>
                    <a:ln>
                      <a:noFill/>
                    </a:ln>
                    <a:extLst>
                      <a:ext uri="{53640926-AAD7-44D8-BBD7-CCE9431645EC}">
                        <a14:shadowObscured xmlns:a14="http://schemas.microsoft.com/office/drawing/2010/main"/>
                      </a:ext>
                    </a:extLst>
                  </pic:spPr>
                </pic:pic>
              </a:graphicData>
            </a:graphic>
          </wp:inline>
        </w:drawing>
      </w:r>
    </w:p>
    <w:p w14:paraId="33A49D90" w14:textId="41B103B0" w:rsidR="00B86249" w:rsidRPr="00B86249" w:rsidRDefault="00B86249" w:rsidP="004D23EF">
      <w:pPr>
        <w:pStyle w:val="Figuras"/>
      </w:pPr>
      <w:bookmarkStart w:id="42" w:name="_Toc238816315"/>
      <w:r>
        <w:t xml:space="preserve">Figura </w:t>
      </w:r>
      <w:fldSimple w:instr=" SEQ Figura \* ARABIC ">
        <w:r w:rsidR="00EA43FE">
          <w:rPr>
            <w:noProof/>
          </w:rPr>
          <w:t>8</w:t>
        </w:r>
      </w:fldSimple>
      <w:r>
        <w:t xml:space="preserve">. </w:t>
      </w:r>
      <w:r w:rsidRPr="00CB4F70">
        <w:t>Niveles de expresión relativos de los 20 genes más significativos en tejido tumoral y sano para la cohorte modelo GSE104836.</w:t>
      </w:r>
      <w:bookmarkEnd w:id="42"/>
    </w:p>
    <w:p w14:paraId="7734E4ED" w14:textId="77777777" w:rsidR="0075177E" w:rsidRDefault="0075177E" w:rsidP="00785991">
      <w:r w:rsidRPr="0075177E">
        <w:t>En el gráfico se observa claramente que un grupo de genes se expresa mucho más en el tejido tumoral (</w:t>
      </w:r>
      <w:r w:rsidRPr="0075177E">
        <w:rPr>
          <w:i/>
          <w:iCs/>
        </w:rPr>
        <w:t>ACAN</w:t>
      </w:r>
      <w:r w:rsidRPr="0075177E">
        <w:t xml:space="preserve">, </w:t>
      </w:r>
      <w:r w:rsidRPr="0075177E">
        <w:rPr>
          <w:i/>
          <w:iCs/>
        </w:rPr>
        <w:t>CDH3</w:t>
      </w:r>
      <w:r w:rsidRPr="0075177E">
        <w:t xml:space="preserve">, </w:t>
      </w:r>
      <w:r w:rsidRPr="0075177E">
        <w:rPr>
          <w:i/>
          <w:iCs/>
        </w:rPr>
        <w:t>CEMIP</w:t>
      </w:r>
      <w:r w:rsidRPr="0075177E">
        <w:t xml:space="preserve">, </w:t>
      </w:r>
      <w:r w:rsidRPr="0075177E">
        <w:rPr>
          <w:i/>
          <w:iCs/>
        </w:rPr>
        <w:t>COL11A1</w:t>
      </w:r>
      <w:r w:rsidRPr="0075177E">
        <w:t xml:space="preserve">, </w:t>
      </w:r>
      <w:r w:rsidRPr="0075177E">
        <w:rPr>
          <w:i/>
          <w:iCs/>
        </w:rPr>
        <w:t>CRNDE</w:t>
      </w:r>
      <w:r w:rsidRPr="0075177E">
        <w:t xml:space="preserve">, </w:t>
      </w:r>
      <w:r w:rsidRPr="0075177E">
        <w:rPr>
          <w:i/>
          <w:iCs/>
        </w:rPr>
        <w:t>CST1</w:t>
      </w:r>
      <w:r w:rsidRPr="0075177E">
        <w:t xml:space="preserve">, </w:t>
      </w:r>
      <w:r w:rsidRPr="0075177E">
        <w:rPr>
          <w:i/>
          <w:iCs/>
        </w:rPr>
        <w:t>CTHRC1</w:t>
      </w:r>
      <w:r w:rsidRPr="0075177E">
        <w:t xml:space="preserve">, </w:t>
      </w:r>
      <w:r w:rsidRPr="0075177E">
        <w:rPr>
          <w:i/>
          <w:iCs/>
        </w:rPr>
        <w:t>EGFL6</w:t>
      </w:r>
      <w:r w:rsidRPr="0075177E">
        <w:t xml:space="preserve">, </w:t>
      </w:r>
      <w:r w:rsidRPr="0075177E">
        <w:rPr>
          <w:i/>
          <w:iCs/>
        </w:rPr>
        <w:t>ESM1</w:t>
      </w:r>
      <w:r w:rsidRPr="0075177E">
        <w:t xml:space="preserve">, </w:t>
      </w:r>
      <w:r w:rsidRPr="0075177E">
        <w:rPr>
          <w:i/>
          <w:iCs/>
        </w:rPr>
        <w:t>ETV4</w:t>
      </w:r>
      <w:r w:rsidRPr="0075177E">
        <w:t xml:space="preserve">, </w:t>
      </w:r>
      <w:r w:rsidRPr="0075177E">
        <w:rPr>
          <w:i/>
          <w:iCs/>
        </w:rPr>
        <w:t>INHBA</w:t>
      </w:r>
      <w:r w:rsidRPr="0075177E">
        <w:t xml:space="preserve">, </w:t>
      </w:r>
      <w:r w:rsidRPr="0075177E">
        <w:rPr>
          <w:i/>
          <w:iCs/>
        </w:rPr>
        <w:t>MMP3</w:t>
      </w:r>
      <w:r w:rsidRPr="0075177E">
        <w:t xml:space="preserve">, </w:t>
      </w:r>
      <w:r w:rsidRPr="0075177E">
        <w:rPr>
          <w:i/>
          <w:iCs/>
        </w:rPr>
        <w:t>MMP7</w:t>
      </w:r>
      <w:r w:rsidRPr="0075177E">
        <w:t xml:space="preserve">, </w:t>
      </w:r>
      <w:r w:rsidRPr="0075177E">
        <w:rPr>
          <w:i/>
          <w:iCs/>
        </w:rPr>
        <w:t>TRIB3</w:t>
      </w:r>
      <w:r w:rsidRPr="0075177E">
        <w:t xml:space="preserve"> y </w:t>
      </w:r>
      <w:r w:rsidRPr="0075177E">
        <w:rPr>
          <w:i/>
          <w:iCs/>
        </w:rPr>
        <w:t>WNT2</w:t>
      </w:r>
      <w:r w:rsidRPr="0075177E">
        <w:t>), mientras que el resto muestra el comportamiento contrario y cae de forma drástica (</w:t>
      </w:r>
      <w:r w:rsidRPr="0075177E">
        <w:rPr>
          <w:i/>
          <w:iCs/>
        </w:rPr>
        <w:t>BEST4</w:t>
      </w:r>
      <w:r w:rsidRPr="0075177E">
        <w:t xml:space="preserve">, </w:t>
      </w:r>
      <w:r w:rsidRPr="0075177E">
        <w:rPr>
          <w:i/>
          <w:iCs/>
        </w:rPr>
        <w:t>CA7</w:t>
      </w:r>
      <w:r w:rsidRPr="0075177E">
        <w:t xml:space="preserve">, </w:t>
      </w:r>
      <w:r w:rsidRPr="0075177E">
        <w:rPr>
          <w:i/>
          <w:iCs/>
        </w:rPr>
        <w:t>OTOP2</w:t>
      </w:r>
      <w:r w:rsidRPr="0075177E">
        <w:t xml:space="preserve">, </w:t>
      </w:r>
      <w:r w:rsidRPr="0075177E">
        <w:rPr>
          <w:i/>
          <w:iCs/>
        </w:rPr>
        <w:t>SFRP1</w:t>
      </w:r>
      <w:r w:rsidRPr="0075177E">
        <w:t xml:space="preserve"> y </w:t>
      </w:r>
      <w:r w:rsidRPr="0075177E">
        <w:rPr>
          <w:i/>
          <w:iCs/>
        </w:rPr>
        <w:t>SLC30A10</w:t>
      </w:r>
      <w:r w:rsidRPr="0075177E">
        <w:t>). Además, los puntos de los pacientes están muy concentrados dentro de sus respectivas cajas, lo que demuestra que los datos son homogéneos. Este resultado visual confirma que estos genes principales diferencian muy bien ambas condiciones clínicas.</w:t>
      </w:r>
    </w:p>
    <w:p w14:paraId="0811B1D9" w14:textId="094A50D1" w:rsidR="0075177E" w:rsidRPr="002C452F" w:rsidRDefault="0075177E" w:rsidP="0075177E">
      <w:r w:rsidRPr="0075177E">
        <w:lastRenderedPageBreak/>
        <w:t xml:space="preserve">Con el fin de integrar la significación estadística y la magnitud del cambio en una única representación, se generó un diagrama de volcán </w:t>
      </w:r>
      <w:r w:rsidR="002C452F">
        <w:t>por dataset</w:t>
      </w:r>
      <w:r w:rsidRPr="0075177E">
        <w:t>. Este gráfico muestra en el eje horizontal el cambio de expresión en escala logarítmica (</w:t>
      </w:r>
      <m:oMath>
        <m:r>
          <w:rPr>
            <w:rFonts w:ascii="Cambria Math" w:hAnsi="Cambria Math"/>
          </w:rPr>
          <m:t>LFC</m:t>
        </m:r>
      </m:oMath>
      <w:r w:rsidRPr="0075177E">
        <w:t xml:space="preserve">) y en el eje vertical la significación estadística corregida </w:t>
      </w:r>
      <w:r>
        <w:t>(</w:t>
      </w:r>
      <m:oMath>
        <m:r>
          <w:rPr>
            <w:rFonts w:ascii="Cambria Math" w:hAnsi="Cambria Math"/>
          </w:rPr>
          <m:t>-</m:t>
        </m:r>
        <m:sSub>
          <m:sSubPr>
            <m:ctrlPr>
              <w:rPr>
                <w:rFonts w:ascii="Cambria Math" w:hAnsi="Cambria Math"/>
                <w:i/>
              </w:rPr>
            </m:ctrlPr>
          </m:sSubPr>
          <m:e>
            <m:r>
              <w:rPr>
                <w:rFonts w:ascii="Cambria Math" w:hAnsi="Cambria Math"/>
              </w:rPr>
              <m:t>Log</m:t>
            </m:r>
          </m:e>
          <m:sub>
            <m:r>
              <w:rPr>
                <w:rFonts w:ascii="Cambria Math" w:hAnsi="Cambria Math"/>
              </w:rPr>
              <m:t>10</m:t>
            </m:r>
          </m:sub>
        </m:sSub>
        <m:r>
          <w:rPr>
            <w:rFonts w:ascii="Cambria Math" w:hAnsi="Cambria Math"/>
          </w:rPr>
          <m:t>(padj)</m:t>
        </m:r>
      </m:oMath>
      <w:r w:rsidRPr="0075177E">
        <w:t xml:space="preserve">). Las líneas discontinuas representan los límites definidos en los filtros: la línea horizontal marca el corte de p-valor ajustado </w:t>
      </w:r>
      <w:r w:rsidRPr="001D0B3F">
        <w:t>(</w:t>
      </w:r>
      <m:oMath>
        <m:r>
          <w:rPr>
            <w:rFonts w:ascii="Cambria Math" w:hAnsi="Cambria Math"/>
          </w:rPr>
          <m:t>padj&lt;0.05</m:t>
        </m:r>
      </m:oMath>
      <w:r w:rsidRPr="0075177E">
        <w:t xml:space="preserve">) y las dos líneas verticales delimitan el umbral de cambio </w:t>
      </w:r>
      <w:r w:rsidRPr="00B3758F">
        <w:t>(</w:t>
      </w:r>
      <m:oMath>
        <m:sSub>
          <m:sSubPr>
            <m:ctrlPr>
              <w:rPr>
                <w:rFonts w:ascii="Cambria Math" w:hAnsi="Cambria Math"/>
                <w:i/>
                <w:color w:val="000000" w:themeColor="text1"/>
              </w:rPr>
            </m:ctrlPr>
          </m:sSubPr>
          <m:e>
            <m:r>
              <w:rPr>
                <w:rFonts w:ascii="Cambria Math" w:hAnsi="Cambria Math"/>
                <w:color w:val="000000" w:themeColor="text1"/>
              </w:rPr>
              <m:t>|log</m:t>
            </m:r>
          </m:e>
          <m:sub>
            <m:r>
              <w:rPr>
                <w:rFonts w:ascii="Cambria Math" w:hAnsi="Cambria Math"/>
                <w:color w:val="000000" w:themeColor="text1"/>
              </w:rPr>
              <m:t>2</m:t>
            </m:r>
          </m:sub>
        </m:sSub>
        <m:r>
          <w:rPr>
            <w:rFonts w:ascii="Cambria Math" w:hAnsi="Cambria Math"/>
            <w:color w:val="000000" w:themeColor="text1"/>
          </w:rPr>
          <m:t>FC|&gt;0.585</m:t>
        </m:r>
      </m:oMath>
      <w:r w:rsidRPr="00B3758F">
        <w:t>)</w:t>
      </w:r>
      <w:r w:rsidRPr="0075177E">
        <w:t>.</w:t>
      </w:r>
    </w:p>
    <w:p w14:paraId="3B3B2EA9" w14:textId="2344F084" w:rsidR="005935A7" w:rsidRDefault="005935A7" w:rsidP="005935A7">
      <w:pPr>
        <w:spacing w:after="0"/>
      </w:pPr>
      <w:r w:rsidRPr="005935A7">
        <w:t>Los criterios de coloración y distribución de los puntos se aplican de manera uniforme en todas las cohortes del proyecto. Los puntos rojos ubicados en el cuadrante superior derecho representan</w:t>
      </w:r>
      <w:r>
        <w:t xml:space="preserve"> </w:t>
      </w:r>
      <w:r w:rsidRPr="005935A7">
        <w:t>los genes significativamente sobreexpresados en el tejido tumoral. Por el contrario, los puntos azules del cuadrante izquierdo indican los genes subexpresados</w:t>
      </w:r>
      <w:r>
        <w:t>. Finalmente,</w:t>
      </w:r>
      <w:r w:rsidRPr="005935A7">
        <w:t xml:space="preserve"> los</w:t>
      </w:r>
      <w:r>
        <w:t xml:space="preserve"> puntos</w:t>
      </w:r>
      <w:r w:rsidRPr="005935A7">
        <w:t xml:space="preserve"> grises muestran aquellos transcritos que el modelo descartó por no alcanzar los umbrales </w:t>
      </w:r>
      <w:r>
        <w:t>establecidos</w:t>
      </w:r>
      <w:r w:rsidRPr="005935A7">
        <w:t>.</w:t>
      </w:r>
    </w:p>
    <w:p w14:paraId="0EE86EF4" w14:textId="77777777" w:rsidR="005935A7" w:rsidRDefault="005935A7" w:rsidP="00CC5C48">
      <w:pPr>
        <w:keepNext/>
        <w:spacing w:before="0" w:after="0"/>
        <w:jc w:val="center"/>
      </w:pPr>
      <w:r>
        <w:rPr>
          <w:noProof/>
        </w:rPr>
        <w:drawing>
          <wp:inline distT="0" distB="0" distL="0" distR="0" wp14:anchorId="1781218D" wp14:editId="494E02A8">
            <wp:extent cx="5755792" cy="4003964"/>
            <wp:effectExtent l="0" t="0" r="0" b="0"/>
            <wp:docPr id="205787271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t="4494" b="2715"/>
                    <a:stretch>
                      <a:fillRect/>
                    </a:stretch>
                  </pic:blipFill>
                  <pic:spPr bwMode="auto">
                    <a:xfrm>
                      <a:off x="0" y="0"/>
                      <a:ext cx="5756275" cy="4004300"/>
                    </a:xfrm>
                    <a:prstGeom prst="rect">
                      <a:avLst/>
                    </a:prstGeom>
                    <a:noFill/>
                    <a:ln>
                      <a:noFill/>
                    </a:ln>
                    <a:extLst>
                      <a:ext uri="{53640926-AAD7-44D8-BBD7-CCE9431645EC}">
                        <a14:shadowObscured xmlns:a14="http://schemas.microsoft.com/office/drawing/2010/main"/>
                      </a:ext>
                    </a:extLst>
                  </pic:spPr>
                </pic:pic>
              </a:graphicData>
            </a:graphic>
          </wp:inline>
        </w:drawing>
      </w:r>
    </w:p>
    <w:p w14:paraId="3234C769" w14:textId="097EF4E0" w:rsidR="005935A7" w:rsidRPr="005935A7" w:rsidRDefault="005935A7" w:rsidP="004D23EF">
      <w:pPr>
        <w:pStyle w:val="Figuras"/>
      </w:pPr>
      <w:bookmarkStart w:id="43" w:name="_Toc238816316"/>
      <w:r>
        <w:t xml:space="preserve">Figura </w:t>
      </w:r>
      <w:fldSimple w:instr=" SEQ Figura \* ARABIC ">
        <w:r w:rsidR="00EA43FE">
          <w:rPr>
            <w:noProof/>
          </w:rPr>
          <w:t>9</w:t>
        </w:r>
      </w:fldSimple>
      <w:r>
        <w:t>. Diagrama de volcán</w:t>
      </w:r>
      <w:r w:rsidRPr="00646E7C">
        <w:t xml:space="preserve"> del perfil de expresión diferencial en la cohorte modelo GSE104836.</w:t>
      </w:r>
      <w:bookmarkEnd w:id="43"/>
    </w:p>
    <w:p w14:paraId="6879E973" w14:textId="1A11714E" w:rsidR="005935A7" w:rsidRPr="005935A7" w:rsidRDefault="005935A7" w:rsidP="005935A7">
      <w:r w:rsidRPr="005935A7">
        <w:t xml:space="preserve">La cohorte modelo GSE104836 sirve </w:t>
      </w:r>
      <w:r>
        <w:t xml:space="preserve">de nuevo </w:t>
      </w:r>
      <w:r w:rsidRPr="005935A7">
        <w:t>como ejemplo para ilustrar estos perfiles y analizar las alteraciones más drásticas del estudio (</w:t>
      </w:r>
      <w:r w:rsidR="006A4CA7" w:rsidRPr="002A4866">
        <w:t xml:space="preserve">Figura </w:t>
      </w:r>
      <w:r w:rsidR="006A4CA7">
        <w:t>9</w:t>
      </w:r>
      <w:r w:rsidRPr="005935A7">
        <w:t xml:space="preserve">). En la zona de máxima sobreexpresión de este conjunto de datos destacan marcadores con posiciones muy elevadas </w:t>
      </w:r>
      <w:r w:rsidRPr="005935A7">
        <w:lastRenderedPageBreak/>
        <w:t xml:space="preserve">como </w:t>
      </w:r>
      <w:r w:rsidRPr="005935A7">
        <w:rPr>
          <w:i/>
          <w:iCs/>
        </w:rPr>
        <w:t>INHBA</w:t>
      </w:r>
      <w:r w:rsidRPr="005935A7">
        <w:t xml:space="preserve">, </w:t>
      </w:r>
      <w:r w:rsidRPr="005935A7">
        <w:rPr>
          <w:i/>
          <w:iCs/>
        </w:rPr>
        <w:t>MMP7</w:t>
      </w:r>
      <w:r w:rsidRPr="005935A7">
        <w:t xml:space="preserve">, </w:t>
      </w:r>
      <w:r w:rsidRPr="005935A7">
        <w:rPr>
          <w:i/>
          <w:iCs/>
        </w:rPr>
        <w:t>CDH3</w:t>
      </w:r>
      <w:r w:rsidRPr="005935A7">
        <w:t xml:space="preserve">, </w:t>
      </w:r>
      <w:r w:rsidRPr="005935A7">
        <w:rPr>
          <w:i/>
          <w:iCs/>
        </w:rPr>
        <w:t>CST1</w:t>
      </w:r>
      <w:r w:rsidRPr="005935A7">
        <w:t xml:space="preserve">, </w:t>
      </w:r>
      <w:r w:rsidRPr="005935A7">
        <w:rPr>
          <w:i/>
          <w:iCs/>
        </w:rPr>
        <w:t>CEMIP</w:t>
      </w:r>
      <w:r w:rsidRPr="005935A7">
        <w:t xml:space="preserve"> y </w:t>
      </w:r>
      <w:r w:rsidRPr="005935A7">
        <w:rPr>
          <w:i/>
          <w:iCs/>
        </w:rPr>
        <w:t>WNT2</w:t>
      </w:r>
      <w:r w:rsidRPr="005935A7">
        <w:t xml:space="preserve">. En el extremo opuesto, el cuadrante azul señala a los genes con la caída más acusada en el tejido tumoral, liderados por </w:t>
      </w:r>
      <w:r w:rsidRPr="005935A7">
        <w:rPr>
          <w:i/>
          <w:iCs/>
        </w:rPr>
        <w:t>OTOP2</w:t>
      </w:r>
      <w:r w:rsidRPr="005935A7">
        <w:t xml:space="preserve">, </w:t>
      </w:r>
      <w:r w:rsidRPr="005935A7">
        <w:rPr>
          <w:i/>
          <w:iCs/>
        </w:rPr>
        <w:t>CA7</w:t>
      </w:r>
      <w:r w:rsidRPr="005935A7">
        <w:t xml:space="preserve">, </w:t>
      </w:r>
      <w:r w:rsidRPr="005935A7">
        <w:rPr>
          <w:i/>
          <w:iCs/>
        </w:rPr>
        <w:t>SFRP1</w:t>
      </w:r>
      <w:r w:rsidRPr="005935A7">
        <w:t xml:space="preserve">, </w:t>
      </w:r>
      <w:r w:rsidRPr="005935A7">
        <w:rPr>
          <w:i/>
          <w:iCs/>
        </w:rPr>
        <w:t>BEST4</w:t>
      </w:r>
      <w:r w:rsidRPr="005935A7">
        <w:t xml:space="preserve"> y </w:t>
      </w:r>
      <w:r w:rsidRPr="005935A7">
        <w:rPr>
          <w:i/>
          <w:iCs/>
        </w:rPr>
        <w:t>SLC30A10</w:t>
      </w:r>
      <w:r w:rsidRPr="005935A7">
        <w:t>.</w:t>
      </w:r>
    </w:p>
    <w:p w14:paraId="0CD2B4FD" w14:textId="477D1370" w:rsidR="00FE62D5" w:rsidRDefault="00FE62D5" w:rsidP="00FE62D5">
      <w:pPr>
        <w:spacing w:after="0"/>
      </w:pPr>
      <w:r w:rsidRPr="00FE62D5">
        <w:t>Por último, para examinar el perfil de expresión muestra a muestra se generó un mapa de calor con agrupamiento jerárquico para los 20 genes más significativos de cada cohorte. Este análisis permite visualizar de forma simultánea los niveles de transcripción relativos y evaluar si los perfiles génicos son capaces de clasificar las muestras de manera automática. Al igual que en los análisis gráficos previos, la serie GSE104836 se utilizó como modelo para ilustrar estos resultados (</w:t>
      </w:r>
      <w:r w:rsidR="004D4883" w:rsidRPr="002A4866">
        <w:t xml:space="preserve">Figura </w:t>
      </w:r>
      <w:r w:rsidR="004D4883">
        <w:t>10</w:t>
      </w:r>
      <w:r w:rsidRPr="00FE62D5">
        <w:t>).</w:t>
      </w:r>
    </w:p>
    <w:p w14:paraId="158B8458" w14:textId="77777777" w:rsidR="00FE62D5" w:rsidRDefault="00FE62D5" w:rsidP="00FE62D5">
      <w:pPr>
        <w:keepNext/>
        <w:spacing w:before="0"/>
        <w:jc w:val="center"/>
      </w:pPr>
      <w:r>
        <w:rPr>
          <w:noProof/>
        </w:rPr>
        <w:drawing>
          <wp:inline distT="0" distB="0" distL="0" distR="0" wp14:anchorId="31D70074" wp14:editId="241F3435">
            <wp:extent cx="5756275" cy="4169987"/>
            <wp:effectExtent l="0" t="0" r="0" b="2540"/>
            <wp:docPr id="170694872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t="3371"/>
                    <a:stretch>
                      <a:fillRect/>
                    </a:stretch>
                  </pic:blipFill>
                  <pic:spPr bwMode="auto">
                    <a:xfrm>
                      <a:off x="0" y="0"/>
                      <a:ext cx="5756275" cy="4169987"/>
                    </a:xfrm>
                    <a:prstGeom prst="rect">
                      <a:avLst/>
                    </a:prstGeom>
                    <a:noFill/>
                    <a:ln>
                      <a:noFill/>
                    </a:ln>
                    <a:extLst>
                      <a:ext uri="{53640926-AAD7-44D8-BBD7-CCE9431645EC}">
                        <a14:shadowObscured xmlns:a14="http://schemas.microsoft.com/office/drawing/2010/main"/>
                      </a:ext>
                    </a:extLst>
                  </pic:spPr>
                </pic:pic>
              </a:graphicData>
            </a:graphic>
          </wp:inline>
        </w:drawing>
      </w:r>
    </w:p>
    <w:p w14:paraId="7BE53D61" w14:textId="0161CBA9" w:rsidR="00FE62D5" w:rsidRPr="00FE62D5" w:rsidRDefault="00FE62D5" w:rsidP="004D23EF">
      <w:pPr>
        <w:pStyle w:val="Figuras"/>
      </w:pPr>
      <w:bookmarkStart w:id="44" w:name="_Toc238816317"/>
      <w:r>
        <w:t xml:space="preserve">Figura </w:t>
      </w:r>
      <w:fldSimple w:instr=" SEQ Figura \* ARABIC ">
        <w:r w:rsidR="00EA43FE">
          <w:rPr>
            <w:noProof/>
          </w:rPr>
          <w:t>10</w:t>
        </w:r>
      </w:fldSimple>
      <w:r>
        <w:t xml:space="preserve">. </w:t>
      </w:r>
      <w:r w:rsidRPr="00A91096">
        <w:t xml:space="preserve">Mapa de calor </w:t>
      </w:r>
      <w:r w:rsidR="00211566">
        <w:t>(</w:t>
      </w:r>
      <w:proofErr w:type="spellStart"/>
      <w:r w:rsidR="00211566">
        <w:t>heatmap</w:t>
      </w:r>
      <w:proofErr w:type="spellEnd"/>
      <w:r w:rsidR="00211566">
        <w:t xml:space="preserve">) </w:t>
      </w:r>
      <w:r w:rsidRPr="00A91096">
        <w:t>de los 20 genes más significativos en la cohorte modelo GSE104836.</w:t>
      </w:r>
      <w:bookmarkEnd w:id="44"/>
    </w:p>
    <w:p w14:paraId="0A75FE05" w14:textId="61C0E175" w:rsidR="00FE62D5" w:rsidRPr="00FE62D5" w:rsidRDefault="00FE62D5" w:rsidP="00FE62D5">
      <w:r w:rsidRPr="00FE62D5">
        <w:t xml:space="preserve">En la parte superior del gráfico se muestra el </w:t>
      </w:r>
      <w:proofErr w:type="spellStart"/>
      <w:r w:rsidRPr="00FE62D5">
        <w:t>dendrograma</w:t>
      </w:r>
      <w:proofErr w:type="spellEnd"/>
      <w:r w:rsidRPr="00FE62D5">
        <w:t xml:space="preserve"> de las muestras, el cual dividió de forma exacta el conjunto de datos en dos ramas principales. La barra de condición confirma que todas las muestras de tejido sano de colon se agruparon en el bloque de la izquierda, mientras que todos los perfiles de </w:t>
      </w:r>
      <w:r w:rsidR="0042512D">
        <w:t>CRC</w:t>
      </w:r>
      <w:r w:rsidRPr="00FE62D5">
        <w:t xml:space="preserve"> se concentraron en el de la derecha. Este agrupamiento perfecto demuestra que la señal molecular de estos 20 marcadores principales es suficiente </w:t>
      </w:r>
      <w:r w:rsidRPr="00FE62D5">
        <w:lastRenderedPageBreak/>
        <w:t xml:space="preserve">para discriminar el estado clínico de los pacientes sin necesidad de introducir información diagnóstica </w:t>
      </w:r>
      <w:r>
        <w:t>adicional</w:t>
      </w:r>
      <w:r w:rsidRPr="00FE62D5">
        <w:t>.</w:t>
      </w:r>
    </w:p>
    <w:p w14:paraId="6B9EAA74" w14:textId="6A479C46" w:rsidR="00FE62D5" w:rsidRPr="00FE62D5" w:rsidRDefault="00FE62D5" w:rsidP="00FE62D5">
      <w:r w:rsidRPr="00FE62D5">
        <w:t xml:space="preserve">En el eje vertical, el </w:t>
      </w:r>
      <w:proofErr w:type="spellStart"/>
      <w:r w:rsidRPr="00FE62D5">
        <w:t>dendrograma</w:t>
      </w:r>
      <w:proofErr w:type="spellEnd"/>
      <w:r w:rsidRPr="00FE62D5">
        <w:t xml:space="preserve"> correspondiente a los genes segmentó la matriz en bloques limpios de activación y represión. El bloque superior e inferior identifican los genes sobreexpresados en el tumor frente al tejido sano (como </w:t>
      </w:r>
      <w:r w:rsidRPr="00FE62D5">
        <w:rPr>
          <w:i/>
          <w:iCs/>
        </w:rPr>
        <w:t>CEMIP</w:t>
      </w:r>
      <w:r w:rsidRPr="00FE62D5">
        <w:t xml:space="preserve">, </w:t>
      </w:r>
      <w:r w:rsidRPr="00FE62D5">
        <w:rPr>
          <w:i/>
          <w:iCs/>
        </w:rPr>
        <w:t>MMP3</w:t>
      </w:r>
      <w:r w:rsidRPr="00FE62D5">
        <w:t xml:space="preserve">, </w:t>
      </w:r>
      <w:r w:rsidRPr="00FE62D5">
        <w:rPr>
          <w:i/>
          <w:iCs/>
        </w:rPr>
        <w:t>CTHRC1</w:t>
      </w:r>
      <w:r w:rsidRPr="00FE62D5">
        <w:t xml:space="preserve">, </w:t>
      </w:r>
      <w:r w:rsidRPr="00FE62D5">
        <w:rPr>
          <w:i/>
          <w:iCs/>
        </w:rPr>
        <w:t>INHBA</w:t>
      </w:r>
      <w:r w:rsidRPr="00FE62D5">
        <w:t xml:space="preserve">, </w:t>
      </w:r>
      <w:r w:rsidRPr="00FE62D5">
        <w:rPr>
          <w:i/>
          <w:iCs/>
        </w:rPr>
        <w:t>COL11A1</w:t>
      </w:r>
      <w:r w:rsidRPr="00FE62D5">
        <w:t xml:space="preserve">, </w:t>
      </w:r>
      <w:r w:rsidRPr="00FE62D5">
        <w:rPr>
          <w:i/>
          <w:iCs/>
        </w:rPr>
        <w:t>CDH3</w:t>
      </w:r>
      <w:r w:rsidRPr="00FE62D5">
        <w:t xml:space="preserve">, </w:t>
      </w:r>
      <w:r w:rsidRPr="00FE62D5">
        <w:rPr>
          <w:i/>
          <w:iCs/>
        </w:rPr>
        <w:t>TRIB3</w:t>
      </w:r>
      <w:r w:rsidRPr="00FE62D5">
        <w:t xml:space="preserve">, </w:t>
      </w:r>
      <w:r w:rsidRPr="00FE62D5">
        <w:rPr>
          <w:i/>
          <w:iCs/>
        </w:rPr>
        <w:t>ETV4</w:t>
      </w:r>
      <w:r w:rsidRPr="00FE62D5">
        <w:t xml:space="preserve">, </w:t>
      </w:r>
      <w:r w:rsidRPr="00FE62D5">
        <w:rPr>
          <w:i/>
          <w:iCs/>
        </w:rPr>
        <w:t>ACAN</w:t>
      </w:r>
      <w:r w:rsidRPr="00FE62D5">
        <w:t xml:space="preserve">, </w:t>
      </w:r>
      <w:r w:rsidRPr="00FE62D5">
        <w:rPr>
          <w:i/>
          <w:iCs/>
        </w:rPr>
        <w:t>MMP7</w:t>
      </w:r>
      <w:r w:rsidRPr="00FE62D5">
        <w:t xml:space="preserve">, </w:t>
      </w:r>
      <w:r w:rsidRPr="00FE62D5">
        <w:rPr>
          <w:i/>
          <w:iCs/>
        </w:rPr>
        <w:t>CST1</w:t>
      </w:r>
      <w:r w:rsidRPr="00FE62D5">
        <w:t xml:space="preserve">, </w:t>
      </w:r>
      <w:r w:rsidRPr="00FE62D5">
        <w:rPr>
          <w:i/>
          <w:iCs/>
        </w:rPr>
        <w:t>CRNDE</w:t>
      </w:r>
      <w:r w:rsidRPr="00FE62D5">
        <w:t xml:space="preserve">, </w:t>
      </w:r>
      <w:r w:rsidRPr="00FE62D5">
        <w:rPr>
          <w:i/>
          <w:iCs/>
        </w:rPr>
        <w:t>WNT2</w:t>
      </w:r>
      <w:r w:rsidRPr="00FE62D5">
        <w:t xml:space="preserve">, </w:t>
      </w:r>
      <w:r w:rsidRPr="00FE62D5">
        <w:rPr>
          <w:i/>
          <w:iCs/>
        </w:rPr>
        <w:t>ESM1</w:t>
      </w:r>
      <w:r w:rsidRPr="00FE62D5">
        <w:t xml:space="preserve"> y </w:t>
      </w:r>
      <w:r w:rsidRPr="00FE62D5">
        <w:rPr>
          <w:i/>
          <w:iCs/>
        </w:rPr>
        <w:t>EGFL6</w:t>
      </w:r>
      <w:r w:rsidRPr="00FE62D5">
        <w:t xml:space="preserve">). En cambio, la sección intermedia delimita el conjunto de marcadores que sufren una caída drástica en sus niveles de </w:t>
      </w:r>
      <w:r w:rsidR="00F95CF7">
        <w:t>expresión</w:t>
      </w:r>
      <w:r w:rsidRPr="00FE62D5">
        <w:t xml:space="preserve"> en la condición de cáncer (como </w:t>
      </w:r>
      <w:r w:rsidRPr="00FE62D5">
        <w:rPr>
          <w:i/>
          <w:iCs/>
        </w:rPr>
        <w:t>SFRP1</w:t>
      </w:r>
      <w:r w:rsidRPr="00FE62D5">
        <w:t xml:space="preserve">, </w:t>
      </w:r>
      <w:r w:rsidRPr="00FE62D5">
        <w:rPr>
          <w:i/>
          <w:iCs/>
        </w:rPr>
        <w:t>CA7</w:t>
      </w:r>
      <w:r w:rsidRPr="00FE62D5">
        <w:t xml:space="preserve">, </w:t>
      </w:r>
      <w:r w:rsidRPr="00FE62D5">
        <w:rPr>
          <w:i/>
          <w:iCs/>
        </w:rPr>
        <w:t>BEST4</w:t>
      </w:r>
      <w:r w:rsidRPr="00FE62D5">
        <w:t xml:space="preserve">, </w:t>
      </w:r>
      <w:r w:rsidRPr="00FE62D5">
        <w:rPr>
          <w:i/>
          <w:iCs/>
        </w:rPr>
        <w:t>OTOP2</w:t>
      </w:r>
      <w:r w:rsidRPr="00FE62D5">
        <w:t xml:space="preserve"> y </w:t>
      </w:r>
      <w:r w:rsidRPr="00FE62D5">
        <w:rPr>
          <w:i/>
          <w:iCs/>
        </w:rPr>
        <w:t>SLC30A10</w:t>
      </w:r>
      <w:r w:rsidRPr="00FE62D5">
        <w:t>).</w:t>
      </w:r>
    </w:p>
    <w:p w14:paraId="38244B59" w14:textId="3CE27F6C" w:rsidR="005F6136" w:rsidRPr="00DE3541" w:rsidRDefault="00DE3541" w:rsidP="00DE3541">
      <w:r w:rsidRPr="00DE3541">
        <w:t xml:space="preserve">Con esto terminan los análisis de cada conjunto de datos por separado, los cuales demuestran que las muestras se clasifican correctamente según su condición. Sin embargo, las listas de genes obtenidas varían ligeramente entre un estudio y otro. Por lo tanto, el siguiente paso </w:t>
      </w:r>
      <w:r>
        <w:t>fue</w:t>
      </w:r>
      <w:r w:rsidRPr="00DE3541">
        <w:t xml:space="preserve"> cruzar todos estos resultados independientes para encontrar los genes comunes que definen la enfermedad a nivel global</w:t>
      </w:r>
      <w:r>
        <w:t>.</w:t>
      </w:r>
    </w:p>
    <w:p w14:paraId="37CEF7A5" w14:textId="452F06CA" w:rsidR="00F3241D" w:rsidRPr="00DA0FCE" w:rsidRDefault="009F071D" w:rsidP="00F3241D">
      <w:pPr>
        <w:pStyle w:val="Ttulo2"/>
      </w:pPr>
      <w:bookmarkStart w:id="45" w:name="_Toc239417050"/>
      <w:r>
        <w:rPr>
          <w:caps w:val="0"/>
        </w:rPr>
        <w:t>Determinación de la Firma Génica Consenso</w:t>
      </w:r>
      <w:bookmarkEnd w:id="45"/>
    </w:p>
    <w:p w14:paraId="598DD77E" w14:textId="5057CDBF" w:rsidR="00A9179E" w:rsidRPr="00A9179E" w:rsidRDefault="00A9179E" w:rsidP="00A9179E">
      <w:r>
        <w:t xml:space="preserve">Como resultado de la integración cruzada expuesta en la metodología, se logró identificar un </w:t>
      </w:r>
      <w:r w:rsidR="00E70E18">
        <w:t>conjunto molecular común</w:t>
      </w:r>
      <w:r>
        <w:t xml:space="preserve"> de 325 genes consenso que muestran una alteración estadísticamente significativa en las seis cohortes evaluadas. Al desglosar esta firma global, se observó que 155 transcritos se encuentran sobreexpresados, mientras que los 170 restantes están subexpresados en el tejido tumoral frente al sano. Debido a la extensión de este conjunto molecular, las listas de los genes consenso se han recopilado en las </w:t>
      </w:r>
      <w:r w:rsidRPr="0076503B">
        <w:t xml:space="preserve">Tablas </w:t>
      </w:r>
      <w:r w:rsidR="0076503B" w:rsidRPr="0076503B">
        <w:t>A1 y A2</w:t>
      </w:r>
      <w:r>
        <w:t xml:space="preserve"> del </w:t>
      </w:r>
      <w:r w:rsidRPr="0076503B">
        <w:t xml:space="preserve">Anexo </w:t>
      </w:r>
      <w:r w:rsidR="0076503B" w:rsidRPr="0076503B">
        <w:t>A</w:t>
      </w:r>
      <w:r>
        <w:t>.</w:t>
      </w:r>
    </w:p>
    <w:p w14:paraId="060B5A12" w14:textId="6469C8DB" w:rsidR="00797FD0" w:rsidRDefault="00E166D6" w:rsidP="004D23EF">
      <w:r w:rsidRPr="00E166D6">
        <w:t xml:space="preserve">Para analizar </w:t>
      </w:r>
      <w:r>
        <w:t>esta intersección</w:t>
      </w:r>
      <w:r w:rsidRPr="00E166D6">
        <w:t xml:space="preserve"> se generaron tanto diagramas de </w:t>
      </w:r>
      <w:proofErr w:type="spellStart"/>
      <w:r w:rsidRPr="00E166D6">
        <w:t>Venn</w:t>
      </w:r>
      <w:proofErr w:type="spellEnd"/>
      <w:r w:rsidRPr="00E166D6">
        <w:t xml:space="preserve"> como de tipo </w:t>
      </w:r>
      <w:proofErr w:type="spellStart"/>
      <w:r w:rsidRPr="00E166D6">
        <w:t>UpSet</w:t>
      </w:r>
      <w:proofErr w:type="spellEnd"/>
      <w:r w:rsidRPr="00E166D6">
        <w:t xml:space="preserve">. Los diagramas de </w:t>
      </w:r>
      <w:proofErr w:type="spellStart"/>
      <w:r w:rsidRPr="00E166D6">
        <w:t>Venn</w:t>
      </w:r>
      <w:proofErr w:type="spellEnd"/>
      <w:r w:rsidRPr="00E166D6">
        <w:t xml:space="preserve"> se desplazaron al </w:t>
      </w:r>
      <w:r w:rsidRPr="0076503B">
        <w:t xml:space="preserve">Anexo </w:t>
      </w:r>
      <w:r w:rsidR="0076503B">
        <w:t>A (Figuras A</w:t>
      </w:r>
      <w:r w:rsidR="00E932B5">
        <w:t>1</w:t>
      </w:r>
      <w:r w:rsidR="0076503B">
        <w:t xml:space="preserve"> y </w:t>
      </w:r>
      <w:r w:rsidR="00E932B5">
        <w:t>A2</w:t>
      </w:r>
      <w:r w:rsidR="0076503B">
        <w:t>)</w:t>
      </w:r>
      <w:r w:rsidRPr="00E166D6">
        <w:t xml:space="preserve">, optando por explicar aquí los gráficos </w:t>
      </w:r>
      <w:proofErr w:type="spellStart"/>
      <w:r w:rsidRPr="00E166D6">
        <w:t>UpSet</w:t>
      </w:r>
      <w:proofErr w:type="spellEnd"/>
      <w:r w:rsidRPr="00E166D6">
        <w:t xml:space="preserve"> debido a que muestran la misma información pero de una manera mucho más detallada. </w:t>
      </w:r>
      <w:r w:rsidR="00797FD0" w:rsidRPr="00797FD0">
        <w:t>En la gráfica de los genes sobreexpresados se observa el núcleo de 155 genes comunes que forman la firma de activación consenso (</w:t>
      </w:r>
      <w:r w:rsidR="004D4883" w:rsidRPr="002A4866">
        <w:t>Figura</w:t>
      </w:r>
      <w:r w:rsidR="004D4883">
        <w:t xml:space="preserve"> 11</w:t>
      </w:r>
      <w:r w:rsidR="00797FD0" w:rsidRPr="00797FD0">
        <w:t xml:space="preserve">). Además, este análisis refleja la variabilidad entre estudios, donde destaca la cohorte TCGA-COAD por registrar 1856 genes alterados exclusivamente en su propio conjunto de datos, seguida por la serie GSE156451 con 818 </w:t>
      </w:r>
      <w:r w:rsidR="004D23EF">
        <w:t xml:space="preserve">y la serie </w:t>
      </w:r>
      <w:r w:rsidR="004D23EF" w:rsidRPr="00797FD0">
        <w:t>GSE</w:t>
      </w:r>
      <w:r w:rsidR="004D23EF">
        <w:t>142279 con 170.</w:t>
      </w:r>
    </w:p>
    <w:p w14:paraId="10E4535A" w14:textId="77777777" w:rsidR="004D23EF" w:rsidRDefault="004D23EF" w:rsidP="004D23EF"/>
    <w:p w14:paraId="031F4180" w14:textId="77777777" w:rsidR="00797FD0" w:rsidRDefault="00797FD0" w:rsidP="004D23EF">
      <w:pPr>
        <w:keepNext/>
        <w:spacing w:before="0" w:after="0"/>
      </w:pPr>
      <w:r>
        <w:rPr>
          <w:noProof/>
        </w:rPr>
        <w:lastRenderedPageBreak/>
        <w:drawing>
          <wp:inline distT="0" distB="0" distL="0" distR="0" wp14:anchorId="1849C13E" wp14:editId="0192C640">
            <wp:extent cx="5749925" cy="3741758"/>
            <wp:effectExtent l="0" t="0" r="3175" b="0"/>
            <wp:docPr id="18989810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t="7029"/>
                    <a:stretch>
                      <a:fillRect/>
                    </a:stretch>
                  </pic:blipFill>
                  <pic:spPr bwMode="auto">
                    <a:xfrm>
                      <a:off x="0" y="0"/>
                      <a:ext cx="5749925" cy="3741758"/>
                    </a:xfrm>
                    <a:prstGeom prst="rect">
                      <a:avLst/>
                    </a:prstGeom>
                    <a:noFill/>
                    <a:ln>
                      <a:noFill/>
                    </a:ln>
                    <a:extLst>
                      <a:ext uri="{53640926-AAD7-44D8-BBD7-CCE9431645EC}">
                        <a14:shadowObscured xmlns:a14="http://schemas.microsoft.com/office/drawing/2010/main"/>
                      </a:ext>
                    </a:extLst>
                  </pic:spPr>
                </pic:pic>
              </a:graphicData>
            </a:graphic>
          </wp:inline>
        </w:drawing>
      </w:r>
    </w:p>
    <w:p w14:paraId="7D05DB90" w14:textId="3412883D" w:rsidR="00797FD0" w:rsidRDefault="00797FD0" w:rsidP="004D23EF">
      <w:pPr>
        <w:pStyle w:val="Figuras"/>
      </w:pPr>
      <w:bookmarkStart w:id="46" w:name="_Toc238816318"/>
      <w:r>
        <w:t xml:space="preserve">Figura </w:t>
      </w:r>
      <w:fldSimple w:instr=" SEQ Figura \* ARABIC ">
        <w:r w:rsidR="00EA43FE">
          <w:rPr>
            <w:noProof/>
          </w:rPr>
          <w:t>11</w:t>
        </w:r>
      </w:fldSimple>
      <w:r>
        <w:t xml:space="preserve">. </w:t>
      </w:r>
      <w:r w:rsidRPr="000A6F34">
        <w:t xml:space="preserve">Diagrama de intersección </w:t>
      </w:r>
      <w:proofErr w:type="spellStart"/>
      <w:r w:rsidRPr="000A6F34">
        <w:t>UpSet</w:t>
      </w:r>
      <w:proofErr w:type="spellEnd"/>
      <w:r w:rsidRPr="000A6F34">
        <w:t xml:space="preserve"> de los genes significativamente sobreexpresados (UP) en las seis cohortes del estudio.</w:t>
      </w:r>
      <w:bookmarkEnd w:id="46"/>
    </w:p>
    <w:p w14:paraId="43F7FEA1" w14:textId="77777777" w:rsidR="00E65BBA" w:rsidRPr="00751ECC" w:rsidRDefault="00E65BBA" w:rsidP="004D23EF">
      <w:pPr>
        <w:pStyle w:val="Figuras"/>
        <w:rPr>
          <w:sz w:val="14"/>
          <w:szCs w:val="14"/>
        </w:rPr>
      </w:pPr>
    </w:p>
    <w:p w14:paraId="3AEAF807" w14:textId="77777777" w:rsidR="00E65BBA" w:rsidRDefault="004D23EF" w:rsidP="00E65BBA">
      <w:pPr>
        <w:keepNext/>
        <w:spacing w:after="0" w:line="240" w:lineRule="auto"/>
        <w:jc w:val="left"/>
      </w:pPr>
      <w:r>
        <w:rPr>
          <w:noProof/>
        </w:rPr>
        <w:drawing>
          <wp:inline distT="0" distB="0" distL="0" distR="0" wp14:anchorId="4006F5EF" wp14:editId="79076AB5">
            <wp:extent cx="5749925" cy="3733684"/>
            <wp:effectExtent l="0" t="0" r="3175" b="635"/>
            <wp:docPr id="265079171"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t="7229"/>
                    <a:stretch>
                      <a:fillRect/>
                    </a:stretch>
                  </pic:blipFill>
                  <pic:spPr bwMode="auto">
                    <a:xfrm>
                      <a:off x="0" y="0"/>
                      <a:ext cx="5749925" cy="3733684"/>
                    </a:xfrm>
                    <a:prstGeom prst="rect">
                      <a:avLst/>
                    </a:prstGeom>
                    <a:noFill/>
                    <a:ln>
                      <a:noFill/>
                    </a:ln>
                    <a:extLst>
                      <a:ext uri="{53640926-AAD7-44D8-BBD7-CCE9431645EC}">
                        <a14:shadowObscured xmlns:a14="http://schemas.microsoft.com/office/drawing/2010/main"/>
                      </a:ext>
                    </a:extLst>
                  </pic:spPr>
                </pic:pic>
              </a:graphicData>
            </a:graphic>
          </wp:inline>
        </w:drawing>
      </w:r>
    </w:p>
    <w:p w14:paraId="6339FA69" w14:textId="7AF2D384" w:rsidR="00E65BBA" w:rsidRDefault="00E65BBA" w:rsidP="00E65BBA">
      <w:pPr>
        <w:pStyle w:val="Figuras"/>
      </w:pPr>
      <w:bookmarkStart w:id="47" w:name="_Toc238816319"/>
      <w:r>
        <w:t xml:space="preserve">Figura </w:t>
      </w:r>
      <w:fldSimple w:instr=" SEQ Figura \* ARABIC ">
        <w:r w:rsidR="00EA43FE">
          <w:rPr>
            <w:noProof/>
          </w:rPr>
          <w:t>12</w:t>
        </w:r>
      </w:fldSimple>
      <w:r>
        <w:t xml:space="preserve">. </w:t>
      </w:r>
      <w:r w:rsidRPr="00D11FC1">
        <w:t xml:space="preserve">Diagrama de intersección </w:t>
      </w:r>
      <w:proofErr w:type="spellStart"/>
      <w:r w:rsidRPr="00D11FC1">
        <w:t>UpSet</w:t>
      </w:r>
      <w:proofErr w:type="spellEnd"/>
      <w:r w:rsidRPr="00D11FC1">
        <w:t xml:space="preserve"> de los genes significativamente subexpresados (DOWN) en las seis cohortes del estudio.</w:t>
      </w:r>
      <w:bookmarkEnd w:id="47"/>
    </w:p>
    <w:p w14:paraId="0D94AF62" w14:textId="33DAFAE8" w:rsidR="00F3241D" w:rsidRPr="00101A07" w:rsidRDefault="00E65BBA" w:rsidP="00F3241D">
      <w:r w:rsidRPr="00E65BBA">
        <w:lastRenderedPageBreak/>
        <w:t>Por su parte, en la gráfica de los genes subexpresados se identifica el núcleo de 170 genes comunes que constituyen la firma de represión consenso (</w:t>
      </w:r>
      <w:r w:rsidRPr="00C41982">
        <w:t xml:space="preserve">Figura </w:t>
      </w:r>
      <w:r w:rsidR="00C41982">
        <w:t>12</w:t>
      </w:r>
      <w:r w:rsidRPr="00E65BBA">
        <w:t xml:space="preserve">). De igual forma, este segundo gráfico permite observar cómo varía la cantidad de genes identificados en cada </w:t>
      </w:r>
      <w:r>
        <w:t>cohorte</w:t>
      </w:r>
      <w:r w:rsidRPr="00E65BBA">
        <w:t xml:space="preserve">. En este caso, destaca la serie GSE156451 por registrar 972 genes alterados exclusivamente en su propio conjunto de datos, seguida por la cohorte TCGA-COAD con 777 genes </w:t>
      </w:r>
      <w:r>
        <w:t xml:space="preserve">únicos </w:t>
      </w:r>
      <w:r w:rsidRPr="00E65BBA">
        <w:t>detectados</w:t>
      </w:r>
      <w:r>
        <w:t>.</w:t>
      </w:r>
    </w:p>
    <w:p w14:paraId="1C190644" w14:textId="2AD6A46F" w:rsidR="00F3241D" w:rsidRDefault="009F071D" w:rsidP="00F3241D">
      <w:pPr>
        <w:pStyle w:val="Ttulo2"/>
        <w:rPr>
          <w:caps w:val="0"/>
        </w:rPr>
      </w:pPr>
      <w:bookmarkStart w:id="48" w:name="_Toc239417051"/>
      <w:r>
        <w:rPr>
          <w:caps w:val="0"/>
        </w:rPr>
        <w:t>Caracterización Funcional y Análisis de Rutas de la Firma</w:t>
      </w:r>
      <w:bookmarkEnd w:id="48"/>
    </w:p>
    <w:p w14:paraId="5C8E989A" w14:textId="13F4AA1B" w:rsidR="00C46D29" w:rsidRPr="00C46D29" w:rsidRDefault="00E70E18" w:rsidP="00C46D29">
      <w:r w:rsidRPr="00E70E18">
        <w:t>Una vez delimitado el conjunto central de marcadores de la firma consenso de 325 genes, se evaluó el impacto biológico y las implicaciones moleculares de los elementos seleccionados</w:t>
      </w:r>
      <w:r w:rsidR="00C46D29">
        <w:t xml:space="preserve">. Para ello, se ejecutó un análisis de enriquecimiento funcional </w:t>
      </w:r>
      <w:r w:rsidR="00C46D29" w:rsidRPr="00C46D29">
        <w:t xml:space="preserve">mediante las bases de datos GO y KEGG, con el fin de identificar los procesos celulares y las rutas metabólicas significativamente alteradas en el </w:t>
      </w:r>
      <w:r w:rsidR="00F9626A">
        <w:t>CRC</w:t>
      </w:r>
      <w:r w:rsidR="00C46D29">
        <w:t xml:space="preserve">. </w:t>
      </w:r>
      <w:r w:rsidR="00CD19F4" w:rsidRPr="00CD19F4">
        <w:t xml:space="preserve">Con el propósito de estructurar la presentación de los resultados de manera clara según la dirección del cambio, este análisis se desglosa en dos bloques. El primero aborda los gráficos </w:t>
      </w:r>
      <w:proofErr w:type="spellStart"/>
      <w:r w:rsidR="00CD19F4" w:rsidRPr="00CD19F4">
        <w:rPr>
          <w:i/>
          <w:iCs/>
        </w:rPr>
        <w:t>dotplot</w:t>
      </w:r>
      <w:proofErr w:type="spellEnd"/>
      <w:r w:rsidR="00CD19F4" w:rsidRPr="00CD19F4">
        <w:t xml:space="preserve"> de GO y KEGG junto a la red </w:t>
      </w:r>
      <w:proofErr w:type="spellStart"/>
      <w:r w:rsidR="00CD19F4" w:rsidRPr="00CD19F4">
        <w:rPr>
          <w:i/>
          <w:iCs/>
        </w:rPr>
        <w:t>cnetplot</w:t>
      </w:r>
      <w:proofErr w:type="spellEnd"/>
      <w:r w:rsidR="00CD19F4" w:rsidRPr="00CD19F4">
        <w:t xml:space="preserve"> de GO para los genes sobreexpresados. Por su parte, el segundo bloque analiza los </w:t>
      </w:r>
      <w:proofErr w:type="spellStart"/>
      <w:r w:rsidR="00CD19F4" w:rsidRPr="00CD19F4">
        <w:rPr>
          <w:i/>
          <w:iCs/>
        </w:rPr>
        <w:t>dotplots</w:t>
      </w:r>
      <w:proofErr w:type="spellEnd"/>
      <w:r w:rsidR="00CD19F4" w:rsidRPr="00CD19F4">
        <w:t xml:space="preserve"> y la red </w:t>
      </w:r>
      <w:proofErr w:type="spellStart"/>
      <w:r w:rsidR="00CD19F4" w:rsidRPr="00CD19F4">
        <w:rPr>
          <w:i/>
          <w:iCs/>
        </w:rPr>
        <w:t>cnetplot</w:t>
      </w:r>
      <w:proofErr w:type="spellEnd"/>
      <w:r w:rsidR="00CD19F4" w:rsidRPr="00CD19F4">
        <w:t xml:space="preserve"> de KEGG para los elementos subexpresados. </w:t>
      </w:r>
      <w:r w:rsidR="00CD3CA3" w:rsidRPr="00CD3CA3">
        <w:t>Por motivos de limpieza visual y para evitar la saturación del texto, los mapas de enriquecimiento (</w:t>
      </w:r>
      <w:proofErr w:type="spellStart"/>
      <w:r w:rsidR="00CD3CA3" w:rsidRPr="00CD3CA3">
        <w:rPr>
          <w:i/>
          <w:iCs/>
        </w:rPr>
        <w:t>emapplots</w:t>
      </w:r>
      <w:proofErr w:type="spellEnd"/>
      <w:r w:rsidR="00CD3CA3" w:rsidRPr="00CD3CA3">
        <w:t>)</w:t>
      </w:r>
      <w:r w:rsidR="0009575F">
        <w:t xml:space="preserve"> de GO</w:t>
      </w:r>
      <w:r w:rsidR="00CD3CA3" w:rsidRPr="00CD3CA3">
        <w:t xml:space="preserve"> y las redes secundarias se trasladaron al Anexo B. Del mismo modo, las cuatro tablas completas de enriquecimiento se han alojado en el repositorio público de </w:t>
      </w:r>
      <w:hyperlink r:id="rId31" w:history="1">
        <w:r w:rsidR="00F9626A" w:rsidRPr="00C97641">
          <w:rPr>
            <w:rStyle w:val="Hipervnculo"/>
          </w:rPr>
          <w:t>GitHub</w:t>
        </w:r>
      </w:hyperlink>
      <w:r w:rsidR="00CD3CA3" w:rsidRPr="00CD3CA3">
        <w:t xml:space="preserve"> de este proyecto, asegurando la transparencia y el acceso abierto a los hallazgos de este análisis</w:t>
      </w:r>
      <w:r w:rsidR="00CD19F4" w:rsidRPr="00CD19F4">
        <w:t>.</w:t>
      </w:r>
    </w:p>
    <w:p w14:paraId="7BDA96AE" w14:textId="3E13E18B" w:rsidR="003214F9" w:rsidRDefault="003214F9" w:rsidP="003214F9">
      <w:pPr>
        <w:pStyle w:val="Ttulo3"/>
      </w:pPr>
      <w:bookmarkStart w:id="49" w:name="_Toc239417052"/>
      <w:r w:rsidRPr="003214F9">
        <w:t xml:space="preserve">Análisis de </w:t>
      </w:r>
      <w:r w:rsidR="00381CA1">
        <w:t>a</w:t>
      </w:r>
      <w:r w:rsidRPr="003214F9">
        <w:t xml:space="preserve">ctivación </w:t>
      </w:r>
      <w:r w:rsidR="00381CA1">
        <w:t>f</w:t>
      </w:r>
      <w:r w:rsidRPr="003214F9">
        <w:t>uncional (</w:t>
      </w:r>
      <w:r w:rsidR="00381CA1">
        <w:t>g</w:t>
      </w:r>
      <w:r w:rsidRPr="003214F9">
        <w:t xml:space="preserve">enes </w:t>
      </w:r>
      <w:r w:rsidR="00381CA1">
        <w:t>s</w:t>
      </w:r>
      <w:r w:rsidRPr="003214F9">
        <w:t>obreexpresados)</w:t>
      </w:r>
      <w:bookmarkEnd w:id="49"/>
    </w:p>
    <w:p w14:paraId="19F97683" w14:textId="541E4E00" w:rsidR="00AE5CEB" w:rsidRPr="00AE5CEB" w:rsidRDefault="00AE5CEB" w:rsidP="00AE5CEB">
      <w:r w:rsidRPr="00AE5CEB">
        <w:t xml:space="preserve">El análisis de activación funcional se centra en determinar qué procesos biológicos y rutas moleculares están operando de forma incrementada debido a los 155 genes sobreexpresados en el tejido tumoral. Dado que estos transcritos muestran una presencia significativamente mayor frente al tejido sano, su evaluación permite identificar los mecanismos celulares que el tumor promueve para favorecer su propio desarrollo y supervivencia. </w:t>
      </w:r>
      <w:r>
        <w:t>Así</w:t>
      </w:r>
      <w:r w:rsidRPr="00AE5CEB">
        <w:t>, el estudio de este perfil de sobreexpresión ayuda a caracterizar las alteraciones moleculares clave que guían la progresión de la patología.</w:t>
      </w:r>
    </w:p>
    <w:p w14:paraId="52343F81" w14:textId="5A1E78F0" w:rsidR="00DE74B4" w:rsidRDefault="00370A6D" w:rsidP="00DE74B4">
      <w:r w:rsidRPr="00370A6D">
        <w:t>En primer lugar, se evaluaron los resultados obtenidos en el análisis de GO, comenzando por la categoría de</w:t>
      </w:r>
      <w:r>
        <w:t xml:space="preserve"> </w:t>
      </w:r>
      <w:r w:rsidRPr="00370A6D">
        <w:t>BP (</w:t>
      </w:r>
      <w:r w:rsidRPr="00F9626A">
        <w:t xml:space="preserve">Figura </w:t>
      </w:r>
      <w:r w:rsidR="00F9626A">
        <w:t>13</w:t>
      </w:r>
      <w:r w:rsidRPr="00370A6D">
        <w:t xml:space="preserve">). Dentro de este grupo, los términos que acumulan una mayor </w:t>
      </w:r>
      <w:r w:rsidRPr="00370A6D">
        <w:lastRenderedPageBreak/>
        <w:t xml:space="preserve">significación estadística y los valores más altos de </w:t>
      </w:r>
      <w:r w:rsidRPr="00370A6D">
        <w:rPr>
          <w:i/>
          <w:iCs/>
        </w:rPr>
        <w:t>Gene Ratio</w:t>
      </w:r>
      <w:r w:rsidRPr="00370A6D">
        <w:t xml:space="preserve"> corresponden a la organización de la matriz extracelular, la organización de estructuras extracelulares y el desarrollo de estructuras externas encapsulantes. Asimismo, se detectó un enriquecimiento estadísticamente significativo en los procesos relacionados con la respuesta a los niveles de oxígeno y la respuesta a la hipoxia.</w:t>
      </w:r>
    </w:p>
    <w:p w14:paraId="07508DE1" w14:textId="77777777" w:rsidR="00DE74B4" w:rsidRPr="00214FD5" w:rsidRDefault="00DE74B4" w:rsidP="00DE74B4">
      <w:r w:rsidRPr="00214FD5">
        <w:t>Por su parte, los perfiles obtenidos en las categorías de CC y MF complementan esta descripción. Dentro de CC, la localización de los productos génicos se concentra prioritariamente en la matriz extracelular y en la región basal de la célula. Con respecto a MF, se observa una clara presencia de actividades enzimáticas de tipo endopeptidasa y metalopeptidasa, acompañadas por factores estructurales de la matriz.</w:t>
      </w:r>
    </w:p>
    <w:p w14:paraId="2685BBDC" w14:textId="52DBBFF7" w:rsidR="00B304CB" w:rsidRPr="00B304CB" w:rsidRDefault="00B304CB" w:rsidP="00B304CB">
      <w:r w:rsidRPr="00B304CB">
        <w:t>Posteriormente, se evaluaron los resultados correspondientes a las rutas metabólicas y de señalización de la base de datos KEGG (</w:t>
      </w:r>
      <w:r w:rsidR="00F9626A" w:rsidRPr="00F9626A">
        <w:t xml:space="preserve">Figura </w:t>
      </w:r>
      <w:r w:rsidR="00F9626A">
        <w:t>14</w:t>
      </w:r>
      <w:r w:rsidRPr="00B304CB">
        <w:t xml:space="preserve">). El enriquecimiento funcional de este conjunto de genes sobreexpresados arrojó un perfil restringido a únicamente dos rutas biológicas significativas. Estas categorías corresponden a la formación de la envoltura </w:t>
      </w:r>
      <w:proofErr w:type="spellStart"/>
      <w:r w:rsidRPr="00B304CB">
        <w:t>cornificada</w:t>
      </w:r>
      <w:proofErr w:type="spellEnd"/>
      <w:r w:rsidRPr="00B304CB">
        <w:t xml:space="preserve"> (</w:t>
      </w:r>
      <w:proofErr w:type="spellStart"/>
      <w:r w:rsidR="00236588">
        <w:rPr>
          <w:i/>
          <w:iCs/>
        </w:rPr>
        <w:t>c</w:t>
      </w:r>
      <w:r w:rsidRPr="00B304CB">
        <w:rPr>
          <w:i/>
          <w:iCs/>
        </w:rPr>
        <w:t>ornified</w:t>
      </w:r>
      <w:proofErr w:type="spellEnd"/>
      <w:r w:rsidRPr="00B304CB">
        <w:rPr>
          <w:i/>
          <w:iCs/>
        </w:rPr>
        <w:t xml:space="preserve"> </w:t>
      </w:r>
      <w:proofErr w:type="spellStart"/>
      <w:r w:rsidRPr="00B304CB">
        <w:rPr>
          <w:i/>
          <w:iCs/>
        </w:rPr>
        <w:t>envelope</w:t>
      </w:r>
      <w:proofErr w:type="spellEnd"/>
      <w:r w:rsidRPr="00B304CB">
        <w:rPr>
          <w:i/>
          <w:iCs/>
        </w:rPr>
        <w:t xml:space="preserve"> </w:t>
      </w:r>
      <w:proofErr w:type="spellStart"/>
      <w:r w:rsidRPr="00B304CB">
        <w:rPr>
          <w:i/>
          <w:iCs/>
        </w:rPr>
        <w:t>formation</w:t>
      </w:r>
      <w:proofErr w:type="spellEnd"/>
      <w:r w:rsidRPr="00B304CB">
        <w:t>) y a la vía de señalización de la interleucina-17 (</w:t>
      </w:r>
      <w:r w:rsidRPr="00B304CB">
        <w:rPr>
          <w:i/>
          <w:iCs/>
        </w:rPr>
        <w:t xml:space="preserve">IL-17 </w:t>
      </w:r>
      <w:proofErr w:type="spellStart"/>
      <w:r w:rsidRPr="00B304CB">
        <w:rPr>
          <w:i/>
          <w:iCs/>
        </w:rPr>
        <w:t>signaling</w:t>
      </w:r>
      <w:proofErr w:type="spellEnd"/>
      <w:r w:rsidRPr="00B304CB">
        <w:rPr>
          <w:i/>
          <w:iCs/>
        </w:rPr>
        <w:t xml:space="preserve"> </w:t>
      </w:r>
      <w:proofErr w:type="spellStart"/>
      <w:r w:rsidRPr="00B304CB">
        <w:rPr>
          <w:i/>
          <w:iCs/>
        </w:rPr>
        <w:t>pathway</w:t>
      </w:r>
      <w:proofErr w:type="spellEnd"/>
      <w:r w:rsidRPr="00B304CB">
        <w:t xml:space="preserve">). Entre ellas, el término asociado a la envoltura </w:t>
      </w:r>
      <w:proofErr w:type="spellStart"/>
      <w:r w:rsidRPr="00B304CB">
        <w:t>cornificada</w:t>
      </w:r>
      <w:proofErr w:type="spellEnd"/>
      <w:r w:rsidRPr="00B304CB">
        <w:t xml:space="preserve"> destaca por registrar tanto el mayor valor de </w:t>
      </w:r>
      <w:r w:rsidRPr="00B304CB">
        <w:rPr>
          <w:i/>
          <w:iCs/>
        </w:rPr>
        <w:t>Gene Ratio</w:t>
      </w:r>
      <w:r w:rsidRPr="00B304CB">
        <w:t>, como un mayor conteo de transcritos integrados en la ruta.</w:t>
      </w:r>
    </w:p>
    <w:p w14:paraId="5B4178E5" w14:textId="26ACE525" w:rsidR="00233039" w:rsidRPr="00233039" w:rsidRDefault="00233039" w:rsidP="00233039">
      <w:r w:rsidRPr="00233039">
        <w:t>Para complementar el análisi</w:t>
      </w:r>
      <w:r>
        <w:t>s</w:t>
      </w:r>
      <w:r w:rsidRPr="00233039">
        <w:t>, se generó un gráfico de red gen-concepto (</w:t>
      </w:r>
      <w:proofErr w:type="spellStart"/>
      <w:r w:rsidRPr="00233039">
        <w:rPr>
          <w:i/>
          <w:iCs/>
        </w:rPr>
        <w:t>cnetplot</w:t>
      </w:r>
      <w:proofErr w:type="spellEnd"/>
      <w:r w:rsidRPr="00233039">
        <w:t xml:space="preserve">) basado en los términos más significativos de </w:t>
      </w:r>
      <w:r>
        <w:t xml:space="preserve">GO </w:t>
      </w:r>
      <w:r w:rsidRPr="00233039">
        <w:t>(</w:t>
      </w:r>
      <w:r w:rsidR="00F9626A" w:rsidRPr="00F9626A">
        <w:t xml:space="preserve">Figura </w:t>
      </w:r>
      <w:r w:rsidR="00F9626A">
        <w:t>15</w:t>
      </w:r>
      <w:r w:rsidRPr="00B304CB">
        <w:t xml:space="preserve">). </w:t>
      </w:r>
      <w:r w:rsidRPr="00233039">
        <w:t xml:space="preserve">Esta representación permite observar cómo se distribuyen los transcritos de la firma consenso entre las diferentes funciones biológicas enriquecidas. En la zona superior de la red se aprecia un denso entramado molecular donde confluyen los procesos de organización de la matriz extracelular y de estructuras externas. Este bloque interactúa de manera directa con un conjunto numeroso de elementos, entre los que destacan múltiples metaloproteinasas, tales como </w:t>
      </w:r>
      <w:r w:rsidRPr="00233039">
        <w:rPr>
          <w:i/>
          <w:iCs/>
        </w:rPr>
        <w:t>MMP1</w:t>
      </w:r>
      <w:r w:rsidRPr="00233039">
        <w:t xml:space="preserve">, </w:t>
      </w:r>
      <w:r w:rsidRPr="00233039">
        <w:rPr>
          <w:i/>
          <w:iCs/>
        </w:rPr>
        <w:t>MMP3</w:t>
      </w:r>
      <w:r w:rsidRPr="00233039">
        <w:t xml:space="preserve">, </w:t>
      </w:r>
      <w:r w:rsidRPr="00233039">
        <w:rPr>
          <w:i/>
          <w:iCs/>
        </w:rPr>
        <w:t>MMP7</w:t>
      </w:r>
      <w:r w:rsidRPr="00233039">
        <w:t xml:space="preserve"> y </w:t>
      </w:r>
      <w:r w:rsidRPr="00233039">
        <w:rPr>
          <w:i/>
          <w:iCs/>
        </w:rPr>
        <w:t>MMP11</w:t>
      </w:r>
      <w:r w:rsidRPr="00233039">
        <w:t xml:space="preserve">, además de colágenos como </w:t>
      </w:r>
      <w:r w:rsidRPr="00233039">
        <w:rPr>
          <w:i/>
          <w:iCs/>
        </w:rPr>
        <w:t>COL4A1</w:t>
      </w:r>
      <w:r w:rsidRPr="00233039">
        <w:t xml:space="preserve"> y </w:t>
      </w:r>
      <w:r w:rsidRPr="00233039">
        <w:rPr>
          <w:i/>
          <w:iCs/>
        </w:rPr>
        <w:t>COL12A1</w:t>
      </w:r>
      <w:r w:rsidRPr="00233039">
        <w:t>.</w:t>
      </w:r>
    </w:p>
    <w:p w14:paraId="15E34F2B" w14:textId="6712F343" w:rsidR="00764534" w:rsidRDefault="00233039" w:rsidP="00764534">
      <w:pPr>
        <w:spacing w:after="0"/>
      </w:pPr>
      <w:r w:rsidRPr="00233039">
        <w:t xml:space="preserve">Por otra parte, la red muestra la interconexión de estos procesos estructurales con el nodo correspondiente a la respuesta a los niveles de oxígeno. Con este término interactúan directamente genes como </w:t>
      </w:r>
      <w:r w:rsidRPr="00233039">
        <w:rPr>
          <w:i/>
          <w:iCs/>
        </w:rPr>
        <w:t>MYC</w:t>
      </w:r>
      <w:r w:rsidRPr="00233039">
        <w:t xml:space="preserve">, </w:t>
      </w:r>
      <w:r w:rsidRPr="00233039">
        <w:rPr>
          <w:i/>
          <w:iCs/>
        </w:rPr>
        <w:t>TWIST1</w:t>
      </w:r>
      <w:r w:rsidRPr="00233039">
        <w:t xml:space="preserve">, </w:t>
      </w:r>
      <w:r w:rsidRPr="00233039">
        <w:rPr>
          <w:i/>
          <w:iCs/>
        </w:rPr>
        <w:t>CA9</w:t>
      </w:r>
      <w:r w:rsidRPr="00233039">
        <w:t xml:space="preserve">, </w:t>
      </w:r>
      <w:r w:rsidRPr="00233039">
        <w:rPr>
          <w:i/>
          <w:iCs/>
        </w:rPr>
        <w:t>ASCL2</w:t>
      </w:r>
      <w:r w:rsidRPr="00233039">
        <w:t xml:space="preserve">, </w:t>
      </w:r>
      <w:r w:rsidRPr="00233039">
        <w:rPr>
          <w:i/>
          <w:iCs/>
        </w:rPr>
        <w:t>AJUBA</w:t>
      </w:r>
      <w:r w:rsidRPr="00233039">
        <w:t xml:space="preserve">, </w:t>
      </w:r>
      <w:r w:rsidRPr="00233039">
        <w:rPr>
          <w:i/>
          <w:iCs/>
        </w:rPr>
        <w:t>SLC7A5</w:t>
      </w:r>
      <w:r w:rsidRPr="00233039">
        <w:t xml:space="preserve">, </w:t>
      </w:r>
      <w:r w:rsidRPr="00233039">
        <w:rPr>
          <w:i/>
          <w:iCs/>
        </w:rPr>
        <w:t>HILPDA</w:t>
      </w:r>
      <w:r w:rsidRPr="00233039">
        <w:t xml:space="preserve"> y </w:t>
      </w:r>
      <w:r w:rsidRPr="00233039">
        <w:rPr>
          <w:i/>
          <w:iCs/>
        </w:rPr>
        <w:t>PMAIP1</w:t>
      </w:r>
      <w:r w:rsidRPr="00233039">
        <w:t xml:space="preserve">. Resulta relevante señalar la presencia de los genes </w:t>
      </w:r>
      <w:r w:rsidRPr="00233039">
        <w:rPr>
          <w:i/>
          <w:iCs/>
        </w:rPr>
        <w:t>COL1A1</w:t>
      </w:r>
      <w:r w:rsidRPr="00233039">
        <w:t xml:space="preserve"> y </w:t>
      </w:r>
      <w:r w:rsidRPr="00233039">
        <w:rPr>
          <w:i/>
          <w:iCs/>
        </w:rPr>
        <w:t>LOXL2</w:t>
      </w:r>
      <w:r w:rsidRPr="00233039">
        <w:t xml:space="preserve">, los cuales ejercen una </w:t>
      </w:r>
      <w:r w:rsidRPr="00233039">
        <w:lastRenderedPageBreak/>
        <w:t>función de puente molecular al conectar simultáneamente el nodo de la respuesta al oxígeno</w:t>
      </w:r>
      <w:r w:rsidR="00764534" w:rsidRPr="00764534">
        <w:t xml:space="preserve"> </w:t>
      </w:r>
      <w:r w:rsidR="00764534" w:rsidRPr="00233039">
        <w:t xml:space="preserve">con el bloque de reestructuración de la matriz extracelular. Por último, los transcritos </w:t>
      </w:r>
      <w:r w:rsidR="00764534" w:rsidRPr="00233039">
        <w:rPr>
          <w:i/>
          <w:iCs/>
        </w:rPr>
        <w:t>STC1</w:t>
      </w:r>
      <w:r w:rsidR="00764534" w:rsidRPr="00233039">
        <w:t xml:space="preserve"> y </w:t>
      </w:r>
      <w:r w:rsidR="00764534" w:rsidRPr="00233039">
        <w:rPr>
          <w:i/>
          <w:iCs/>
        </w:rPr>
        <w:t>STC2</w:t>
      </w:r>
      <w:r w:rsidR="00764534" w:rsidRPr="00233039">
        <w:t xml:space="preserve"> sirven de enlace para extender las conexiones de la red desde la respuesta a la hipoxia hacia el término de </w:t>
      </w:r>
      <w:proofErr w:type="spellStart"/>
      <w:r w:rsidR="00764534" w:rsidRPr="00233039">
        <w:t>decidualización</w:t>
      </w:r>
      <w:proofErr w:type="spellEnd"/>
      <w:r w:rsidR="00764534" w:rsidRPr="00233039">
        <w:t xml:space="preserve">, el cual agrupa a su vez a marcadores como </w:t>
      </w:r>
      <w:r w:rsidR="00764534" w:rsidRPr="00233039">
        <w:rPr>
          <w:i/>
          <w:iCs/>
        </w:rPr>
        <w:t>CYP27B1</w:t>
      </w:r>
      <w:r w:rsidR="00764534" w:rsidRPr="00233039">
        <w:t xml:space="preserve">, </w:t>
      </w:r>
      <w:r w:rsidR="00764534" w:rsidRPr="00233039">
        <w:rPr>
          <w:i/>
          <w:iCs/>
        </w:rPr>
        <w:t>SPP1</w:t>
      </w:r>
      <w:r w:rsidR="00764534" w:rsidRPr="00233039">
        <w:t xml:space="preserve"> y </w:t>
      </w:r>
      <w:r w:rsidR="00764534" w:rsidRPr="00233039">
        <w:rPr>
          <w:i/>
          <w:iCs/>
        </w:rPr>
        <w:t>DCAF13</w:t>
      </w:r>
      <w:r w:rsidR="00764534">
        <w:rPr>
          <w:i/>
          <w:iCs/>
        </w:rPr>
        <w:t>.</w:t>
      </w:r>
    </w:p>
    <w:p w14:paraId="200BB102" w14:textId="77777777" w:rsidR="00F9626A" w:rsidRDefault="00F9626A">
      <w:pPr>
        <w:spacing w:before="0" w:after="0" w:line="240" w:lineRule="auto"/>
        <w:jc w:val="left"/>
      </w:pPr>
      <w:r>
        <w:br w:type="page"/>
      </w:r>
    </w:p>
    <w:p w14:paraId="5583A4A3" w14:textId="515E0C53" w:rsidR="00DE74B4" w:rsidRDefault="00DE74B4" w:rsidP="00764534">
      <w:pPr>
        <w:spacing w:before="0" w:after="0"/>
      </w:pPr>
      <w:r>
        <w:rPr>
          <w:noProof/>
        </w:rPr>
        <w:lastRenderedPageBreak/>
        <w:drawing>
          <wp:inline distT="0" distB="0" distL="0" distR="0" wp14:anchorId="61A37FE2" wp14:editId="235B36E5">
            <wp:extent cx="5753100" cy="7258050"/>
            <wp:effectExtent l="0" t="0" r="0" b="0"/>
            <wp:docPr id="187831157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311571" name="Imagen 3"/>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t="2326" b="628"/>
                    <a:stretch>
                      <a:fillRect/>
                    </a:stretch>
                  </pic:blipFill>
                  <pic:spPr bwMode="auto">
                    <a:xfrm>
                      <a:off x="0" y="0"/>
                      <a:ext cx="5753100" cy="7258050"/>
                    </a:xfrm>
                    <a:prstGeom prst="rect">
                      <a:avLst/>
                    </a:prstGeom>
                    <a:noFill/>
                    <a:ln>
                      <a:noFill/>
                    </a:ln>
                    <a:extLst>
                      <a:ext uri="{53640926-AAD7-44D8-BBD7-CCE9431645EC}">
                        <a14:shadowObscured xmlns:a14="http://schemas.microsoft.com/office/drawing/2010/main"/>
                      </a:ext>
                    </a:extLst>
                  </pic:spPr>
                </pic:pic>
              </a:graphicData>
            </a:graphic>
          </wp:inline>
        </w:drawing>
      </w:r>
    </w:p>
    <w:p w14:paraId="124E71F1" w14:textId="79224425" w:rsidR="00DE74B4" w:rsidRDefault="00DE74B4" w:rsidP="00764534">
      <w:pPr>
        <w:pStyle w:val="Figuras"/>
        <w:keepNext w:val="0"/>
        <w:ind w:right="709"/>
      </w:pPr>
      <w:bookmarkStart w:id="50" w:name="_Toc238816320"/>
      <w:r>
        <w:t xml:space="preserve">Figura </w:t>
      </w:r>
      <w:fldSimple w:instr=" SEQ Figura \* ARABIC ">
        <w:r w:rsidR="00EA43FE">
          <w:rPr>
            <w:noProof/>
          </w:rPr>
          <w:t>13</w:t>
        </w:r>
      </w:fldSimple>
      <w:r>
        <w:t xml:space="preserve">. </w:t>
      </w:r>
      <w:r w:rsidRPr="00443906">
        <w:t>Diagrama de puntos (</w:t>
      </w:r>
      <w:proofErr w:type="spellStart"/>
      <w:r w:rsidRPr="00DE74B4">
        <w:t>dotplot</w:t>
      </w:r>
      <w:proofErr w:type="spellEnd"/>
      <w:r w:rsidRPr="00443906">
        <w:t>) del análisis de enriquecimiento funcional de GO para los genes consenso sobreexpresados.</w:t>
      </w:r>
      <w:bookmarkEnd w:id="50"/>
      <w:r w:rsidRPr="00443906">
        <w:t xml:space="preserve"> </w:t>
      </w:r>
    </w:p>
    <w:p w14:paraId="234F1E75" w14:textId="77777777" w:rsidR="00B304CB" w:rsidRDefault="00B304CB" w:rsidP="00B304CB">
      <w:pPr>
        <w:keepNext/>
        <w:spacing w:after="0"/>
        <w:jc w:val="center"/>
      </w:pPr>
      <w:r>
        <w:rPr>
          <w:noProof/>
        </w:rPr>
        <w:lastRenderedPageBreak/>
        <w:drawing>
          <wp:inline distT="0" distB="0" distL="0" distR="0" wp14:anchorId="71A80E3B" wp14:editId="7F48481D">
            <wp:extent cx="4959792" cy="2209800"/>
            <wp:effectExtent l="0" t="0" r="0" b="0"/>
            <wp:docPr id="95617627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l="-17" t="7409" r="17" b="3483"/>
                    <a:stretch>
                      <a:fillRect/>
                    </a:stretch>
                  </pic:blipFill>
                  <pic:spPr bwMode="auto">
                    <a:xfrm>
                      <a:off x="0" y="0"/>
                      <a:ext cx="5009836" cy="2232097"/>
                    </a:xfrm>
                    <a:prstGeom prst="rect">
                      <a:avLst/>
                    </a:prstGeom>
                    <a:noFill/>
                    <a:ln>
                      <a:noFill/>
                    </a:ln>
                    <a:extLst>
                      <a:ext uri="{53640926-AAD7-44D8-BBD7-CCE9431645EC}">
                        <a14:shadowObscured xmlns:a14="http://schemas.microsoft.com/office/drawing/2010/main"/>
                      </a:ext>
                    </a:extLst>
                  </pic:spPr>
                </pic:pic>
              </a:graphicData>
            </a:graphic>
          </wp:inline>
        </w:drawing>
      </w:r>
    </w:p>
    <w:p w14:paraId="1AF30FBC" w14:textId="45CBF940" w:rsidR="00B304CB" w:rsidRDefault="00B304CB" w:rsidP="0009575F">
      <w:pPr>
        <w:pStyle w:val="Figuras"/>
        <w:spacing w:after="240"/>
      </w:pPr>
      <w:bookmarkStart w:id="51" w:name="_Toc238816321"/>
      <w:r>
        <w:t xml:space="preserve">Figura </w:t>
      </w:r>
      <w:fldSimple w:instr=" SEQ Figura \* ARABIC ">
        <w:r w:rsidR="00EA43FE">
          <w:rPr>
            <w:noProof/>
          </w:rPr>
          <w:t>14</w:t>
        </w:r>
      </w:fldSimple>
      <w:r>
        <w:t xml:space="preserve">. </w:t>
      </w:r>
      <w:r w:rsidRPr="00980149">
        <w:t>Diagrama de puntos (</w:t>
      </w:r>
      <w:proofErr w:type="spellStart"/>
      <w:r w:rsidRPr="00980149">
        <w:t>dotplot</w:t>
      </w:r>
      <w:proofErr w:type="spellEnd"/>
      <w:r w:rsidRPr="00980149">
        <w:t>) del análisis de enriquecimiento funcional de KEGG para los genes consenso sobreexpresados.</w:t>
      </w:r>
      <w:bookmarkEnd w:id="51"/>
    </w:p>
    <w:p w14:paraId="764074C2" w14:textId="77777777" w:rsidR="00751ECC" w:rsidRDefault="00751ECC" w:rsidP="00751ECC"/>
    <w:p w14:paraId="41C6A1A3" w14:textId="77777777" w:rsidR="00CF0ED4" w:rsidRDefault="00CF0ED4" w:rsidP="00751ECC">
      <w:pPr>
        <w:keepNext/>
        <w:spacing w:after="0"/>
      </w:pPr>
      <w:r>
        <w:rPr>
          <w:noProof/>
        </w:rPr>
        <w:drawing>
          <wp:inline distT="0" distB="0" distL="0" distR="0" wp14:anchorId="5756EF0D" wp14:editId="5A6CAA62">
            <wp:extent cx="5753100" cy="4308763"/>
            <wp:effectExtent l="0" t="0" r="0" b="0"/>
            <wp:docPr id="1109351530"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t="4141" b="2202"/>
                    <a:stretch>
                      <a:fillRect/>
                    </a:stretch>
                  </pic:blipFill>
                  <pic:spPr bwMode="auto">
                    <a:xfrm>
                      <a:off x="0" y="0"/>
                      <a:ext cx="5753100" cy="4308763"/>
                    </a:xfrm>
                    <a:prstGeom prst="rect">
                      <a:avLst/>
                    </a:prstGeom>
                    <a:noFill/>
                    <a:ln>
                      <a:noFill/>
                    </a:ln>
                    <a:extLst>
                      <a:ext uri="{53640926-AAD7-44D8-BBD7-CCE9431645EC}">
                        <a14:shadowObscured xmlns:a14="http://schemas.microsoft.com/office/drawing/2010/main"/>
                      </a:ext>
                    </a:extLst>
                  </pic:spPr>
                </pic:pic>
              </a:graphicData>
            </a:graphic>
          </wp:inline>
        </w:drawing>
      </w:r>
    </w:p>
    <w:p w14:paraId="172EFEBE" w14:textId="78E4DB8B" w:rsidR="00B304CB" w:rsidRDefault="00CF0ED4" w:rsidP="00CF0ED4">
      <w:pPr>
        <w:pStyle w:val="Figuras"/>
        <w:keepNext w:val="0"/>
        <w:keepLines/>
        <w:spacing w:after="240"/>
        <w:ind w:right="709"/>
      </w:pPr>
      <w:bookmarkStart w:id="52" w:name="_Toc238816322"/>
      <w:r>
        <w:t xml:space="preserve">Figura </w:t>
      </w:r>
      <w:fldSimple w:instr=" SEQ Figura \* ARABIC ">
        <w:r w:rsidR="00EA43FE">
          <w:rPr>
            <w:noProof/>
          </w:rPr>
          <w:t>15</w:t>
        </w:r>
      </w:fldSimple>
      <w:r>
        <w:t xml:space="preserve">. </w:t>
      </w:r>
      <w:r w:rsidRPr="00972475">
        <w:t>Gráfico de red gen-concepto (</w:t>
      </w:r>
      <w:proofErr w:type="spellStart"/>
      <w:r w:rsidRPr="00972475">
        <w:t>cnetplot</w:t>
      </w:r>
      <w:proofErr w:type="spellEnd"/>
      <w:r w:rsidRPr="00972475">
        <w:t>) del análisis de enriquecimiento funcional de GO para los genes consenso sobreexpresados.</w:t>
      </w:r>
      <w:bookmarkEnd w:id="52"/>
    </w:p>
    <w:p w14:paraId="07121302" w14:textId="2E657E0F" w:rsidR="00F3241D" w:rsidRDefault="003214F9" w:rsidP="00F3241D">
      <w:pPr>
        <w:pStyle w:val="Ttulo3"/>
      </w:pPr>
      <w:bookmarkStart w:id="53" w:name="_Toc239417053"/>
      <w:r w:rsidRPr="003214F9">
        <w:lastRenderedPageBreak/>
        <w:t xml:space="preserve">Análisis de </w:t>
      </w:r>
      <w:r w:rsidR="00381CA1">
        <w:t>r</w:t>
      </w:r>
      <w:r w:rsidRPr="003214F9">
        <w:t xml:space="preserve">epresión </w:t>
      </w:r>
      <w:r w:rsidR="00381CA1">
        <w:t>f</w:t>
      </w:r>
      <w:r w:rsidRPr="003214F9">
        <w:t>uncional (</w:t>
      </w:r>
      <w:r w:rsidR="00381CA1">
        <w:t>ge</w:t>
      </w:r>
      <w:r w:rsidRPr="003214F9">
        <w:t xml:space="preserve">nes </w:t>
      </w:r>
      <w:r w:rsidR="00381CA1">
        <w:t>s</w:t>
      </w:r>
      <w:r w:rsidRPr="003214F9">
        <w:t>ubexpresados</w:t>
      </w:r>
      <w:r>
        <w:t>)</w:t>
      </w:r>
      <w:bookmarkEnd w:id="53"/>
    </w:p>
    <w:p w14:paraId="0756BE01" w14:textId="65F64B4E" w:rsidR="004E13D1" w:rsidRDefault="00F379D1" w:rsidP="00F379D1">
      <w:r>
        <w:t xml:space="preserve">Para obtener una visión complementaria de la firma consenso, resulta indispensable examinar el comportamiento de los 170 transcritos que se encuentran subexpresados en las muestras tumorales. Este bloque de represión funcional evalúa de forma específica la atenuación o pérdida de actividades biológicas en comparación con el tejido de control sano. Así, la </w:t>
      </w:r>
      <w:r w:rsidR="007B3CFB">
        <w:t>identific</w:t>
      </w:r>
      <w:r>
        <w:t xml:space="preserve">ación de estos </w:t>
      </w:r>
      <w:r w:rsidR="007B3CFB">
        <w:t>proces</w:t>
      </w:r>
      <w:r>
        <w:t xml:space="preserve">os permite </w:t>
      </w:r>
      <w:r w:rsidR="007B3CFB">
        <w:t>determinar</w:t>
      </w:r>
      <w:r>
        <w:t xml:space="preserve"> las rutas metabólicas y los procesos fisiológicos que experimentan una regulación a la baja estadísticamente significativa.</w:t>
      </w:r>
    </w:p>
    <w:p w14:paraId="35984639" w14:textId="4A06B21F" w:rsidR="00686052" w:rsidRPr="00686052" w:rsidRDefault="004E13D1" w:rsidP="00686052">
      <w:r>
        <w:t>En primera instancia, l</w:t>
      </w:r>
      <w:r w:rsidRPr="004E13D1">
        <w:t xml:space="preserve">a evaluación de </w:t>
      </w:r>
      <w:r w:rsidR="00F9626A">
        <w:t>GO</w:t>
      </w:r>
      <w:r w:rsidRPr="004E13D1">
        <w:t xml:space="preserve"> para este conjunto de genes subexpresados muestra una clara tendencia hacia los mecanismos de equilibrio iónico y la respuesta a sustancias nocivas (</w:t>
      </w:r>
      <w:r w:rsidR="00F9626A" w:rsidRPr="00F9626A">
        <w:t xml:space="preserve">Figura </w:t>
      </w:r>
      <w:r w:rsidR="00F9626A">
        <w:t>16</w:t>
      </w:r>
      <w:r w:rsidRPr="004E13D1">
        <w:t xml:space="preserve">). En la categoría de BP, el término que registra un mayor </w:t>
      </w:r>
      <w:r w:rsidRPr="004E13D1">
        <w:rPr>
          <w:i/>
          <w:iCs/>
        </w:rPr>
        <w:t>Gene Ratio</w:t>
      </w:r>
      <w:r w:rsidRPr="004E13D1">
        <w:t xml:space="preserve"> corresponde a la respuesta a sustancias tóxicas. A continuación, se identifica un grupo uniforme de funciones relacionadas </w:t>
      </w:r>
      <w:r w:rsidR="00686052" w:rsidRPr="00686052">
        <w:t>con la desintoxicación y la respuesta celular frente a metales específicos, tales como el cobre, el zinc y el cadmio.</w:t>
      </w:r>
    </w:p>
    <w:p w14:paraId="3928B976" w14:textId="402FA07F" w:rsidR="00691570" w:rsidRPr="00691570" w:rsidRDefault="00686052" w:rsidP="00691570">
      <w:r w:rsidRPr="004E13D1">
        <w:t>Respecto a la localización celular, los niveles más altos de significación estadística se concentran en las estructuras del borde en cepillo (</w:t>
      </w:r>
      <w:proofErr w:type="spellStart"/>
      <w:r w:rsidRPr="004E13D1">
        <w:rPr>
          <w:i/>
          <w:iCs/>
        </w:rPr>
        <w:t>brush</w:t>
      </w:r>
      <w:proofErr w:type="spellEnd"/>
      <w:r w:rsidRPr="004E13D1">
        <w:rPr>
          <w:i/>
          <w:iCs/>
        </w:rPr>
        <w:t xml:space="preserve"> </w:t>
      </w:r>
      <w:proofErr w:type="spellStart"/>
      <w:r w:rsidRPr="004E13D1">
        <w:rPr>
          <w:i/>
          <w:iCs/>
        </w:rPr>
        <w:t>border</w:t>
      </w:r>
      <w:proofErr w:type="spellEnd"/>
      <w:r w:rsidRPr="004E13D1">
        <w:t xml:space="preserve"> y </w:t>
      </w:r>
      <w:proofErr w:type="spellStart"/>
      <w:r w:rsidRPr="004E13D1">
        <w:rPr>
          <w:i/>
          <w:iCs/>
        </w:rPr>
        <w:t>brush</w:t>
      </w:r>
      <w:proofErr w:type="spellEnd"/>
      <w:r w:rsidRPr="004E13D1">
        <w:rPr>
          <w:i/>
          <w:iCs/>
        </w:rPr>
        <w:t xml:space="preserve"> </w:t>
      </w:r>
      <w:proofErr w:type="spellStart"/>
      <w:r w:rsidRPr="004E13D1">
        <w:rPr>
          <w:i/>
          <w:iCs/>
        </w:rPr>
        <w:t>border</w:t>
      </w:r>
      <w:proofErr w:type="spellEnd"/>
      <w:r w:rsidRPr="004E13D1">
        <w:rPr>
          <w:i/>
          <w:iCs/>
        </w:rPr>
        <w:t xml:space="preserve"> </w:t>
      </w:r>
      <w:proofErr w:type="spellStart"/>
      <w:r w:rsidRPr="004E13D1">
        <w:rPr>
          <w:i/>
          <w:iCs/>
        </w:rPr>
        <w:t>membrane</w:t>
      </w:r>
      <w:proofErr w:type="spellEnd"/>
      <w:r w:rsidRPr="004E13D1">
        <w:t xml:space="preserve">). </w:t>
      </w:r>
      <w:r w:rsidRPr="00686052">
        <w:t>Estos elementos se encuentran seguidos en relevancia</w:t>
      </w:r>
      <w:r>
        <w:t xml:space="preserve"> </w:t>
      </w:r>
      <w:r w:rsidRPr="00686052">
        <w:t>por las categorías asociadas a las proyecciones celulares</w:t>
      </w:r>
      <w:r w:rsidRPr="004E13D1">
        <w:t xml:space="preserve">, concretamente </w:t>
      </w:r>
      <w:proofErr w:type="spellStart"/>
      <w:r w:rsidRPr="004E13D1">
        <w:rPr>
          <w:i/>
          <w:iCs/>
        </w:rPr>
        <w:t>cell</w:t>
      </w:r>
      <w:proofErr w:type="spellEnd"/>
      <w:r w:rsidRPr="004E13D1">
        <w:rPr>
          <w:i/>
          <w:iCs/>
        </w:rPr>
        <w:t xml:space="preserve"> </w:t>
      </w:r>
      <w:proofErr w:type="spellStart"/>
      <w:r w:rsidRPr="004E13D1">
        <w:rPr>
          <w:i/>
          <w:iCs/>
        </w:rPr>
        <w:t>projection</w:t>
      </w:r>
      <w:proofErr w:type="spellEnd"/>
      <w:r w:rsidRPr="004E13D1">
        <w:rPr>
          <w:i/>
          <w:iCs/>
        </w:rPr>
        <w:t xml:space="preserve"> </w:t>
      </w:r>
      <w:proofErr w:type="spellStart"/>
      <w:r w:rsidRPr="004E13D1">
        <w:rPr>
          <w:i/>
          <w:iCs/>
        </w:rPr>
        <w:t>membrane</w:t>
      </w:r>
      <w:proofErr w:type="spellEnd"/>
      <w:r w:rsidRPr="004E13D1">
        <w:t xml:space="preserve"> y el grupo de proyecciones basadas en actina (</w:t>
      </w:r>
      <w:proofErr w:type="spellStart"/>
      <w:r w:rsidRPr="004E13D1">
        <w:rPr>
          <w:i/>
          <w:iCs/>
        </w:rPr>
        <w:t>cluster</w:t>
      </w:r>
      <w:proofErr w:type="spellEnd"/>
      <w:r w:rsidRPr="004E13D1">
        <w:rPr>
          <w:i/>
          <w:iCs/>
        </w:rPr>
        <w:t xml:space="preserve"> </w:t>
      </w:r>
      <w:proofErr w:type="spellStart"/>
      <w:r w:rsidRPr="004E13D1">
        <w:rPr>
          <w:i/>
          <w:iCs/>
        </w:rPr>
        <w:t>of</w:t>
      </w:r>
      <w:proofErr w:type="spellEnd"/>
      <w:r w:rsidRPr="004E13D1">
        <w:rPr>
          <w:i/>
          <w:iCs/>
        </w:rPr>
        <w:t xml:space="preserve"> </w:t>
      </w:r>
      <w:proofErr w:type="spellStart"/>
      <w:r w:rsidRPr="004E13D1">
        <w:rPr>
          <w:i/>
          <w:iCs/>
        </w:rPr>
        <w:t>actin-based</w:t>
      </w:r>
      <w:proofErr w:type="spellEnd"/>
      <w:r w:rsidRPr="004E13D1">
        <w:rPr>
          <w:i/>
          <w:iCs/>
        </w:rPr>
        <w:t xml:space="preserve"> </w:t>
      </w:r>
      <w:proofErr w:type="spellStart"/>
      <w:r w:rsidRPr="004E13D1">
        <w:rPr>
          <w:i/>
          <w:iCs/>
        </w:rPr>
        <w:t>cell</w:t>
      </w:r>
      <w:proofErr w:type="spellEnd"/>
      <w:r w:rsidRPr="004E13D1">
        <w:rPr>
          <w:i/>
          <w:iCs/>
        </w:rPr>
        <w:t xml:space="preserve"> </w:t>
      </w:r>
      <w:proofErr w:type="spellStart"/>
      <w:r w:rsidRPr="004E13D1">
        <w:rPr>
          <w:i/>
          <w:iCs/>
        </w:rPr>
        <w:t>projections</w:t>
      </w:r>
      <w:proofErr w:type="spellEnd"/>
      <w:r w:rsidRPr="004E13D1">
        <w:t>)</w:t>
      </w:r>
      <w:r w:rsidR="0036091E">
        <w:t>;</w:t>
      </w:r>
      <w:r w:rsidRPr="004E13D1">
        <w:t xml:space="preserve"> además de la membrana plasmática apical. </w:t>
      </w:r>
      <w:r w:rsidR="00691570">
        <w:t xml:space="preserve">Por último, el bloque </w:t>
      </w:r>
      <w:r w:rsidRPr="004E13D1">
        <w:t>de MF</w:t>
      </w:r>
      <w:r w:rsidR="00691570">
        <w:t xml:space="preserve"> </w:t>
      </w:r>
      <w:r w:rsidR="00691570" w:rsidRPr="00691570">
        <w:t>está constituid</w:t>
      </w:r>
      <w:r w:rsidR="00691570">
        <w:t>o</w:t>
      </w:r>
      <w:r w:rsidR="00691570" w:rsidRPr="00691570">
        <w:t xml:space="preserve"> por procesos diversos, donde destacan las actividades de fosfodiéster hidrolasa y la actividad hormonal. A estas últimas les siguen</w:t>
      </w:r>
      <w:r w:rsidR="00691570">
        <w:t xml:space="preserve"> </w:t>
      </w:r>
      <w:r w:rsidR="00691570" w:rsidRPr="00691570">
        <w:t xml:space="preserve">las funciones oxidorreductasas dependientes de grupos CH-OH y diferentes actividades </w:t>
      </w:r>
      <w:proofErr w:type="spellStart"/>
      <w:r w:rsidR="00691570" w:rsidRPr="00691570">
        <w:t>sulfotransferasas</w:t>
      </w:r>
      <w:proofErr w:type="spellEnd"/>
      <w:r w:rsidR="00691570" w:rsidRPr="00691570">
        <w:t>.</w:t>
      </w:r>
    </w:p>
    <w:p w14:paraId="3784DF29" w14:textId="43593715" w:rsidR="00691570" w:rsidRPr="00691570" w:rsidRDefault="007D21DA" w:rsidP="00691570">
      <w:r w:rsidRPr="007D21DA">
        <w:t xml:space="preserve">Con respecto a la base de datos KEGG, el mapa de rutas desvela únicamente tres </w:t>
      </w:r>
      <w:r>
        <w:t>términos</w:t>
      </w:r>
      <w:r w:rsidRPr="007D21DA">
        <w:t xml:space="preserve"> con una alteración estadísticamente significativa en este grupo de genes (</w:t>
      </w:r>
      <w:r w:rsidR="00F9626A" w:rsidRPr="00F9626A">
        <w:t xml:space="preserve">Figura </w:t>
      </w:r>
      <w:r w:rsidR="00F9626A">
        <w:t>17</w:t>
      </w:r>
      <w:r w:rsidRPr="007D21DA">
        <w:t xml:space="preserve">). La vía de señalización hormonal sobresale por presentar la mayor proporción de genes asociados y el mayor conteo de transcritos acumulados. Por otro lado, la absorción de minerales se posiciona como el proceso con mayor significación estadística del análisis debido a su nivel de p-valor ajustado. El perfil se completa con la ruta de biosíntesis de </w:t>
      </w:r>
      <w:proofErr w:type="spellStart"/>
      <w:r w:rsidRPr="007D21DA">
        <w:t>glicoesfingolípidos</w:t>
      </w:r>
      <w:proofErr w:type="spellEnd"/>
      <w:r w:rsidRPr="007D21DA">
        <w:t xml:space="preserve"> (</w:t>
      </w:r>
      <w:proofErr w:type="spellStart"/>
      <w:r w:rsidRPr="007D21DA">
        <w:rPr>
          <w:i/>
          <w:iCs/>
        </w:rPr>
        <w:t>Glycosphingolipid</w:t>
      </w:r>
      <w:proofErr w:type="spellEnd"/>
      <w:r w:rsidRPr="007D21DA">
        <w:rPr>
          <w:i/>
          <w:iCs/>
        </w:rPr>
        <w:t xml:space="preserve"> </w:t>
      </w:r>
      <w:proofErr w:type="spellStart"/>
      <w:r w:rsidRPr="007D21DA">
        <w:rPr>
          <w:i/>
          <w:iCs/>
        </w:rPr>
        <w:t>biosynthesis</w:t>
      </w:r>
      <w:proofErr w:type="spellEnd"/>
      <w:r w:rsidRPr="007D21DA">
        <w:rPr>
          <w:i/>
          <w:iCs/>
        </w:rPr>
        <w:t xml:space="preserve"> - lacto and </w:t>
      </w:r>
      <w:proofErr w:type="spellStart"/>
      <w:r w:rsidRPr="007D21DA">
        <w:rPr>
          <w:i/>
          <w:iCs/>
        </w:rPr>
        <w:t>neolacto</w:t>
      </w:r>
      <w:proofErr w:type="spellEnd"/>
      <w:r w:rsidRPr="007D21DA">
        <w:rPr>
          <w:i/>
          <w:iCs/>
        </w:rPr>
        <w:t xml:space="preserve"> series</w:t>
      </w:r>
      <w:r w:rsidRPr="007D21DA">
        <w:t xml:space="preserve">), la cual </w:t>
      </w:r>
      <w:r w:rsidR="00691570" w:rsidRPr="00691570">
        <w:t xml:space="preserve">presenta los valores </w:t>
      </w:r>
      <w:r w:rsidRPr="007D21DA">
        <w:t xml:space="preserve">más </w:t>
      </w:r>
      <w:r w:rsidR="0036091E">
        <w:t>bajos</w:t>
      </w:r>
      <w:r w:rsidRPr="007D21DA">
        <w:t xml:space="preserve"> </w:t>
      </w:r>
      <w:r w:rsidR="00691570" w:rsidRPr="00691570">
        <w:t>en todos los parámetros evaluados.</w:t>
      </w:r>
    </w:p>
    <w:p w14:paraId="038B919F" w14:textId="5CA97E99" w:rsidR="00751ECC" w:rsidRPr="00EA43FE" w:rsidRDefault="00EA43FE" w:rsidP="00751ECC">
      <w:r>
        <w:lastRenderedPageBreak/>
        <w:t>Finalmente, l</w:t>
      </w:r>
      <w:r w:rsidRPr="00EA43FE">
        <w:t>a distribución de los genes subexpresados dentro de las rutas de KEGG se visualiza mediante una red gen-concepto con una organización marcadamente modular (</w:t>
      </w:r>
      <w:r w:rsidR="00F9626A" w:rsidRPr="00F9626A">
        <w:t xml:space="preserve">Figura </w:t>
      </w:r>
      <w:r w:rsidR="00F9626A">
        <w:t>18</w:t>
      </w:r>
      <w:r w:rsidRPr="00EA43FE">
        <w:t>). A nivel estructural, el mapa destaca por una segmentación absoluta, constituyendo tres sistemas aislados que no comparten ningún elemento entre sí. El primero de estos</w:t>
      </w:r>
      <w:r>
        <w:t xml:space="preserve"> núcleo</w:t>
      </w:r>
      <w:r w:rsidR="00751ECC">
        <w:t xml:space="preserve">s </w:t>
      </w:r>
      <w:r w:rsidR="00751ECC" w:rsidRPr="00EA43FE">
        <w:t xml:space="preserve">funcionales se articula alrededor de la absorción de minerales, el cual conecta directamente con los transcritos </w:t>
      </w:r>
      <w:r w:rsidR="00751ECC" w:rsidRPr="00EA43FE">
        <w:rPr>
          <w:i/>
          <w:iCs/>
        </w:rPr>
        <w:t>MT1E</w:t>
      </w:r>
      <w:r w:rsidR="00751ECC" w:rsidRPr="00EA43FE">
        <w:t xml:space="preserve">, </w:t>
      </w:r>
      <w:r w:rsidR="00751ECC" w:rsidRPr="00EA43FE">
        <w:rPr>
          <w:i/>
          <w:iCs/>
        </w:rPr>
        <w:t>MT1F</w:t>
      </w:r>
      <w:r w:rsidR="00751ECC" w:rsidRPr="00EA43FE">
        <w:t xml:space="preserve">, </w:t>
      </w:r>
      <w:r w:rsidR="00751ECC" w:rsidRPr="00EA43FE">
        <w:rPr>
          <w:i/>
          <w:iCs/>
        </w:rPr>
        <w:t>MT1G</w:t>
      </w:r>
      <w:r w:rsidR="00751ECC" w:rsidRPr="00EA43FE">
        <w:t xml:space="preserve">, </w:t>
      </w:r>
      <w:r w:rsidR="00751ECC" w:rsidRPr="00EA43FE">
        <w:rPr>
          <w:i/>
          <w:iCs/>
        </w:rPr>
        <w:t>MT1H</w:t>
      </w:r>
      <w:r w:rsidR="00751ECC" w:rsidRPr="00EA43FE">
        <w:t xml:space="preserve">, </w:t>
      </w:r>
      <w:r w:rsidR="00751ECC" w:rsidRPr="00EA43FE">
        <w:rPr>
          <w:i/>
          <w:iCs/>
        </w:rPr>
        <w:t>MT1M</w:t>
      </w:r>
      <w:r w:rsidR="00751ECC" w:rsidRPr="00EA43FE">
        <w:t xml:space="preserve">, </w:t>
      </w:r>
      <w:r w:rsidR="00751ECC" w:rsidRPr="00EA43FE">
        <w:rPr>
          <w:i/>
          <w:iCs/>
        </w:rPr>
        <w:t>SLC6A19</w:t>
      </w:r>
      <w:r w:rsidR="00751ECC" w:rsidRPr="00EA43FE">
        <w:t xml:space="preserve"> y </w:t>
      </w:r>
      <w:r w:rsidR="00751ECC" w:rsidRPr="00EA43FE">
        <w:rPr>
          <w:i/>
          <w:iCs/>
        </w:rPr>
        <w:t>TRPM6</w:t>
      </w:r>
      <w:r w:rsidR="00751ECC" w:rsidRPr="00EA43FE">
        <w:t>.</w:t>
      </w:r>
    </w:p>
    <w:p w14:paraId="1C5E3045" w14:textId="16DBC545" w:rsidR="00751ECC" w:rsidRDefault="00751ECC" w:rsidP="00751ECC">
      <w:r w:rsidRPr="00EA43FE">
        <w:t xml:space="preserve">De forma </w:t>
      </w:r>
      <w:r>
        <w:t>similar</w:t>
      </w:r>
      <w:r w:rsidRPr="00EA43FE">
        <w:t xml:space="preserve">, la ruta de señalización hormonal define el eje de una segunda unidad independiente. Las interacciones en este nodo abarcan de forma exclusiva a los elementos </w:t>
      </w:r>
      <w:r w:rsidRPr="00EA43FE">
        <w:rPr>
          <w:i/>
          <w:iCs/>
        </w:rPr>
        <w:t>THRB</w:t>
      </w:r>
      <w:r w:rsidRPr="00EA43FE">
        <w:t xml:space="preserve">, </w:t>
      </w:r>
      <w:r w:rsidRPr="00EA43FE">
        <w:rPr>
          <w:i/>
          <w:iCs/>
        </w:rPr>
        <w:t>GNG7</w:t>
      </w:r>
      <w:r w:rsidRPr="00EA43FE">
        <w:t xml:space="preserve">, </w:t>
      </w:r>
      <w:r w:rsidRPr="00EA43FE">
        <w:rPr>
          <w:i/>
          <w:iCs/>
        </w:rPr>
        <w:t>PTH1R</w:t>
      </w:r>
      <w:r w:rsidRPr="00EA43FE">
        <w:t xml:space="preserve">, </w:t>
      </w:r>
      <w:r w:rsidRPr="00EA43FE">
        <w:rPr>
          <w:i/>
          <w:iCs/>
        </w:rPr>
        <w:t>GUCA2B</w:t>
      </w:r>
      <w:r w:rsidRPr="00EA43FE">
        <w:t xml:space="preserve">, </w:t>
      </w:r>
      <w:r w:rsidRPr="00EA43FE">
        <w:rPr>
          <w:i/>
          <w:iCs/>
        </w:rPr>
        <w:t>ADCY5</w:t>
      </w:r>
      <w:r w:rsidRPr="00EA43FE">
        <w:t xml:space="preserve">, </w:t>
      </w:r>
      <w:r w:rsidRPr="00EA43FE">
        <w:rPr>
          <w:i/>
          <w:iCs/>
        </w:rPr>
        <w:t>GCG</w:t>
      </w:r>
      <w:r w:rsidRPr="00EA43FE">
        <w:t xml:space="preserve">, </w:t>
      </w:r>
      <w:r w:rsidRPr="00EA43FE">
        <w:rPr>
          <w:i/>
          <w:iCs/>
        </w:rPr>
        <w:t>UCN3</w:t>
      </w:r>
      <w:r w:rsidRPr="00EA43FE">
        <w:t xml:space="preserve">, </w:t>
      </w:r>
      <w:r w:rsidRPr="00EA43FE">
        <w:rPr>
          <w:i/>
          <w:iCs/>
        </w:rPr>
        <w:t>GUCA2A</w:t>
      </w:r>
      <w:r w:rsidRPr="00EA43FE">
        <w:t xml:space="preserve"> y </w:t>
      </w:r>
      <w:r w:rsidRPr="00EA43FE">
        <w:rPr>
          <w:i/>
          <w:iCs/>
        </w:rPr>
        <w:t>SST</w:t>
      </w:r>
      <w:r w:rsidRPr="00EA43FE">
        <w:t xml:space="preserve">. Finalmente, el mapa se completa con el </w:t>
      </w:r>
      <w:r>
        <w:t>bloque</w:t>
      </w:r>
      <w:r w:rsidRPr="00EA43FE">
        <w:t xml:space="preserve"> asignado a la biosíntesis de </w:t>
      </w:r>
      <w:proofErr w:type="spellStart"/>
      <w:r w:rsidRPr="00EA43FE">
        <w:t>glicoesfingolípidos</w:t>
      </w:r>
      <w:proofErr w:type="spellEnd"/>
      <w:r w:rsidRPr="00EA43FE">
        <w:t xml:space="preserve">. Este último módulo conecta únicamente con los componentes </w:t>
      </w:r>
      <w:r w:rsidRPr="00EA43FE">
        <w:rPr>
          <w:i/>
          <w:iCs/>
        </w:rPr>
        <w:t>B3GALT1</w:t>
      </w:r>
      <w:r w:rsidRPr="00EA43FE">
        <w:t xml:space="preserve">, </w:t>
      </w:r>
      <w:r w:rsidRPr="00EA43FE">
        <w:rPr>
          <w:i/>
          <w:iCs/>
        </w:rPr>
        <w:t>B3GALT5</w:t>
      </w:r>
      <w:r w:rsidRPr="00EA43FE">
        <w:t xml:space="preserve">, </w:t>
      </w:r>
      <w:r w:rsidRPr="00EA43FE">
        <w:rPr>
          <w:i/>
          <w:iCs/>
        </w:rPr>
        <w:t>GCNT2</w:t>
      </w:r>
      <w:r w:rsidRPr="00EA43FE">
        <w:t xml:space="preserve"> y </w:t>
      </w:r>
      <w:r w:rsidRPr="00EA43FE">
        <w:rPr>
          <w:i/>
          <w:iCs/>
        </w:rPr>
        <w:t>B4GALNT2</w:t>
      </w:r>
      <w:r w:rsidRPr="00EA43FE">
        <w:t>.</w:t>
      </w:r>
    </w:p>
    <w:p w14:paraId="162A7A05" w14:textId="646E80AF" w:rsidR="00EA43FE" w:rsidRDefault="00EA43FE" w:rsidP="00751ECC">
      <w:r>
        <w:rPr>
          <w:noProof/>
        </w:rPr>
        <w:lastRenderedPageBreak/>
        <w:drawing>
          <wp:inline distT="0" distB="0" distL="0" distR="0" wp14:anchorId="36BBDC71" wp14:editId="6004B317">
            <wp:extent cx="5748655" cy="7869767"/>
            <wp:effectExtent l="0" t="0" r="4445" b="0"/>
            <wp:docPr id="76810262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5" cstate="print">
                      <a:extLst>
                        <a:ext uri="{28A0092B-C50C-407E-A947-70E740481C1C}">
                          <a14:useLocalDpi xmlns:a14="http://schemas.microsoft.com/office/drawing/2010/main" val="0"/>
                        </a:ext>
                      </a:extLst>
                    </a:blip>
                    <a:srcRect t="2261"/>
                    <a:stretch>
                      <a:fillRect/>
                    </a:stretch>
                  </pic:blipFill>
                  <pic:spPr bwMode="auto">
                    <a:xfrm>
                      <a:off x="0" y="0"/>
                      <a:ext cx="5748655" cy="7869767"/>
                    </a:xfrm>
                    <a:prstGeom prst="rect">
                      <a:avLst/>
                    </a:prstGeom>
                    <a:noFill/>
                    <a:ln>
                      <a:noFill/>
                    </a:ln>
                    <a:extLst>
                      <a:ext uri="{53640926-AAD7-44D8-BBD7-CCE9431645EC}">
                        <a14:shadowObscured xmlns:a14="http://schemas.microsoft.com/office/drawing/2010/main"/>
                      </a:ext>
                    </a:extLst>
                  </pic:spPr>
                </pic:pic>
              </a:graphicData>
            </a:graphic>
          </wp:inline>
        </w:drawing>
      </w:r>
    </w:p>
    <w:p w14:paraId="7697C2D1" w14:textId="5B05F812" w:rsidR="00EA43FE" w:rsidRDefault="00EA43FE" w:rsidP="00EA43FE">
      <w:pPr>
        <w:pStyle w:val="Figuras"/>
        <w:keepNext w:val="0"/>
        <w:keepLines/>
        <w:spacing w:after="240"/>
        <w:ind w:right="709"/>
      </w:pPr>
      <w:bookmarkStart w:id="54" w:name="_Toc238816323"/>
      <w:r>
        <w:t xml:space="preserve">Figura </w:t>
      </w:r>
      <w:fldSimple w:instr=" SEQ Figura \* ARABIC ">
        <w:r>
          <w:rPr>
            <w:noProof/>
          </w:rPr>
          <w:t>16</w:t>
        </w:r>
      </w:fldSimple>
      <w:r>
        <w:t xml:space="preserve">. </w:t>
      </w:r>
      <w:r w:rsidRPr="00B27A14">
        <w:t>Diagrama de puntos (</w:t>
      </w:r>
      <w:proofErr w:type="spellStart"/>
      <w:r w:rsidRPr="00B27A14">
        <w:t>dotplot</w:t>
      </w:r>
      <w:proofErr w:type="spellEnd"/>
      <w:r w:rsidRPr="00B27A14">
        <w:t>) del análisis de enriquecimiento funcional de GO para los genes consenso subexpresados.</w:t>
      </w:r>
      <w:bookmarkEnd w:id="54"/>
    </w:p>
    <w:p w14:paraId="7AF3E48B" w14:textId="35A1AB04" w:rsidR="00EA43FE" w:rsidRDefault="00EA43FE">
      <w:pPr>
        <w:spacing w:before="0" w:after="0" w:line="240" w:lineRule="auto"/>
        <w:jc w:val="left"/>
      </w:pPr>
      <w:r>
        <w:t xml:space="preserve"> </w:t>
      </w:r>
      <w:r>
        <w:br w:type="page"/>
      </w:r>
    </w:p>
    <w:p w14:paraId="3DE7D0B9" w14:textId="77777777" w:rsidR="00EA43FE" w:rsidRDefault="00EA43FE" w:rsidP="00EA43FE">
      <w:pPr>
        <w:keepNext/>
        <w:spacing w:after="0"/>
        <w:jc w:val="center"/>
      </w:pPr>
      <w:r>
        <w:rPr>
          <w:noProof/>
        </w:rPr>
        <w:lastRenderedPageBreak/>
        <w:drawing>
          <wp:inline distT="0" distB="0" distL="0" distR="0" wp14:anchorId="132327BC" wp14:editId="6FCA5D72">
            <wp:extent cx="5755155" cy="2563091"/>
            <wp:effectExtent l="0" t="0" r="0" b="8890"/>
            <wp:docPr id="1531859920"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t="7452" b="3584"/>
                    <a:stretch>
                      <a:fillRect/>
                    </a:stretch>
                  </pic:blipFill>
                  <pic:spPr bwMode="auto">
                    <a:xfrm>
                      <a:off x="0" y="0"/>
                      <a:ext cx="5756275" cy="2563590"/>
                    </a:xfrm>
                    <a:prstGeom prst="rect">
                      <a:avLst/>
                    </a:prstGeom>
                    <a:noFill/>
                    <a:ln>
                      <a:noFill/>
                    </a:ln>
                    <a:extLst>
                      <a:ext uri="{53640926-AAD7-44D8-BBD7-CCE9431645EC}">
                        <a14:shadowObscured xmlns:a14="http://schemas.microsoft.com/office/drawing/2010/main"/>
                      </a:ext>
                    </a:extLst>
                  </pic:spPr>
                </pic:pic>
              </a:graphicData>
            </a:graphic>
          </wp:inline>
        </w:drawing>
      </w:r>
    </w:p>
    <w:p w14:paraId="013F27B2" w14:textId="3BB77D8D" w:rsidR="00EA43FE" w:rsidRDefault="00EA43FE" w:rsidP="00EA43FE">
      <w:pPr>
        <w:pStyle w:val="Figuras"/>
        <w:keepNext w:val="0"/>
        <w:keepLines/>
        <w:spacing w:after="240"/>
        <w:ind w:right="709"/>
      </w:pPr>
      <w:bookmarkStart w:id="55" w:name="_Toc238816324"/>
      <w:r>
        <w:t xml:space="preserve">Figura </w:t>
      </w:r>
      <w:fldSimple w:instr=" SEQ Figura \* ARABIC ">
        <w:r>
          <w:rPr>
            <w:noProof/>
          </w:rPr>
          <w:t>17</w:t>
        </w:r>
      </w:fldSimple>
      <w:r>
        <w:t xml:space="preserve">. </w:t>
      </w:r>
      <w:r w:rsidRPr="00E57056">
        <w:t>Diagrama de puntos (</w:t>
      </w:r>
      <w:proofErr w:type="spellStart"/>
      <w:r w:rsidRPr="00E57056">
        <w:t>dotplot</w:t>
      </w:r>
      <w:proofErr w:type="spellEnd"/>
      <w:r w:rsidRPr="00E57056">
        <w:t>) del análisis de enriquecimiento funcional de KEGG para los genes consenso subexpresados.</w:t>
      </w:r>
      <w:bookmarkEnd w:id="55"/>
    </w:p>
    <w:p w14:paraId="68BA0A71" w14:textId="77777777" w:rsidR="00EA43FE" w:rsidRDefault="00EA43FE" w:rsidP="00EA43FE">
      <w:pPr>
        <w:pStyle w:val="Figuras"/>
        <w:keepNext w:val="0"/>
        <w:keepLines/>
        <w:spacing w:after="240"/>
        <w:ind w:right="709"/>
      </w:pPr>
    </w:p>
    <w:p w14:paraId="23F9DB7F" w14:textId="77777777" w:rsidR="00EA43FE" w:rsidRDefault="00EA43FE" w:rsidP="00EA43FE">
      <w:pPr>
        <w:keepNext/>
      </w:pPr>
      <w:r>
        <w:rPr>
          <w:noProof/>
        </w:rPr>
        <w:drawing>
          <wp:inline distT="0" distB="0" distL="0" distR="0" wp14:anchorId="4625F095" wp14:editId="442F9094">
            <wp:extent cx="5749192" cy="4478382"/>
            <wp:effectExtent l="0" t="0" r="4445" b="0"/>
            <wp:docPr id="139509822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l="2141" t="4715"/>
                    <a:stretch>
                      <a:fillRect/>
                    </a:stretch>
                  </pic:blipFill>
                  <pic:spPr bwMode="auto">
                    <a:xfrm>
                      <a:off x="0" y="0"/>
                      <a:ext cx="5755532" cy="4483320"/>
                    </a:xfrm>
                    <a:prstGeom prst="rect">
                      <a:avLst/>
                    </a:prstGeom>
                    <a:noFill/>
                    <a:ln>
                      <a:noFill/>
                    </a:ln>
                    <a:extLst>
                      <a:ext uri="{53640926-AAD7-44D8-BBD7-CCE9431645EC}">
                        <a14:shadowObscured xmlns:a14="http://schemas.microsoft.com/office/drawing/2010/main"/>
                      </a:ext>
                    </a:extLst>
                  </pic:spPr>
                </pic:pic>
              </a:graphicData>
            </a:graphic>
          </wp:inline>
        </w:drawing>
      </w:r>
    </w:p>
    <w:p w14:paraId="7CB8D9A8" w14:textId="38D6C2EA" w:rsidR="00D609F8" w:rsidRDefault="00EA43FE" w:rsidP="00751ECC">
      <w:pPr>
        <w:pStyle w:val="Figuras"/>
        <w:keepNext w:val="0"/>
        <w:keepLines/>
        <w:spacing w:after="240"/>
        <w:ind w:right="709"/>
      </w:pPr>
      <w:bookmarkStart w:id="56" w:name="_Toc238816325"/>
      <w:r>
        <w:t xml:space="preserve">Figura </w:t>
      </w:r>
      <w:fldSimple w:instr=" SEQ Figura \* ARABIC ">
        <w:r>
          <w:t>18</w:t>
        </w:r>
      </w:fldSimple>
      <w:r>
        <w:t xml:space="preserve">. </w:t>
      </w:r>
      <w:r w:rsidRPr="00F5783D">
        <w:t>Gráfico de red gen-concepto (</w:t>
      </w:r>
      <w:proofErr w:type="spellStart"/>
      <w:r w:rsidRPr="00F5783D">
        <w:t>cnetplot</w:t>
      </w:r>
      <w:proofErr w:type="spellEnd"/>
      <w:r w:rsidRPr="00F5783D">
        <w:t>) del análisis de enriquecimiento funcional de KEGG para los genes consenso subexpresados.</w:t>
      </w:r>
      <w:bookmarkEnd w:id="56"/>
      <w:r w:rsidR="00D609F8">
        <w:br w:type="page"/>
      </w:r>
    </w:p>
    <w:p w14:paraId="210EE963" w14:textId="7B2B5009" w:rsidR="00F3241D" w:rsidRDefault="00F3241D" w:rsidP="00AD7D03">
      <w:pPr>
        <w:pStyle w:val="Ttulo1"/>
        <w:rPr>
          <w:caps w:val="0"/>
        </w:rPr>
      </w:pPr>
      <w:bookmarkStart w:id="57" w:name="_Toc239417054"/>
      <w:r w:rsidRPr="00AD7D03">
        <w:rPr>
          <w:caps w:val="0"/>
        </w:rPr>
        <w:lastRenderedPageBreak/>
        <w:t>Discusión</w:t>
      </w:r>
      <w:bookmarkEnd w:id="57"/>
    </w:p>
    <w:p w14:paraId="62528969" w14:textId="12E13B3A" w:rsidR="0099378D" w:rsidRPr="003A1298" w:rsidRDefault="00105530" w:rsidP="00E44A1B">
      <w:r w:rsidRPr="00105530">
        <w:t xml:space="preserve">La integración cruzada mediante el </w:t>
      </w:r>
      <w:proofErr w:type="gramStart"/>
      <w:r w:rsidRPr="00105530">
        <w:t>meta-análisis</w:t>
      </w:r>
      <w:proofErr w:type="gramEnd"/>
      <w:r w:rsidRPr="00105530">
        <w:t xml:space="preserve"> de las seis cohortes independientes ha permitido aislar el núcleo transcriptómico característico del adenocarcinoma de colon. En el análisis bioinformático de datos </w:t>
      </w:r>
      <w:r>
        <w:t>ómicos</w:t>
      </w:r>
      <w:r w:rsidRPr="00105530">
        <w:t xml:space="preserve">, </w:t>
      </w:r>
      <w:r w:rsidR="003A1298" w:rsidRPr="003A1298">
        <w:t>combinar matrices de plataformas heterogéneas y diferentes flujos de preprocesamiento suele comprometer los resultados por el riesgo de amplificar el ruido técnico</w:t>
      </w:r>
      <w:r w:rsidRPr="00105530">
        <w:t xml:space="preserve">. </w:t>
      </w:r>
      <w:r w:rsidR="00835E23" w:rsidRPr="00835E23">
        <w:t xml:space="preserve">Frente a aproximaciones comunes como la fusión directa de matrices, en este trabajo se optó por una estrategia de intersección estricta entre todos los conjuntos de datos. </w:t>
      </w:r>
      <w:r w:rsidR="003A1298" w:rsidRPr="003A1298">
        <w:t>Aunque esta decisión metodológica prioriza la especificidad sobre la sensibilidad al descartar genes con alteraciones menos uniformes, su aplicación garantiza una señal biológica altamente consistente y robusta</w:t>
      </w:r>
      <w:r w:rsidR="00835E23" w:rsidRPr="00835E23">
        <w:t xml:space="preserve">. De este modo, la firma consenso resultante de 325 genes </w:t>
      </w:r>
      <w:r w:rsidR="003A1298">
        <w:t>evidencia</w:t>
      </w:r>
      <w:r w:rsidR="00835E23" w:rsidRPr="00835E23">
        <w:t xml:space="preserve"> alteraciones moleculares estables que se conservan de forma inequívoca a pesar de las notables diferencias técnicas y de tamaño muestral de cada cohorte.</w:t>
      </w:r>
    </w:p>
    <w:p w14:paraId="541C516E" w14:textId="0FF74880" w:rsidR="00F3241D" w:rsidRDefault="00F3241D" w:rsidP="00F3241D">
      <w:pPr>
        <w:pStyle w:val="Ttulo2"/>
        <w:rPr>
          <w:caps w:val="0"/>
        </w:rPr>
      </w:pPr>
      <w:bookmarkStart w:id="58" w:name="_Toc239417055"/>
      <w:r w:rsidRPr="00101A07">
        <w:rPr>
          <w:caps w:val="0"/>
        </w:rPr>
        <w:t xml:space="preserve">Interpretación de los </w:t>
      </w:r>
      <w:r w:rsidR="00E44A1B">
        <w:rPr>
          <w:caps w:val="0"/>
        </w:rPr>
        <w:t>B</w:t>
      </w:r>
      <w:r w:rsidRPr="00101A07">
        <w:rPr>
          <w:caps w:val="0"/>
        </w:rPr>
        <w:t xml:space="preserve">iomarcadores </w:t>
      </w:r>
      <w:r w:rsidR="00E44A1B">
        <w:rPr>
          <w:caps w:val="0"/>
        </w:rPr>
        <w:t>Clave</w:t>
      </w:r>
      <w:bookmarkEnd w:id="58"/>
    </w:p>
    <w:p w14:paraId="0CD786C4" w14:textId="7F6F839D" w:rsidR="00E44A1B" w:rsidRPr="00E44A1B" w:rsidRDefault="003A1298" w:rsidP="00E44A1B">
      <w:r w:rsidRPr="003A1298">
        <w:t xml:space="preserve">Para dar sentido biológico y clínico al núcleo de genes que integran la firma consenso, las alteraciones identificadas se estructuran en dos ejes funcionales complementarios. Por un lado, el </w:t>
      </w:r>
      <w:r w:rsidRPr="00662E75">
        <w:t>eje de activación</w:t>
      </w:r>
      <w:r w:rsidRPr="003A1298">
        <w:t xml:space="preserve"> agrupa a aquellos marcadores sobreexpresados que reflejan la ganancia de capacidades de invasión, proliferación y respuesta estromal en el tejido tumoral. Por otro lado, el </w:t>
      </w:r>
      <w:r w:rsidRPr="00662E75">
        <w:t>eje de represión</w:t>
      </w:r>
      <w:r w:rsidRPr="003A1298">
        <w:t xml:space="preserve"> reúne a los transcritos subexpresados, vinculados de forma directa con la desdiferenciación celular y la pérdida de la identidad fisiológica propia del colonocito maduro. Este marco analítico permite evaluar de manera individual el papel de los biomarcadores más robustos del estudio y su comportamiento en la patología. </w:t>
      </w:r>
    </w:p>
    <w:p w14:paraId="5D6CDA53" w14:textId="75E79B2E" w:rsidR="00F3241D" w:rsidRDefault="00E44A1B" w:rsidP="00F3241D">
      <w:pPr>
        <w:pStyle w:val="Ttulo3"/>
      </w:pPr>
      <w:bookmarkStart w:id="59" w:name="_Toc239417056"/>
      <w:r w:rsidRPr="00E44A1B">
        <w:t xml:space="preserve">Eje de </w:t>
      </w:r>
      <w:r w:rsidR="00835045">
        <w:t>A</w:t>
      </w:r>
      <w:r w:rsidRPr="00E44A1B">
        <w:t>ctivación: invasión, proliferación y estroma reactivo</w:t>
      </w:r>
      <w:bookmarkEnd w:id="59"/>
    </w:p>
    <w:p w14:paraId="7EC54C54" w14:textId="3CFE7C31" w:rsidR="0086137A" w:rsidRDefault="0086137A" w:rsidP="0086137A">
      <w:r w:rsidRPr="0086137A">
        <w:t>El análisis de los 155 genes sobreexpresados en las seis cohortes muestra cómo el tumor modifica su microambiente para adquirir propiedades invasivas y favorecer su crecimiento.</w:t>
      </w:r>
      <w:r w:rsidR="00E53263" w:rsidRPr="00522F37">
        <w:t xml:space="preserve"> El grupo funcional más destacado en este eje está relacionado con el remodelado de la matriz extracelular (MEC) y el desarrollo del estroma </w:t>
      </w:r>
      <w:proofErr w:type="spellStart"/>
      <w:r w:rsidR="00E53263" w:rsidRPr="00522F37">
        <w:t>desmoplásico</w:t>
      </w:r>
      <w:proofErr w:type="spellEnd"/>
      <w:r w:rsidR="00E53263" w:rsidRPr="00522F37">
        <w:t>. Entre estos genes se encuentran varias metaloproteinasas, principalmente MMP7 y MMP1, que degradan los componentes de la membrana basal y permiten la migración de las células tumorales</w:t>
      </w:r>
      <w:r w:rsidR="00F12284">
        <w:fldChar w:fldCharType="begin"/>
      </w:r>
      <w:r w:rsidR="00991CA6">
        <w:instrText xml:space="preserve"> ADDIN ZOTERO_ITEM CSL_CITATION {"citationID":"r0lZuhr9","properties":{"unsorted":false,"formattedCitation":"(13,22,36)","plainCitation":"(13,22,36)","noteIndex":0},"citationItems":[{"id":85,"uris":["http://zotero.org/users/local/sechomLT/items/SAPVJ6JV"],"itemData":{"id":85,"type":"article-journal","abstract":"Colon cancer is one of the most common cancers in the world. To identify the candidate genes in the carcinogenesis and progression of colon cancer, the microarray datasets GSE10950, GSE44861 and GSE74602 were downloaded from the Gene Expression Omnibus (GEO) database. The differentially expressed genes (DEGs) were identified, and functional enrichment analyses were performed. A total of 176 DEGs were identified, consisting of 55 genes upregulated and 121 genes downregulated in colon cancer tissues compared to non-cancerous tissues. The DEGs were mainly enriched in mineral absorption, nitrogen metabolism and complement and coagulation cascades. By using STRING database analysis, we constructed a coexpression network composed of 140 nodes and 280 edges for the DEGs with a combined score &gt;0.4 and a significant interaction relation. Thirteen hub genes were identified, and poor OS of patients was only associated with high expression of Matrix Metallopeptidase 7 (MMP7), which may be involved in the carcinogenesis, invasion or recurrence of colon cancer. In conclusion, we propose that the DEGs and hub genes identified in the present study may be regarded as diagnostic biomarkers for colon cancer. Moreover, the overexpression of MMP7 may correlate with poor prognosis.","container-title":"Medicine","DOI":"10.1097/MD.0000000000024953","ISSN":"0025-7974","issue":"9","journalAbbreviation":"Medicine (Baltimore)","page":"e24953","PMID":"33655961","PMCID":"PMC7939218","source":"PubMed Central","title":"MMP7 as a potential biomarker of colon cancer and its prognostic value by bioinformatics analysis","URL":"https://pmc.ncbi.nlm.nih.gov/articles/PMC7939218/","volume":"100","author":[{"family":"Chen","given":"Li"},{"family":"Ke","given":"Xueying"}],"accessed":{"date-parts":[["2026",7,14]]},"issued":{"date-parts":[["2021",3,5]]}}},{"id":207,"uris":["http://zotero.org/users/local/sechomLT/items/6FIITV8S"],"itemData":{"id":207,"type":"article-journal","abstract":"Background\nColorectal cancer (CRC) is a common malignant tumor with high incidence and mortality worldwide. The aim of this study was to evaluate the association between differentially expressed genes (DEGs), which may function as biomarkers for CRC prognosis and therapies, and the clinical outcome in patients with CRC.\n\nMaterial/Methods\nA total of 116 normal mucous tissue and 930 CRC tissue datasets were downloaded from the Gene Expression Omnibus database (GEO) and The Cancer Genome Atlas (TCGA). After screening DEGs based on limma package in R. Gene Ontology (GO) and KEGG enrichment analysis as well as the protein-protein interaction (PPI) networks were performed to predict the function of these DEGs. Meanwhile, Cox proportional hazards regression was used to build a prognostic model of these DEGs. Then, Kaplan-Meier risk analysis was used to test the model in TCGA datasets and validation datasets.\n\nResults\nIn the present study, 300 DEGs with 100 upregulated genes and 200 downregulated genes were identified. The PPI networks including 162 DEGs and 256 nodes were constructed and 2 modules with high degree were selected. Moreover, 5 genes (MMP1, ACSL6, SMPD1, PPARGC1A, and HEPACAM2) were identified using the Cox proportional hazards stepwise regression. Kaplan-Meier risk curve in the TCGA and validation cohorts showed that high-risk group had significantly poor overall survival than the low-risk group.\n\nConclusions\nOur study provided insights into the mechanisms of CRC formation and found 5 prognostic genes, which could potentially inform further studies and clinical therapies.","container-title":"Medical Science Monitor : International Medical Journal of Experimental and Clinical Research","DOI":"10.12659/MSM.907224","ISSN":"1234-1010","journalAbbreviation":"Med Sci Monit","page":"4625-4633","PMID":"29973580","PMCID":"PMC6065283","source":"PubMed Central","title":"Identification of Critical Genes and Five Prognostic Biomarkers Associated with Colorectal Cancer","URL":"https://pmc.ncbi.nlm.nih.gov/articles/PMC6065283/","volume":"24","author":[{"family":"Huang","given":"Zuoliang"},{"family":"Yang","given":"Qin"},{"family":"Huang","given":"Zezhi"}],"accessed":{"date-parts":[["2026",7,22]]},"issued":{"date-parts":[["2018",7,5]]}}},{"id":102,"uris":["http://zotero.org/users/local/sechomLT/items/BAZ7QHFE"],"itemData":{"id":102,"type":"article-journal","abstract":"Tumor microenvironments have a crucial role in cancer initiation and progression, and share many molecular and pathological features with wound healing process. Unless treated, tumors, however, do not heal in contrast to wounds that heal within a limited time framework. Wounds heal in coordination of a myriad of types of cells, particularly endothelial cells, leukocytes, and fibroblasts. Similar sets of cells also contribute to cancer initiation and progression, and as a consequence, anti-cancer treatment strategies have been proposed and tested by targeting endothelial cells and/or leukocytes. Compared with endothelial cells and leukocytes, less attention has been paid to the roles of cancer-associated fibroblasts (CAFs), fibroblasts present in tumor tissues, because their heterogeneity hinders the elucidation on them at cellular and molecular levels. Here, we will discuss the origin of CAFs and their crucial roles in cancer initiation and progression, and the possibility to develop a novel type of anti-cancer treatment by manipulating the migration and functions of CAFs.","container-title":"World Journal of Gastroenterology","DOI":"10.3748/wjg.v22.i23.5301","ISSN":"1007-9327","issue":"23","journalAbbreviation":"World J Gastroenterol","page":"5301-5316","PMID":"27340347","PMCID":"PMC4910652","source":"PubMed Central","title":"Fibroblasts, an inconspicuous but essential player in colon cancer development and progression","URL":"https://pmc.ncbi.nlm.nih.gov/articles/PMC4910652/","volume":"22","author":[{"family":"Mukaida","given":"Naofumi"},{"family":"Sasaki","given":"Soichiro"}],"accessed":{"date-parts":[["2026",7,14]]},"issued":{"date-parts":[["2016",6,21]]}}}],"schema":"https://github.com/citation-style-language/schema/raw/master/csl-citation.json"} </w:instrText>
      </w:r>
      <w:r w:rsidR="00F12284">
        <w:fldChar w:fldCharType="separate"/>
      </w:r>
      <w:r w:rsidR="00991CA6" w:rsidRPr="00991CA6">
        <w:rPr>
          <w:rFonts w:ascii="Calibri" w:hAnsi="Calibri" w:cs="Calibri"/>
        </w:rPr>
        <w:t>(13,22,36)</w:t>
      </w:r>
      <w:r w:rsidR="00F12284">
        <w:fldChar w:fldCharType="end"/>
      </w:r>
      <w:r w:rsidR="00E53263" w:rsidRPr="00522F37">
        <w:t>.</w:t>
      </w:r>
      <w:r w:rsidR="00E53263" w:rsidRPr="00E53263">
        <w:t xml:space="preserve"> </w:t>
      </w:r>
      <w:r w:rsidR="005A72EE" w:rsidRPr="00E25E56">
        <w:t>Esta actividad proteolítica se complementa con la deposición</w:t>
      </w:r>
      <w:r w:rsidR="005A72EE">
        <w:t xml:space="preserve"> </w:t>
      </w:r>
      <w:r w:rsidR="005A72EE" w:rsidRPr="00E25E56">
        <w:t>de factores estructurales anómalos como los colágenos COL1A1</w:t>
      </w:r>
      <w:r w:rsidR="00665203">
        <w:t xml:space="preserve"> </w:t>
      </w:r>
      <w:r w:rsidR="005A72EE" w:rsidRPr="00E25E56">
        <w:t>y COL11A1</w:t>
      </w:r>
      <w:r w:rsidR="00F12284">
        <w:fldChar w:fldCharType="begin"/>
      </w:r>
      <w:r w:rsidR="00991CA6">
        <w:instrText xml:space="preserve"> ADDIN ZOTERO_ITEM CSL_CITATION {"citationID":"nnPpBARb","properties":{"unsorted":false,"formattedCitation":"(5,7,37)","plainCitation":"(5,7,37)","noteIndex":0},"citationItems":[{"id":57,"uris":["http://zotero.org/users/local/sechomLT/items/T3FSIKQS"],"itemData":{"id":57,"type":"article-journal","abstract":"While both incidence and mortality of sporadic average‐onset colorectal cancer (AO CRC, above 50 years of age) are in constant decline, sporadic early‐onset colorectal cancer (EO CRC, under 50 years of age) is rising rapidly. Yet, the causes behind this rise remain poorly understood. Epidemiological studies indicate that lifestyle and environmental exposures may result in chronic inflammation, which is known to trigger tissue fibrosis. This study tests the hypothesis that fibrotic remodeling and biomechanical stiffening of colorectal tissues represent measurable hallmarks and potential drivers of EO CRC. Using primary human tissues, this work shows that EO CRC is associated with changes in collagen microstructure, increased stiffness, and elevated viscosity of primary tumors. Spatial transcriptional profiling and immunostaining reveal pro‐fibrotic signatures in stromal cells, alongside enhanced Yes‐associated protein (YAP) mechanotransduction and proliferation in epithelial cells of EO CRC tissues. Mechanistically, increasing matrix stiffness in vitro promotes proliferation of epithelial cells in 2D and 3D colorectal cancer models. Together, these findings establish EO CRC as a disease marked by early and widespread biomechanical remodeling, suggesting that a fibrotic and stiffened tissue microenvironment may orchestrate EO CRC tumor initiation., This study identifies a unique physical signature of colorectal cancer in younger adults: their tissues are mechanically stiffer than those in older patients with the same cancer. Furthermore, stromal remodeling in early‐onset colorectal cancer promotes epithelial mechanotransduction and proliferation, showing how mechanical alterations in the tissue microenvironment may drive progression of this rising disease.","container-title":"Advanced Science","DOI":"10.1002/advs.202514693","ISSN":"2198-3844","issue":"6","journalAbbreviation":"Adv Sci (Weinh)","page":"e14693","PMID":"41324334","PMCID":"PMC12866780","source":"PubMed Central","title":"Biomechanical Phenotyping Reveals Unique Mechanobiological Signatures of Early‐Onset Colorectal Cancer","URL":"https://pmc.ncbi.nlm.nih.gov/articles/PMC12866780/","volume":"13","author":[{"family":"Huning","given":"Nicole C."},{"family":"Buhaya","given":"Munir H."},{"family":"Nguyen","given":"Victor V."},{"family":"Khazi‐Syed","given":"Afeefah"},{"family":"Ali","given":"Haider A."},{"family":"Khan","given":"Adil"},{"family":"Fan","given":"Angela"},{"family":"Fisher","given":"Robert C."},{"family":"Chi","given":"Zhikai"},{"family":"Raman","given":"Indu"},{"family":"Chen","given":"Guangchun"},{"family":"Zhu","given":"Chengsong"},{"family":"Yu","given":"Mengxi"},{"family":"Jamieson","given":"Andrew R."},{"family":"Roccabianca","given":"Sara"},{"family":"Varner","given":"Victor D."},{"family":"Lewis","given":"Cheryl M."},{"family":"Huang","given":"Emina H."},{"family":"Ferruzzi","given":"Jacopo"}],"accessed":{"date-parts":[["2026",7,12]]},"issued":{"date-parts":[["2025",12,1]]}}},{"id":78,"uris":["http://zotero.org/users/local/sechomLT/items/736SCXWW"],"itemData":{"id":78,"type":"article-journal","abstract":"Collagen remodeling in the extracellular matrix drives alterations in the physical, mechanical, and optical properties of tissues, representing a fundamental biophysical hallmark of colorectal cancer (CRC) progression. These changes, reflected in variations in collagen composition, molecular orientation, and cross-linking density, transform tissue stiffness, elasticity, and anisotropy, directly influencing cancer cell behavior and mechanotransduction. Understanding these structural and physical transitions requires analytical methods capable of probing the molecular origins of biomechanical alteration in situ. Spectroscopic and optical methodologies provide high-resolution, label-free detection of the vibrational, optical, and mechanical alteration associated with collagen remodeling. These techniques capture the shifts in molecular vibrational modes, nonlinear optical responses, and scattering anisotropy that arise from collagen fibril alignment, structural disorder, and cross-link formation, thereby connecting molecular architecture to measurable macroscale biomechanics. The integration of multimodal spectroscopy and incorporation of machine learning algorithms further enhance diagnostic performance by resolving complex tissue heterogeneity and improving tumor margin detection. Overall, this review demonstrates how spectroscopic techniques can be applied in the biomedical field for cancer detection by analyzing collagen remodeling and structural alterations.","container-title":"Physics of Life Reviews","DOI":"10.1016/j.plrev.2026.01.009","ISSN":"1571-0645","journalAbbreviation":"Physics of Life Reviews","page":"239-257","source":"ScienceDirect","title":"Biophysical approaches to cancer diagnostics: Collagen biomarkers in colorectal cancer","title-short":"Biophysical approaches to cancer diagnostics","URL":"https://www.sciencedirect.com/science/article/pii/S1571064526000096","volume":"56","author":[{"family":"Biswas","given":"Shimul"},{"family":"Mahato","given":"Krishna Kishore"}],"accessed":{"date-parts":[["2026",7,14]]},"issued":{"date-parts":[["2026",3,1]]}}},{"id":94,"uris":["http://zotero.org/users/local/sechomLT/items/Z8C8DELI"],"itemData":{"id":94,"type":"article-journal","abstract":"INTRODUCTION: The histologic distinction between benign misplaced adenomatous mucosa and invasive adenocarcinoma in colorectal polyps can be challenging. The α1 chain of type XI collagen (COL11A1) has been shown to be overexpressed in cancer-associated stromal fibroblasts. The aim of this study was to investigate the operating characteristics of COL11A1 immunostaining in benign and malignant colorectal polyps as a potential diagnostic aid.\nMATERIALS AND METHODS: Sixty-six endoscopically-removed paraffin-embedded colorectal polyps were stained with anti-COL11A1 antibody. They comprised 50 malignant polyps (MPs) with invasive adenocarcinoma (including 5 with concurrent benign misplaced adenomatous mucosa) and 16 adenomas, 11 with and 5 without benign misplaced adenomatous mucosa.\nRESULTS: COL11A1 was expressed either diffusely or focally in cancer-associated desmoplastic fibroblasts in 72.0% (36/50) of MPs. The rates of COL11A1 expression and the immunohistochemical staining patterns of the COL11A1 were positively correlated with the depth of cancer invasion in MPs. COL11A1 was expressed in all 9 (100%) MPs with a mucinous component and in 16/18 (88.9%) MPs associated with significant electrocautery effects. COL11A1 was not expressed adjacent to conventional adenomas or in the stroma adjacent to misplaced adenomatous mucosa.\nCONCLUSIONS: COL11A1 antibody can assist in distinguishing the cancer-associated desmoplastic stroma from that associated with misplaced adenomatous mucosa. It is particularly helpful when electrocautery artifacts or mucin pools interfere with the diagnosis of invasive carcinoma. However, COL11A1 has limited value in diagnosing superfically invasive carcinomas with very little desmoplastic stroma due to its low positive rate and focal expression in some cases.","container-title":"Pathology, Research and Practice","DOI":"10.1016/j.prp.2016.03.005","ISSN":"1618-0631","issue":"6","journalAbbreviation":"Pathol Res Pract","language":"eng","page":"545-548","PMID":"27021528","source":"PubMed","title":"Overexpression of α1 chain of type XI collagen (COL11A1) aids in the diagnosis of invasive carcinoma in endoscopically removed malignant colorectal polyps","volume":"212","author":[{"family":"Zhang","given":"Dongwei"},{"family":"Zhu","given":"Hongfa"},{"family":"Harpaz","given":"Noam"}],"issued":{"date-parts":[["2016",6]]}}}],"schema":"https://github.com/citation-style-language/schema/raw/master/csl-citation.json"} </w:instrText>
      </w:r>
      <w:r w:rsidR="00F12284">
        <w:fldChar w:fldCharType="separate"/>
      </w:r>
      <w:r w:rsidR="00991CA6" w:rsidRPr="00991CA6">
        <w:rPr>
          <w:rFonts w:ascii="Calibri" w:hAnsi="Calibri" w:cs="Calibri"/>
        </w:rPr>
        <w:t>(5,7,37)</w:t>
      </w:r>
      <w:r w:rsidR="00F12284">
        <w:fldChar w:fldCharType="end"/>
      </w:r>
      <w:r w:rsidR="006D1143">
        <w:t xml:space="preserve">. </w:t>
      </w:r>
      <w:r w:rsidR="006D1143" w:rsidRPr="006D1143">
        <w:t xml:space="preserve">En concreto, la sobreexpresión de COL1A1 y COL11A1 </w:t>
      </w:r>
      <w:r w:rsidR="006D1143" w:rsidRPr="006D1143">
        <w:lastRenderedPageBreak/>
        <w:t>evidencia la activación de los fibroblastos asociados al cáncer (</w:t>
      </w:r>
      <w:proofErr w:type="spellStart"/>
      <w:r w:rsidR="006D1143" w:rsidRPr="006D1143">
        <w:t>CAFs</w:t>
      </w:r>
      <w:proofErr w:type="spellEnd"/>
      <w:r w:rsidR="006D1143" w:rsidRPr="006D1143">
        <w:t>)</w:t>
      </w:r>
      <w:r w:rsidR="00F12284">
        <w:fldChar w:fldCharType="begin"/>
      </w:r>
      <w:r w:rsidR="00991CA6">
        <w:instrText xml:space="preserve"> ADDIN ZOTERO_ITEM CSL_CITATION {"citationID":"ZRgoC3k2","properties":{"unsorted":false,"formattedCitation":"(5,7,37)","plainCitation":"(5,7,37)","noteIndex":0},"citationItems":[{"id":57,"uris":["http://zotero.org/users/local/sechomLT/items/T3FSIKQS"],"itemData":{"id":57,"type":"article-journal","abstract":"While both incidence and mortality of sporadic average‐onset colorectal cancer (AO CRC, above 50 years of age) are in constant decline, sporadic early‐onset colorectal cancer (EO CRC, under 50 years of age) is rising rapidly. Yet, the causes behind this rise remain poorly understood. Epidemiological studies indicate that lifestyle and environmental exposures may result in chronic inflammation, which is known to trigger tissue fibrosis. This study tests the hypothesis that fibrotic remodeling and biomechanical stiffening of colorectal tissues represent measurable hallmarks and potential drivers of EO CRC. Using primary human tissues, this work shows that EO CRC is associated with changes in collagen microstructure, increased stiffness, and elevated viscosity of primary tumors. Spatial transcriptional profiling and immunostaining reveal pro‐fibrotic signatures in stromal cells, alongside enhanced Yes‐associated protein (YAP) mechanotransduction and proliferation in epithelial cells of EO CRC tissues. Mechanistically, increasing matrix stiffness in vitro promotes proliferation of epithelial cells in 2D and 3D colorectal cancer models. Together, these findings establish EO CRC as a disease marked by early and widespread biomechanical remodeling, suggesting that a fibrotic and stiffened tissue microenvironment may orchestrate EO CRC tumor initiation., This study identifies a unique physical signature of colorectal cancer in younger adults: their tissues are mechanically stiffer than those in older patients with the same cancer. Furthermore, stromal remodeling in early‐onset colorectal cancer promotes epithelial mechanotransduction and proliferation, showing how mechanical alterations in the tissue microenvironment may drive progression of this rising disease.","container-title":"Advanced Science","DOI":"10.1002/advs.202514693","ISSN":"2198-3844","issue":"6","journalAbbreviation":"Adv Sci (Weinh)","page":"e14693","PMID":"41324334","PMCID":"PMC12866780","source":"PubMed Central","title":"Biomechanical Phenotyping Reveals Unique Mechanobiological Signatures of Early‐Onset Colorectal Cancer","URL":"https://pmc.ncbi.nlm.nih.gov/articles/PMC12866780/","volume":"13","author":[{"family":"Huning","given":"Nicole C."},{"family":"Buhaya","given":"Munir H."},{"family":"Nguyen","given":"Victor V."},{"family":"Khazi‐Syed","given":"Afeefah"},{"family":"Ali","given":"Haider A."},{"family":"Khan","given":"Adil"},{"family":"Fan","given":"Angela"},{"family":"Fisher","given":"Robert C."},{"family":"Chi","given":"Zhikai"},{"family":"Raman","given":"Indu"},{"family":"Chen","given":"Guangchun"},{"family":"Zhu","given":"Chengsong"},{"family":"Yu","given":"Mengxi"},{"family":"Jamieson","given":"Andrew R."},{"family":"Roccabianca","given":"Sara"},{"family":"Varner","given":"Victor D."},{"family":"Lewis","given":"Cheryl M."},{"family":"Huang","given":"Emina H."},{"family":"Ferruzzi","given":"Jacopo"}],"accessed":{"date-parts":[["2026",7,12]]},"issued":{"date-parts":[["2025",12,1]]}}},{"id":78,"uris":["http://zotero.org/users/local/sechomLT/items/736SCXWW"],"itemData":{"id":78,"type":"article-journal","abstract":"Collagen remodeling in the extracellular matrix drives alterations in the physical, mechanical, and optical properties of tissues, representing a fundamental biophysical hallmark of colorectal cancer (CRC) progression. These changes, reflected in variations in collagen composition, molecular orientation, and cross-linking density, transform tissue stiffness, elasticity, and anisotropy, directly influencing cancer cell behavior and mechanotransduction. Understanding these structural and physical transitions requires analytical methods capable of probing the molecular origins of biomechanical alteration in situ. Spectroscopic and optical methodologies provide high-resolution, label-free detection of the vibrational, optical, and mechanical alteration associated with collagen remodeling. These techniques capture the shifts in molecular vibrational modes, nonlinear optical responses, and scattering anisotropy that arise from collagen fibril alignment, structural disorder, and cross-link formation, thereby connecting molecular architecture to measurable macroscale biomechanics. The integration of multimodal spectroscopy and incorporation of machine learning algorithms further enhance diagnostic performance by resolving complex tissue heterogeneity and improving tumor margin detection. Overall, this review demonstrates how spectroscopic techniques can be applied in the biomedical field for cancer detection by analyzing collagen remodeling and structural alterations.","container-title":"Physics of Life Reviews","DOI":"10.1016/j.plrev.2026.01.009","ISSN":"1571-0645","journalAbbreviation":"Physics of Life Reviews","page":"239-257","source":"ScienceDirect","title":"Biophysical approaches to cancer diagnostics: Collagen biomarkers in colorectal cancer","title-short":"Biophysical approaches to cancer diagnostics","URL":"https://www.sciencedirect.com/science/article/pii/S1571064526000096","volume":"56","author":[{"family":"Biswas","given":"Shimul"},{"family":"Mahato","given":"Krishna Kishore"}],"accessed":{"date-parts":[["2026",7,14]]},"issued":{"date-parts":[["2026",3,1]]}}},{"id":94,"uris":["http://zotero.org/users/local/sechomLT/items/Z8C8DELI"],"itemData":{"id":94,"type":"article-journal","abstract":"INTRODUCTION: The histologic distinction between benign misplaced adenomatous mucosa and invasive adenocarcinoma in colorectal polyps can be challenging. The α1 chain of type XI collagen (COL11A1) has been shown to be overexpressed in cancer-associated stromal fibroblasts. The aim of this study was to investigate the operating characteristics of COL11A1 immunostaining in benign and malignant colorectal polyps as a potential diagnostic aid.\nMATERIALS AND METHODS: Sixty-six endoscopically-removed paraffin-embedded colorectal polyps were stained with anti-COL11A1 antibody. They comprised 50 malignant polyps (MPs) with invasive adenocarcinoma (including 5 with concurrent benign misplaced adenomatous mucosa) and 16 adenomas, 11 with and 5 without benign misplaced adenomatous mucosa.\nRESULTS: COL11A1 was expressed either diffusely or focally in cancer-associated desmoplastic fibroblasts in 72.0% (36/50) of MPs. The rates of COL11A1 expression and the immunohistochemical staining patterns of the COL11A1 were positively correlated with the depth of cancer invasion in MPs. COL11A1 was expressed in all 9 (100%) MPs with a mucinous component and in 16/18 (88.9%) MPs associated with significant electrocautery effects. COL11A1 was not expressed adjacent to conventional adenomas or in the stroma adjacent to misplaced adenomatous mucosa.\nCONCLUSIONS: COL11A1 antibody can assist in distinguishing the cancer-associated desmoplastic stroma from that associated with misplaced adenomatous mucosa. It is particularly helpful when electrocautery artifacts or mucin pools interfere with the diagnosis of invasive carcinoma. However, COL11A1 has limited value in diagnosing superfically invasive carcinomas with very little desmoplastic stroma due to its low positive rate and focal expression in some cases.","container-title":"Pathology, Research and Practice","DOI":"10.1016/j.prp.2016.03.005","ISSN":"1618-0631","issue":"6","journalAbbreviation":"Pathol Res Pract","language":"eng","page":"545-548","PMID":"27021528","source":"PubMed","title":"Overexpression of α1 chain of type XI collagen (COL11A1) aids in the diagnosis of invasive carcinoma in endoscopically removed malignant colorectal polyps","volume":"212","author":[{"family":"Zhang","given":"Dongwei"},{"family":"Zhu","given":"Hongfa"},{"family":"Harpaz","given":"Noam"}],"issued":{"date-parts":[["2016",6]]}}}],"schema":"https://github.com/citation-style-language/schema/raw/master/csl-citation.json"} </w:instrText>
      </w:r>
      <w:r w:rsidR="00F12284">
        <w:fldChar w:fldCharType="separate"/>
      </w:r>
      <w:r w:rsidR="00991CA6" w:rsidRPr="00991CA6">
        <w:rPr>
          <w:rFonts w:ascii="Calibri" w:hAnsi="Calibri" w:cs="Calibri"/>
        </w:rPr>
        <w:t>(5,7,37)</w:t>
      </w:r>
      <w:r w:rsidR="00F12284">
        <w:fldChar w:fldCharType="end"/>
      </w:r>
      <w:r w:rsidR="006D1143" w:rsidRPr="006D1143">
        <w:t xml:space="preserve">. La síntesis excesiva de estas proteínas estructurales altera las propiedades del estroma, lo que incrementa la rigidez del nicho celular y promueve la </w:t>
      </w:r>
      <w:proofErr w:type="spellStart"/>
      <w:r w:rsidR="006D1143" w:rsidRPr="006D1143">
        <w:t>mecanotransducción</w:t>
      </w:r>
      <w:proofErr w:type="spellEnd"/>
      <w:r w:rsidR="006D1143" w:rsidRPr="006D1143">
        <w:t xml:space="preserve"> oncogénica</w:t>
      </w:r>
      <w:r w:rsidR="00390AD0">
        <w:fldChar w:fldCharType="begin"/>
      </w:r>
      <w:r w:rsidR="00D70B8B">
        <w:instrText xml:space="preserve"> ADDIN ZOTERO_ITEM CSL_CITATION {"citationID":"FxhSTTXO","properties":{"unsorted":false,"formattedCitation":"(5,7)","plainCitation":"(5,7)","noteIndex":0},"citationItems":[{"id":57,"uris":["http://zotero.org/users/local/sechomLT/items/T3FSIKQS"],"itemData":{"id":57,"type":"article-journal","abstract":"While both incidence and mortality of sporadic average‐onset colorectal cancer (AO CRC, above 50 years of age) are in constant decline, sporadic early‐onset colorectal cancer (EO CRC, under 50 years of age) is rising rapidly. Yet, the causes behind this rise remain poorly understood. Epidemiological studies indicate that lifestyle and environmental exposures may result in chronic inflammation, which is known to trigger tissue fibrosis. This study tests the hypothesis that fibrotic remodeling and biomechanical stiffening of colorectal tissues represent measurable hallmarks and potential drivers of EO CRC. Using primary human tissues, this work shows that EO CRC is associated with changes in collagen microstructure, increased stiffness, and elevated viscosity of primary tumors. Spatial transcriptional profiling and immunostaining reveal pro‐fibrotic signatures in stromal cells, alongside enhanced Yes‐associated protein (YAP) mechanotransduction and proliferation in epithelial cells of EO CRC tissues. Mechanistically, increasing matrix stiffness in vitro promotes proliferation of epithelial cells in 2D and 3D colorectal cancer models. Together, these findings establish EO CRC as a disease marked by early and widespread biomechanical remodeling, suggesting that a fibrotic and stiffened tissue microenvironment may orchestrate EO CRC tumor initiation., This study identifies a unique physical signature of colorectal cancer in younger adults: their tissues are mechanically stiffer than those in older patients with the same cancer. Furthermore, stromal remodeling in early‐onset colorectal cancer promotes epithelial mechanotransduction and proliferation, showing how mechanical alterations in the tissue microenvironment may drive progression of this rising disease.","container-title":"Advanced Science","DOI":"10.1002/advs.202514693","ISSN":"2198-3844","issue":"6","journalAbbreviation":"Adv Sci (Weinh)","page":"e14693","PMID":"41324334","PMCID":"PMC12866780","source":"PubMed Central","title":"Biomechanical Phenotyping Reveals Unique Mechanobiological Signatures of Early‐Onset Colorectal Cancer","URL":"https://pmc.ncbi.nlm.nih.gov/articles/PMC12866780/","volume":"13","author":[{"family":"Huning","given":"Nicole C."},{"family":"Buhaya","given":"Munir H."},{"family":"Nguyen","given":"Victor V."},{"family":"Khazi‐Syed","given":"Afeefah"},{"family":"Ali","given":"Haider A."},{"family":"Khan","given":"Adil"},{"family":"Fan","given":"Angela"},{"family":"Fisher","given":"Robert C."},{"family":"Chi","given":"Zhikai"},{"family":"Raman","given":"Indu"},{"family":"Chen","given":"Guangchun"},{"family":"Zhu","given":"Chengsong"},{"family":"Yu","given":"Mengxi"},{"family":"Jamieson","given":"Andrew R."},{"family":"Roccabianca","given":"Sara"},{"family":"Varner","given":"Victor D."},{"family":"Lewis","given":"Cheryl M."},{"family":"Huang","given":"Emina H."},{"family":"Ferruzzi","given":"Jacopo"}],"accessed":{"date-parts":[["2026",7,12]]},"issued":{"date-parts":[["2025",12,1]]}}},{"id":78,"uris":["http://zotero.org/users/local/sechomLT/items/736SCXWW"],"itemData":{"id":78,"type":"article-journal","abstract":"Collagen remodeling in the extracellular matrix drives alterations in the physical, mechanical, and optical properties of tissues, representing a fundamental biophysical hallmark of colorectal cancer (CRC) progression. These changes, reflected in variations in collagen composition, molecular orientation, and cross-linking density, transform tissue stiffness, elasticity, and anisotropy, directly influencing cancer cell behavior and mechanotransduction. Understanding these structural and physical transitions requires analytical methods capable of probing the molecular origins of biomechanical alteration in situ. Spectroscopic and optical methodologies provide high-resolution, label-free detection of the vibrational, optical, and mechanical alteration associated with collagen remodeling. These techniques capture the shifts in molecular vibrational modes, nonlinear optical responses, and scattering anisotropy that arise from collagen fibril alignment, structural disorder, and cross-link formation, thereby connecting molecular architecture to measurable macroscale biomechanics. The integration of multimodal spectroscopy and incorporation of machine learning algorithms further enhance diagnostic performance by resolving complex tissue heterogeneity and improving tumor margin detection. Overall, this review demonstrates how spectroscopic techniques can be applied in the biomedical field for cancer detection by analyzing collagen remodeling and structural alterations.","container-title":"Physics of Life Reviews","DOI":"10.1016/j.plrev.2026.01.009","ISSN":"1571-0645","journalAbbreviation":"Physics of Life Reviews","page":"239-257","source":"ScienceDirect","title":"Biophysical approaches to cancer diagnostics: Collagen biomarkers in colorectal cancer","title-short":"Biophysical approaches to cancer diagnostics","URL":"https://www.sciencedirect.com/science/article/pii/S1571064526000096","volume":"56","author":[{"family":"Biswas","given":"Shimul"},{"family":"Mahato","given":"Krishna Kishore"}],"accessed":{"date-parts":[["2026",7,14]]},"issued":{"date-parts":[["2026",3,1]]}}}],"schema":"https://github.com/citation-style-language/schema/raw/master/csl-citation.json"} </w:instrText>
      </w:r>
      <w:r w:rsidR="00390AD0">
        <w:fldChar w:fldCharType="separate"/>
      </w:r>
      <w:r w:rsidR="00D70B8B" w:rsidRPr="00D70B8B">
        <w:rPr>
          <w:rFonts w:ascii="Calibri" w:hAnsi="Calibri" w:cs="Calibri"/>
        </w:rPr>
        <w:t>(5,7)</w:t>
      </w:r>
      <w:r w:rsidR="00390AD0">
        <w:fldChar w:fldCharType="end"/>
      </w:r>
      <w:r w:rsidR="006D1143" w:rsidRPr="006D1143">
        <w:t>.</w:t>
      </w:r>
    </w:p>
    <w:p w14:paraId="6E73A25D" w14:textId="3E77403C" w:rsidR="001D3280" w:rsidRDefault="00D9511E" w:rsidP="00E25E56">
      <w:r w:rsidRPr="00AB5989">
        <w:t xml:space="preserve">Aunque las células neoplásicas coordinan activamente estos cambios, esta firma estromal refleja principalmente la activación del microambiente celular. La elevada expresión de marcadores como FAP (proteína de activación de fibroblastos) y LOXL2 confirma el reclutamiento y la actividad de los </w:t>
      </w:r>
      <w:proofErr w:type="spellStart"/>
      <w:r w:rsidRPr="00AB5989">
        <w:t>CAFs</w:t>
      </w:r>
      <w:proofErr w:type="spellEnd"/>
      <w:r w:rsidRPr="00AB5989">
        <w:t xml:space="preserve"> en el tejido colorrectal</w:t>
      </w:r>
      <w:r w:rsidR="00C85E93">
        <w:fldChar w:fldCharType="begin"/>
      </w:r>
      <w:r w:rsidR="00991CA6">
        <w:instrText xml:space="preserve"> ADDIN ZOTERO_ITEM CSL_CITATION {"citationID":"7rCJC3vr","properties":{"unsorted":false,"formattedCitation":"(36,38)","plainCitation":"(36,38)","noteIndex":0},"citationItems":[{"id":102,"uris":["http://zotero.org/users/local/sechomLT/items/BAZ7QHFE"],"itemData":{"id":102,"type":"article-journal","abstract":"Tumor microenvironments have a crucial role in cancer initiation and progression, and share many molecular and pathological features with wound healing process. Unless treated, tumors, however, do not heal in contrast to wounds that heal within a limited time framework. Wounds heal in coordination of a myriad of types of cells, particularly endothelial cells, leukocytes, and fibroblasts. Similar sets of cells also contribute to cancer initiation and progression, and as a consequence, anti-cancer treatment strategies have been proposed and tested by targeting endothelial cells and/or leukocytes. Compared with endothelial cells and leukocytes, less attention has been paid to the roles of cancer-associated fibroblasts (CAFs), fibroblasts present in tumor tissues, because their heterogeneity hinders the elucidation on them at cellular and molecular levels. Here, we will discuss the origin of CAFs and their crucial roles in cancer initiation and progression, and the possibility to develop a novel type of anti-cancer treatment by manipulating the migration and functions of CAFs.","container-title":"World Journal of Gastroenterology","DOI":"10.3748/wjg.v22.i23.5301","ISSN":"1007-9327","issue":"23","journalAbbreviation":"World J Gastroenterol","page":"5301-5316","PMID":"27340347","PMCID":"PMC4910652","source":"PubMed Central","title":"Fibroblasts, an inconspicuous but essential player in colon cancer development and progression","URL":"https://pmc.ncbi.nlm.nih.gov/articles/PMC4910652/","volume":"22","author":[{"family":"Mukaida","given":"Naofumi"},{"family":"Sasaki","given":"Soichiro"}],"accessed":{"date-parts":[["2026",7,14]]},"issued":{"date-parts":[["2016",6,21]]}}},{"id":114,"uris":["http://zotero.org/users/local/sechomLT/items/ZUJTZQEM"],"itemData":{"id":114,"type":"article-journal","abstract":"Purpose: Cancer-associated fibroblasts (CAF) are major mediators in tumor microenvironment. We investigated the changes in protein expression in colon cancer–associated fibroblasts compared with normal fibroblasts (NF) in the context of searching for prognostic biomarkers, particularly for stage II patients.Experimental Design: CAFs and NFs isolated from colon cancer patients were used to identify differentially expressed proteins using quantitative proteomics. Stromal expression of deregulated proteins was analyzed by IHC. Prognostic impact was studied using external gene-expression datasets for training, then quantitative PCR and IHC for validation in different cohorts of patients. Combined datasets were used for prediction of risk assessment at stages II and III.Results: A desmoplastic signature composed of 32 proteins, highly specific for stromal components in colon cancer, was identified. These proteins were enriched for extracellular matrix organization components, TGFβ signaling pathway, fibrosis, and wound-healing proteins. The expression in CAFs of 11 upregulated proteins and four downregulated proteins, selected for biomarker validation, was verified by orthogonal techniques. LOXL2 displayed a high prognostic impact by using external independent datasets and further validation in two different cohorts of patients. High expression of LOXL2 was associated with higher recurrence P = 0.001 HR, 5.38 [95% confidence interval (CI), 1.70–17.01] and overall survival P = 0.001 HR, 8.52 (95% CI, 1.90–38.29). IHC analysis revealed a prognostic value for LOXL2 in stage II patients.Conclusions: We identified LOXL2 to be associated with the outcome of colon cancer patients. Furthermore, it can be used to stratify patients at stages II and III for further therapeutic decisions. Clin Cancer Res; 21(21); 4892–902. ©2015 AACR.","container-title":"Clinical Cancer Research","DOI":"10.1158/1078-0432.CCR-14-3096","ISSN":"1078-0432","issue":"21","journalAbbreviation":"Clin Cancer Res","page":"4892-4902","source":"Silverchair","title":"LOXL2 Is Highly Expressed in Cancer-Associated Fibroblasts and Associates to Poor Colon Cancer Survival","URL":"https://doi.org/10.1158/1078-0432.CCR-14-3096","volume":"21","author":[{"family":"Torres","given":"Sofía"},{"family":"Garcia-Palmero","given":"Irene"},{"family":"Herrera","given":"Mercedes"},{"family":"Bartolomé","given":"Rubén A."},{"family":"Peña","given":"Cristina"},{"family":"Fernandez-Aceñero","given":"M. Jesús"},{"family":"Padilla","given":"Guillermo"},{"family":"Peláez-García","given":"Alberto"},{"family":"Lopez-Lucendo","given":"María"},{"family":"Rodriguez-Merlo","given":"Rufo"},{"family":"Herreros","given":"Antonio García","non-dropping-particle":"de"},{"family":"Bonilla","given":"Félix"},{"family":"Casal","given":"J. Ignacio"}],"accessed":{"date-parts":[["2026",7,14]]},"issued":{"date-parts":[["2015",11,1]]}}}],"schema":"https://github.com/citation-style-language/schema/raw/master/csl-citation.json"} </w:instrText>
      </w:r>
      <w:r w:rsidR="00C85E93">
        <w:fldChar w:fldCharType="separate"/>
      </w:r>
      <w:r w:rsidR="00991CA6" w:rsidRPr="00991CA6">
        <w:rPr>
          <w:rFonts w:ascii="Calibri" w:hAnsi="Calibri" w:cs="Calibri"/>
        </w:rPr>
        <w:t>(36,38)</w:t>
      </w:r>
      <w:r w:rsidR="00C85E93">
        <w:fldChar w:fldCharType="end"/>
      </w:r>
      <w:r w:rsidRPr="00AB5989">
        <w:t xml:space="preserve">. </w:t>
      </w:r>
      <w:r w:rsidR="002411BA">
        <w:t>L</w:t>
      </w:r>
      <w:r w:rsidR="002411BA" w:rsidRPr="002411BA">
        <w:t xml:space="preserve">os fibroblastos activados secretan proteínas estromales como </w:t>
      </w:r>
      <w:r w:rsidR="002411BA" w:rsidRPr="00AB5989">
        <w:t>CTHRC1</w:t>
      </w:r>
      <w:r w:rsidR="00326C7F">
        <w:fldChar w:fldCharType="begin"/>
      </w:r>
      <w:r w:rsidR="00991CA6">
        <w:instrText xml:space="preserve"> ADDIN ZOTERO_ITEM CSL_CITATION {"citationID":"lHXSPiPg","properties":{"unsorted":false,"formattedCitation":"(39)","plainCitation":"(39)","noteIndex":0},"citationItems":[{"id":133,"uris":["http://zotero.org/users/local/sechomLT/items/7WFRQW96"],"itemData":{"id":133,"type":"article-journal","abstract":"Collagen triple helix repeat containing 1 (CTHRC1) is a secreted protein that has previously been explored for its role in tissue remodeling and cancer. However, its function in the tumor microenvironment (TME) remains poorly understood, despite its known expression in tumor-associated stroma. Colorectal cancer (CRC), a malignancy characterized by extensive stromal involvement, poses an excellent opportunity to investigate this gap. Here, we provide the first evidence that host-derived CTHRC1 drives colon cancer progression, with this effect consistently observed across three independent cohorts. Specifically, when injected with CRC cells, Cthrc1 null (global knockout, KO) mice develop significantly smaller and less dense tumors compared to wild-type (WT) mice. Additionally, median survival increased approximately 2.5-fold in Cthrc1 KO mice, from 28 days post-inoculation in WT (n = 10) to 69 days in CTHRC1-deficient mice (n = 10), suggesting CTHRC1 promotes tumor growth within the TME. Immune cell profiling revealed differences in the composition of tumors and spleens of these mice; specifically, Cthrc1 KO mice exhibited an increased percentage of CD3+ T cells in both tumors and spleens and decreased Gr-1+ myeloid cells in the spleen, compared to WT, indicating an immunoregulatory role for CTHRC1 in CRC. These results identify CTHRC1 as a key driver of CRC that may suppress the immune system, allowing for easier immune evasion by tumor cells, highlighting CTHRC1 as a potential new target for therapy.","container-title":"Oncotarget","DOI":"10.18632/oncotarget.28878","ISSN":"1949-2553","journalAbbreviation":"Oncotarget","page":"258-267","PMID":"42191349","PMCID":"PMC13235751","source":"PubMed Central","title":"Microenvironmental CTHRC1 has a pro-tumorigenic role in colorectal cancer","URL":"https://pmc.ncbi.nlm.nih.gov/articles/PMC13235751/","volume":"17","author":[{"family":"Duval","given":"Haylee"},{"family":"Toomey","given":"Barbara"},{"family":"Karam","given":"Michelle"},{"family":"Braun","given":"Tatum"},{"family":"Fournier","given":"Daniel"},{"family":"Grant","given":"Chloe"},{"family":"Fairfield","given":"Heather"},{"family":"Chepurko","given":"Vadim"},{"family":"Chepurko","given":"Elena"},{"family":"Schimelman","given":"Allyson"},{"family":"Nestor","given":"Brian"},{"family":"Ryzhov","given":"Sergey"},{"family":"Lindner","given":"Volkhard"},{"family":"Reagan","given":"Michaela R."}],"accessed":{"date-parts":[["2026",7,15]]},"issued":{"date-parts":[["2026",5,20]]}}}],"schema":"https://github.com/citation-style-language/schema/raw/master/csl-citation.json"} </w:instrText>
      </w:r>
      <w:r w:rsidR="00326C7F">
        <w:fldChar w:fldCharType="separate"/>
      </w:r>
      <w:r w:rsidR="00991CA6" w:rsidRPr="00991CA6">
        <w:rPr>
          <w:rFonts w:ascii="Calibri" w:hAnsi="Calibri" w:cs="Calibri"/>
        </w:rPr>
        <w:t>(39)</w:t>
      </w:r>
      <w:r w:rsidR="00326C7F">
        <w:fldChar w:fldCharType="end"/>
      </w:r>
      <w:r w:rsidR="002411BA" w:rsidRPr="002411BA">
        <w:t>, un factor paracrino</w:t>
      </w:r>
      <w:r w:rsidR="00BD58DD" w:rsidRPr="00BD58DD">
        <w:t xml:space="preserve"> que establece una comunicación cruzada</w:t>
      </w:r>
      <w:r w:rsidR="00BD58DD" w:rsidRPr="00BD58DD">
        <w:rPr>
          <w:b/>
          <w:bCs/>
        </w:rPr>
        <w:t xml:space="preserve"> </w:t>
      </w:r>
      <w:r w:rsidR="00BD58DD" w:rsidRPr="00BD58DD">
        <w:t xml:space="preserve">con proteínas </w:t>
      </w:r>
      <w:proofErr w:type="spellStart"/>
      <w:r w:rsidR="00BD58DD" w:rsidRPr="00BD58DD">
        <w:t>sobreexpresadas</w:t>
      </w:r>
      <w:proofErr w:type="spellEnd"/>
      <w:r w:rsidR="00BD58DD" w:rsidRPr="00BD58DD">
        <w:t xml:space="preserve"> por las células epiteliales tumorales, como </w:t>
      </w:r>
      <w:r w:rsidR="00BD58DD" w:rsidRPr="00AB5989">
        <w:t>CEMIP</w:t>
      </w:r>
      <w:r w:rsidR="00326C7F">
        <w:fldChar w:fldCharType="begin"/>
      </w:r>
      <w:r w:rsidR="004B4551">
        <w:instrText xml:space="preserve"> ADDIN ZOTERO_ITEM CSL_CITATION {"citationID":"4fs5j38B","properties":{"unsorted":false,"formattedCitation":"(12,14)","plainCitation":"(12,14)","noteIndex":0},"citationItems":[{"id":136,"uris":["http://zotero.org/users/local/sechomLT/items/I8FJEX9X"],"itemData":{"id":136,"type":"article-journal","abstract":"Background:\nThe KIAA1199 transcript is upregulated in colon adenomas and downregulated upon β-catenin knockdown.\n\nMethods:\nTranscript profiling was performed on &gt;500 colon biopsies, methylation profiling data were compared with transcript data. Immunohistochemistry assessed KIAA1199 protein expression in 270 stage II/III tumours (&gt;3 years follow-up). The effects of stable KIAA1199 knockdown in SW480 cells (three different constructs) were studied using transcriptional profiling, proliferation and protein analysis.\n\nResults:\nThe KIAA1199 transcript was strongly upregulated in 95% of adenocarcinomas. Absent expression in normal mucosa correlated with KIAA1199 promotor methylation. Nuclear and cytoplasmic KIAA1199 protein expression was identified in colon adenocarcinomas and other types of cancers. A subpopulation of patients with tumours strongly expressing KIAA1199 in the nucleus showed a better outcome with regard to recurrence as lung or liver metastases. The KIAA1199 knockdown affected the cell cycle and the Wnt-signalling pathway. Reduced cellular proliferation and decreased KI67, phosphorylated retinoblastoma, β-catenin and ASCL2 protein expression supported these findings. Eighteen Wnt-signalling genes differentially expressed upon KIAA1199 knockdown correlated with the KIAA1199 expression profile in clinical specimens.\n\nConclusion:\nThe KIAA1199 knockdown attenuates the effects of the Wnt/β-catenin signalling and it may thus be regarded as a regulatory part of this pathway.","container-title":"British Journal of Cancer","DOI":"10.1038/bjc.2011.268","ISSN":"0007-0920","issue":"4","journalAbbreviation":"Br J Cancer","page":"552-561","PMID":"21772334","PMCID":"PMC3170968","source":"PubMed Central","title":"Repression of KIAA1199 attenuates Wnt-signalling and decreases the proliferation of colon cancer cells","URL":"https://pmc.ncbi.nlm.nih.gov/articles/PMC3170968/","volume":"105","author":[{"family":"Birkenkamp-Demtroder","given":"K"},{"family":"Maghnouj","given":"A"},{"family":"Mansilla","given":"F"},{"family":"Thorsen","given":"K"},{"family":"Andersen","given":"C L"},{"family":"Øster","given":"B"},{"family":"Hahn","given":"S"},{"family":"Ørntoft","given":"T F"}],"accessed":{"date-parts":[["2026",7,15]]},"issued":{"date-parts":[["2011",8,9]]}}},{"id":130,"uris":["http://zotero.org/users/local/sechomLT/items/U9P9CPXJ"],"itemData":{"id":130,"type":"article-journal","abstract":"Colorectal cancer (CRC) is a heterogeneous disease with changes in the genetic and epigenetic levels of various genes. The molecular assessment of CRC is gaining increasing attention, and furthermore, there is an increase in biomarker use for disease prognostication. Therefore, the identification of different gene biomarkers through messenger RNA (mRNA) abundance levels may be useful for capturing the complex effects of CRC. In this study, we demonstrate that the high mRNA levels of 10 upregulated genes (DPEP1, KRT80, FABP6, NKD2, FOXQ1, CEMIP, ETV4, TESC, FUT1, and GAS2) are observed in CRC cell lines and public CRC datasets. Moreover, we find that a high mRNA expression of DPEP1, NKD2, CEMIP, ETV4, TESC, or FUT1 is significantly correlated with a worse prognosis in CRC patients. Further investigation reveals that CTNNB1 is the key factor in the interaction of the canonical Wnt signaling pathway with 10 upregulated CRC-associated genes. In particular, we identify NKD2, FOXQ1, and CEMIP as three CTNNB1-regulated genes. Moreover, individual inhibition of the expression of three CTNNB1-regulated genes can cause the growth inhibition of CRC cells. This study reveals efficient biomarkers for the prognosis of CRC and provides a new molecular interaction network for CRC.","container-title":"Biomedicines","DOI":"10.3390/biomedicines9101331","ISSN":"2227-9059","issue":"10","journalAbbreviation":"Biomedicines","page":"1331","PMID":"34680448","PMCID":"PMC8533439","source":"PubMed Central","title":"Expression Profile and Prognostic Value of Wnt Signaling Pathway Molecules in Colorectal Cancer","URL":"https://pmc.ncbi.nlm.nih.gov/articles/PMC8533439/","volume":"9","author":[{"family":"Wu","given":"Yung-Fu"},{"family":"Wang","given":"Chih-Yang"},{"family":"Tang","given":"Wan-Chun"},{"family":"Lee","given":"Yu-Cheng"},{"family":"Ta","given":"Hoang Dang Khoa"},{"family":"Lin","given":"Li-Chia"},{"family":"Pan","given":"Syu-Ruei"},{"family":"Ni","given":"Yi-Chun"},{"family":"Anuraga","given":"Gangga"},{"family":"Lee","given":"Kuen-Haur"}],"accessed":{"date-parts":[["2026",7,15]]},"issued":{"date-parts":[["2021",9,27]]}}}],"schema":"https://github.com/citation-style-language/schema/raw/master/csl-citation.json"} </w:instrText>
      </w:r>
      <w:r w:rsidR="00326C7F">
        <w:fldChar w:fldCharType="separate"/>
      </w:r>
      <w:r w:rsidR="004B4551" w:rsidRPr="004B4551">
        <w:rPr>
          <w:rFonts w:ascii="Calibri" w:hAnsi="Calibri" w:cs="Calibri"/>
        </w:rPr>
        <w:t>(12,14)</w:t>
      </w:r>
      <w:r w:rsidR="00326C7F">
        <w:fldChar w:fldCharType="end"/>
      </w:r>
      <w:r w:rsidR="00BD58DD" w:rsidRPr="00BD58DD">
        <w:t>. Esta sinergia funcional acelera</w:t>
      </w:r>
      <w:r w:rsidR="002411BA" w:rsidRPr="002411BA">
        <w:t xml:space="preserve"> el remodelado de la matriz extracelular y facilita la migración de las células malignas</w:t>
      </w:r>
      <w:r w:rsidR="00326C7F">
        <w:fldChar w:fldCharType="begin"/>
      </w:r>
      <w:r w:rsidR="00991CA6">
        <w:instrText xml:space="preserve"> ADDIN ZOTERO_ITEM CSL_CITATION {"citationID":"fnbNfXHp","properties":{"unsorted":false,"formattedCitation":"(36,39)","plainCitation":"(36,39)","noteIndex":0},"citationItems":[{"id":102,"uris":["http://zotero.org/users/local/sechomLT/items/BAZ7QHFE"],"itemData":{"id":102,"type":"article-journal","abstract":"Tumor microenvironments have a crucial role in cancer initiation and progression, and share many molecular and pathological features with wound healing process. Unless treated, tumors, however, do not heal in contrast to wounds that heal within a limited time framework. Wounds heal in coordination of a myriad of types of cells, particularly endothelial cells, leukocytes, and fibroblasts. Similar sets of cells also contribute to cancer initiation and progression, and as a consequence, anti-cancer treatment strategies have been proposed and tested by targeting endothelial cells and/or leukocytes. Compared with endothelial cells and leukocytes, less attention has been paid to the roles of cancer-associated fibroblasts (CAFs), fibroblasts present in tumor tissues, because their heterogeneity hinders the elucidation on them at cellular and molecular levels. Here, we will discuss the origin of CAFs and their crucial roles in cancer initiation and progression, and the possibility to develop a novel type of anti-cancer treatment by manipulating the migration and functions of CAFs.","container-title":"World Journal of Gastroenterology","DOI":"10.3748/wjg.v22.i23.5301","ISSN":"1007-9327","issue":"23","journalAbbreviation":"World J Gastroenterol","page":"5301-5316","PMID":"27340347","PMCID":"PMC4910652","source":"PubMed Central","title":"Fibroblasts, an inconspicuous but essential player in colon cancer development and progression","URL":"https://pmc.ncbi.nlm.nih.gov/articles/PMC4910652/","volume":"22","author":[{"family":"Mukaida","given":"Naofumi"},{"family":"Sasaki","given":"Soichiro"}],"accessed":{"date-parts":[["2026",7,14]]},"issued":{"date-parts":[["2016",6,21]]}}},{"id":133,"uris":["http://zotero.org/users/local/sechomLT/items/7WFRQW96"],"itemData":{"id":133,"type":"article-journal","abstract":"Collagen triple helix repeat containing 1 (CTHRC1) is a secreted protein that has previously been explored for its role in tissue remodeling and cancer. However, its function in the tumor microenvironment (TME) remains poorly understood, despite its known expression in tumor-associated stroma. Colorectal cancer (CRC), a malignancy characterized by extensive stromal involvement, poses an excellent opportunity to investigate this gap. Here, we provide the first evidence that host-derived CTHRC1 drives colon cancer progression, with this effect consistently observed across three independent cohorts. Specifically, when injected with CRC cells, Cthrc1 null (global knockout, KO) mice develop significantly smaller and less dense tumors compared to wild-type (WT) mice. Additionally, median survival increased approximately 2.5-fold in Cthrc1 KO mice, from 28 days post-inoculation in WT (n = 10) to 69 days in CTHRC1-deficient mice (n = 10), suggesting CTHRC1 promotes tumor growth within the TME. Immune cell profiling revealed differences in the composition of tumors and spleens of these mice; specifically, Cthrc1 KO mice exhibited an increased percentage of CD3+ T cells in both tumors and spleens and decreased Gr-1+ myeloid cells in the spleen, compared to WT, indicating an immunoregulatory role for CTHRC1 in CRC. These results identify CTHRC1 as a key driver of CRC that may suppress the immune system, allowing for easier immune evasion by tumor cells, highlighting CTHRC1 as a potential new target for therapy.","container-title":"Oncotarget","DOI":"10.18632/oncotarget.28878","ISSN":"1949-2553","journalAbbreviation":"Oncotarget","page":"258-267","PMID":"42191349","PMCID":"PMC13235751","source":"PubMed Central","title":"Microenvironmental CTHRC1 has a pro-tumorigenic role in colorectal cancer","URL":"https://pmc.ncbi.nlm.nih.gov/articles/PMC13235751/","volume":"17","author":[{"family":"Duval","given":"Haylee"},{"family":"Toomey","given":"Barbara"},{"family":"Karam","given":"Michelle"},{"family":"Braun","given":"Tatum"},{"family":"Fournier","given":"Daniel"},{"family":"Grant","given":"Chloe"},{"family":"Fairfield","given":"Heather"},{"family":"Chepurko","given":"Vadim"},{"family":"Chepurko","given":"Elena"},{"family":"Schimelman","given":"Allyson"},{"family":"Nestor","given":"Brian"},{"family":"Ryzhov","given":"Sergey"},{"family":"Lindner","given":"Volkhard"},{"family":"Reagan","given":"Michaela R."}],"accessed":{"date-parts":[["2026",7,15]]},"issued":{"date-parts":[["2026",5,20]]}}}],"schema":"https://github.com/citation-style-language/schema/raw/master/csl-citation.json"} </w:instrText>
      </w:r>
      <w:r w:rsidR="00326C7F">
        <w:fldChar w:fldCharType="separate"/>
      </w:r>
      <w:r w:rsidR="00991CA6" w:rsidRPr="00991CA6">
        <w:rPr>
          <w:rFonts w:ascii="Calibri" w:hAnsi="Calibri" w:cs="Calibri"/>
        </w:rPr>
        <w:t>(36,39)</w:t>
      </w:r>
      <w:r w:rsidR="00326C7F">
        <w:fldChar w:fldCharType="end"/>
      </w:r>
      <w:r w:rsidR="002411BA" w:rsidRPr="002411BA">
        <w:t>. De este modo, el estroma reactivo sirve como un soporte físico y biomecánico que favorece el crecimiento y la progresión de la enfermedad</w:t>
      </w:r>
      <w:r w:rsidR="00326C7F">
        <w:fldChar w:fldCharType="begin"/>
      </w:r>
      <w:r w:rsidR="00D70B8B">
        <w:instrText xml:space="preserve"> ADDIN ZOTERO_ITEM CSL_CITATION {"citationID":"ECCNhI6O","properties":{"unsorted":false,"formattedCitation":"(5,7)","plainCitation":"(5,7)","noteIndex":0},"citationItems":[{"id":57,"uris":["http://zotero.org/users/local/sechomLT/items/T3FSIKQS"],"itemData":{"id":57,"type":"article-journal","abstract":"While both incidence and mortality of sporadic average‐onset colorectal cancer (AO CRC, above 50 years of age) are in constant decline, sporadic early‐onset colorectal cancer (EO CRC, under 50 years of age) is rising rapidly. Yet, the causes behind this rise remain poorly understood. Epidemiological studies indicate that lifestyle and environmental exposures may result in chronic inflammation, which is known to trigger tissue fibrosis. This study tests the hypothesis that fibrotic remodeling and biomechanical stiffening of colorectal tissues represent measurable hallmarks and potential drivers of EO CRC. Using primary human tissues, this work shows that EO CRC is associated with changes in collagen microstructure, increased stiffness, and elevated viscosity of primary tumors. Spatial transcriptional profiling and immunostaining reveal pro‐fibrotic signatures in stromal cells, alongside enhanced Yes‐associated protein (YAP) mechanotransduction and proliferation in epithelial cells of EO CRC tissues. Mechanistically, increasing matrix stiffness in vitro promotes proliferation of epithelial cells in 2D and 3D colorectal cancer models. Together, these findings establish EO CRC as a disease marked by early and widespread biomechanical remodeling, suggesting that a fibrotic and stiffened tissue microenvironment may orchestrate EO CRC tumor initiation., This study identifies a unique physical signature of colorectal cancer in younger adults: their tissues are mechanically stiffer than those in older patients with the same cancer. Furthermore, stromal remodeling in early‐onset colorectal cancer promotes epithelial mechanotransduction and proliferation, showing how mechanical alterations in the tissue microenvironment may drive progression of this rising disease.","container-title":"Advanced Science","DOI":"10.1002/advs.202514693","ISSN":"2198-3844","issue":"6","journalAbbreviation":"Adv Sci (Weinh)","page":"e14693","PMID":"41324334","PMCID":"PMC12866780","source":"PubMed Central","title":"Biomechanical Phenotyping Reveals Unique Mechanobiological Signatures of Early‐Onset Colorectal Cancer","URL":"https://pmc.ncbi.nlm.nih.gov/articles/PMC12866780/","volume":"13","author":[{"family":"Huning","given":"Nicole C."},{"family":"Buhaya","given":"Munir H."},{"family":"Nguyen","given":"Victor V."},{"family":"Khazi‐Syed","given":"Afeefah"},{"family":"Ali","given":"Haider A."},{"family":"Khan","given":"Adil"},{"family":"Fan","given":"Angela"},{"family":"Fisher","given":"Robert C."},{"family":"Chi","given":"Zhikai"},{"family":"Raman","given":"Indu"},{"family":"Chen","given":"Guangchun"},{"family":"Zhu","given":"Chengsong"},{"family":"Yu","given":"Mengxi"},{"family":"Jamieson","given":"Andrew R."},{"family":"Roccabianca","given":"Sara"},{"family":"Varner","given":"Victor D."},{"family":"Lewis","given":"Cheryl M."},{"family":"Huang","given":"Emina H."},{"family":"Ferruzzi","given":"Jacopo"}],"accessed":{"date-parts":[["2026",7,12]]},"issued":{"date-parts":[["2025",12,1]]}}},{"id":78,"uris":["http://zotero.org/users/local/sechomLT/items/736SCXWW"],"itemData":{"id":78,"type":"article-journal","abstract":"Collagen remodeling in the extracellular matrix drives alterations in the physical, mechanical, and optical properties of tissues, representing a fundamental biophysical hallmark of colorectal cancer (CRC) progression. These changes, reflected in variations in collagen composition, molecular orientation, and cross-linking density, transform tissue stiffness, elasticity, and anisotropy, directly influencing cancer cell behavior and mechanotransduction. Understanding these structural and physical transitions requires analytical methods capable of probing the molecular origins of biomechanical alteration in situ. Spectroscopic and optical methodologies provide high-resolution, label-free detection of the vibrational, optical, and mechanical alteration associated with collagen remodeling. These techniques capture the shifts in molecular vibrational modes, nonlinear optical responses, and scattering anisotropy that arise from collagen fibril alignment, structural disorder, and cross-link formation, thereby connecting molecular architecture to measurable macroscale biomechanics. The integration of multimodal spectroscopy and incorporation of machine learning algorithms further enhance diagnostic performance by resolving complex tissue heterogeneity and improving tumor margin detection. Overall, this review demonstrates how spectroscopic techniques can be applied in the biomedical field for cancer detection by analyzing collagen remodeling and structural alterations.","container-title":"Physics of Life Reviews","DOI":"10.1016/j.plrev.2026.01.009","ISSN":"1571-0645","journalAbbreviation":"Physics of Life Reviews","page":"239-257","source":"ScienceDirect","title":"Biophysical approaches to cancer diagnostics: Collagen biomarkers in colorectal cancer","title-short":"Biophysical approaches to cancer diagnostics","URL":"https://www.sciencedirect.com/science/article/pii/S1571064526000096","volume":"56","author":[{"family":"Biswas","given":"Shimul"},{"family":"Mahato","given":"Krishna Kishore"}],"accessed":{"date-parts":[["2026",7,14]]},"issued":{"date-parts":[["2026",3,1]]}}}],"schema":"https://github.com/citation-style-language/schema/raw/master/csl-citation.json"} </w:instrText>
      </w:r>
      <w:r w:rsidR="00326C7F">
        <w:fldChar w:fldCharType="separate"/>
      </w:r>
      <w:r w:rsidR="00D70B8B" w:rsidRPr="00D70B8B">
        <w:rPr>
          <w:rFonts w:ascii="Calibri" w:hAnsi="Calibri" w:cs="Calibri"/>
        </w:rPr>
        <w:t>(5,7)</w:t>
      </w:r>
      <w:r w:rsidR="00326C7F">
        <w:fldChar w:fldCharType="end"/>
      </w:r>
      <w:r w:rsidR="002411BA" w:rsidRPr="002411BA">
        <w:t>.</w:t>
      </w:r>
    </w:p>
    <w:p w14:paraId="5B74E5DD" w14:textId="450CC56F" w:rsidR="001D3280" w:rsidRPr="001D3280" w:rsidRDefault="00292D7F" w:rsidP="001D3280">
      <w:r>
        <w:t>Junto con el</w:t>
      </w:r>
      <w:r w:rsidR="001D3280" w:rsidRPr="001D3280">
        <w:t xml:space="preserve"> remodelado del estroma, el eje de activación incluye genes vinculados con la transición epitelio-mesénquima (EMT) y la proliferación celular. En este bloque destaca la sobreexpresión de </w:t>
      </w:r>
      <w:r w:rsidR="00F90A71" w:rsidRPr="00E25E56">
        <w:t>WNT2</w:t>
      </w:r>
      <w:r w:rsidR="001D3280">
        <w:t xml:space="preserve">, sintetizado por los </w:t>
      </w:r>
      <w:proofErr w:type="spellStart"/>
      <w:r w:rsidR="001D3280">
        <w:t>CAFs</w:t>
      </w:r>
      <w:proofErr w:type="spellEnd"/>
      <w:r w:rsidR="00F5579C">
        <w:fldChar w:fldCharType="begin"/>
      </w:r>
      <w:r w:rsidR="00991CA6">
        <w:instrText xml:space="preserve"> ADDIN ZOTERO_ITEM CSL_CITATION {"citationID":"bdbsXKSg","properties":{"unsorted":false,"formattedCitation":"(40,41)","plainCitation":"(40,41)","noteIndex":0},"citationItems":[{"id":142,"uris":["http://zotero.org/users/local/sechomLT/items/QEQDGVLW"],"itemData":{"id":142,"type":"article-journal","abstract":"Recent studies have shown that the tumor microenvironment plays a significant role in the progression of solid tumors. As an abundant component of the tumor microenvironment, cancer‐associated fibroblasts (CAFs) have been shown to promote tumorigenesis and cancer aggressiveness, but their molecular characteristics remain poorly understood. In the present study, paired CAFs and normal fibroblasts (NFs) were isolated from five colorectal cancer (CRC) tissues from patients who underwent surgical resection. The gene expression profiles of CAFs and NFs identified by RNA sequencing were compared to understand the complex role of CAFs in cancer progression. Gene Set Enrichment Analysis revealed that the gene sets related to the Wnt signaling pathway were highly enriched in CAFs, as well as TGFβ signaling, which is considered to be a regulator of CAFs. Among the components of this pathway, Wnt2 was specifically expressed. The observations led us to speculate that Wnt2 is extremely involved in regulating CRC progression by CAFs. Thus, we performed immunohistochemical analysis on Wnt2 in 171 patients who underwent surgery for colorectal adenocarcinoma. Positive staining for Wnt2 was mainly observed in cancer stroma, although the immunoreactivity was weak in cancer cells. Wnt2 expression in CAFs was significantly correlated with depth of tumor (P &lt; .001), lymph node metastasis (P = .044), TNM stage (P = .010), venous invasion (P &lt; .001), and recurrence (P = .013). Subsequent in vitro analyses were conducted using conditioned medium (CM) from immortalized CAFs transfected with siRNA targeting Wnt2. As a result, cancer cell invasion and migration were significantly decreased in the CM from immortalized CAFs transfected with siRNA targeting Wnt2. Our findings indicated that Wnt2 protein released from CAFs enhances CRC cell invasion and migration. In conclusion, Wnt2 secreted by CAFs plays a key role in cancer progression and is a potential therapeutic target for CRC., The analysis here involved comparing gene expression between cancer associated and normal fibroblasts using RNA sequencing, which identified that components of the Wnt signaling pathway were highly expressed in cancer associated fibroblasts, and Wnt2 in particular. We then conducted immunohistochemical analysis on Wnt2 in 171 patients who had undergone colorectal adenocarcinoma surgery. We found strong correlations between Wnt2 expression and progression‐related variables such as tumor depth and lymph node metastasis.","container-title":"Cancer Medicine","DOI":"10.1002/cam4.2523","ISSN":"2045-7634","issue":"14","journalAbbreviation":"Cancer Med","page":"6370-6382","PMID":"31468733","PMCID":"PMC6797671","source":"PubMed Central","title":"Cancer‐associated fibroblasts secrete Wnt2 to promote cancer progression in colorectal cancer","URL":"https://pmc.ncbi.nlm.nih.gov/articles/PMC6797671/","volume":"8","author":[{"family":"Aizawa","given":"Takashi"},{"family":"Karasawa","given":"Hideaki"},{"family":"Funayama","given":"Ryo"},{"family":"Shirota","given":"Matsuyuki"},{"family":"Suzuki","given":"Takashi"},{"family":"Maeda","given":"Shimpei"},{"family":"Suzuki","given":"Hideyuki"},{"family":"Yamamura","given":"Akihiro"},{"family":"Naitoh","given":"Takeshi"},{"family":"Nakayama","given":"Keiko"},{"family":"Unno","given":"Michiaki"}],"accessed":{"date-parts":[["2026",7,15]]},"issued":{"date-parts":[["2019",8,29]]}}},{"id":139,"uris":["http://zotero.org/users/local/sechomLT/items/3ATEL9YM"],"itemData":{"id":139,"type":"article-journal","abstract":"Background\nThe Wnt signaling pathway is a complex network of protein interactions that functions most commonly in embryonic development and cancer, but is also involved in normal physiological processes in adults. The canonical Wnt signaling pathway regulates cell pluripotency and determines the differentiation fate of cells during development. The canonical Wnt signaling pathway (also known as the Wnt/β-catenin signaling pathway) is a recognized driver of colon cancer and one of the most representative signaling pathways. As a functional effector molecule of Wnt signaling, the modification and degradation of β-catenin are key events in the Wnt signaling pathway and the development and progression of colon cancer. Therefore, the Wnt signaling pathway plays an important role in the pathogenesis of diseases, especially the pathogenesis of colorectal cancer (CRC).\n\nObjective\nInhibit the Wnt signaling pathway to explore the therapeutic targets of colorectal cancer.\n\nMethods\nBased on studying the Wnt pathway, master the biochemical processes related to the Wnt pathway, and analyze the relevant targets when drugs or inhibitors act on the Wnt pathway, to clarify the medication ideas of drugs or inhibitors for the treatment of diseases, especially colorectal cancer.\n\nResults\nWnt signaling pathways include: Wnt/β-catenin or canonical Wnt signaling pathway, planar cell polarity (Wnt-PCP) pathway and Wnt-Ca2+ signaling pathway. The Wnt signaling pathway is closely related to cancer cell proliferation, stemness, apoptosis, autophagy, metabolism, inflammation and immunization, microenvironment, resistance, ion channel, heterogeneity, EMT/migration/invasion/metastasis. Drugs/phytochemicals and molecular preparations for the Wnt pathway of CRC treatment have now been developed. Wnt inhibitors are also commonly used clinically for the treatment of CRC.\n\nConclusion\nThe development of drugs/phytochemicals and molecular inhibitors targeting the Wnt pathway can effectively treat colorectal cancer clinically.","container-title":"Molecular Cancer","DOI":"10.1186/s12943-022-01616-7","ISSN":"1476-4598","journalAbbreviation":"Mol Cancer","page":"144","PMID":"35836256","PMCID":"PMC9281132","source":"PubMed Central","title":"Wnt signaling in colorectal cancer: pathogenic role and therapeutic target","title-short":"Wnt signaling in colorectal cancer","URL":"https://pmc.ncbi.nlm.nih.gov/articles/PMC9281132/","volume":"21","author":[{"family":"Zhao","given":"Hui"},{"family":"Ming","given":"Tianqi"},{"family":"Tang","given":"Shun"},{"family":"Ren","given":"Shan"},{"family":"Yang","given":"Han"},{"family":"Liu","given":"Maolun"},{"family":"Tao","given":"Qiu"},{"family":"Xu","given":"Haibo"}],"accessed":{"date-parts":[["2026",7,15]]},"issued":{"date-parts":[["2022",7,14]]}}}],"schema":"https://github.com/citation-style-language/schema/raw/master/csl-citation.json"} </w:instrText>
      </w:r>
      <w:r w:rsidR="00F5579C">
        <w:fldChar w:fldCharType="separate"/>
      </w:r>
      <w:r w:rsidR="00991CA6" w:rsidRPr="00991CA6">
        <w:rPr>
          <w:rFonts w:ascii="Calibri" w:hAnsi="Calibri" w:cs="Calibri"/>
        </w:rPr>
        <w:t>(40,41)</w:t>
      </w:r>
      <w:r w:rsidR="00F5579C">
        <w:fldChar w:fldCharType="end"/>
      </w:r>
      <w:r w:rsidR="001D3280">
        <w:t>,</w:t>
      </w:r>
      <w:r w:rsidR="001D3280" w:rsidRPr="001D3280">
        <w:t xml:space="preserve"> y </w:t>
      </w:r>
      <w:r w:rsidR="00F90A71" w:rsidRPr="00E25E56">
        <w:t>CDH3</w:t>
      </w:r>
      <w:r w:rsidR="001D3280" w:rsidRPr="001D3280">
        <w:t xml:space="preserve">. Mientras que WNT2 funciona como un ligando que activa la vía clásica </w:t>
      </w:r>
      <w:proofErr w:type="spellStart"/>
      <w:r w:rsidR="001D3280" w:rsidRPr="001D3280">
        <w:t>Wnt</w:t>
      </w:r>
      <w:proofErr w:type="spellEnd"/>
      <w:r w:rsidR="001D3280" w:rsidRPr="001D3280">
        <w:t>/</w:t>
      </w:r>
      <m:oMath>
        <m:r>
          <w:rPr>
            <w:rFonts w:ascii="Cambria Math" w:hAnsi="Cambria Math"/>
          </w:rPr>
          <m:t>β</m:t>
        </m:r>
      </m:oMath>
      <w:r w:rsidR="001D3280" w:rsidRPr="001D3280">
        <w:t>-catenina</w:t>
      </w:r>
      <w:r w:rsidR="00DA29A3">
        <w:fldChar w:fldCharType="begin"/>
      </w:r>
      <w:r w:rsidR="00991CA6">
        <w:instrText xml:space="preserve"> ADDIN ZOTERO_ITEM CSL_CITATION {"citationID":"hZ31fTTA","properties":{"unsorted":false,"formattedCitation":"(40,41)","plainCitation":"(40,41)","noteIndex":0},"citationItems":[{"id":142,"uris":["http://zotero.org/users/local/sechomLT/items/QEQDGVLW"],"itemData":{"id":142,"type":"article-journal","abstract":"Recent studies have shown that the tumor microenvironment plays a significant role in the progression of solid tumors. As an abundant component of the tumor microenvironment, cancer‐associated fibroblasts (CAFs) have been shown to promote tumorigenesis and cancer aggressiveness, but their molecular characteristics remain poorly understood. In the present study, paired CAFs and normal fibroblasts (NFs) were isolated from five colorectal cancer (CRC) tissues from patients who underwent surgical resection. The gene expression profiles of CAFs and NFs identified by RNA sequencing were compared to understand the complex role of CAFs in cancer progression. Gene Set Enrichment Analysis revealed that the gene sets related to the Wnt signaling pathway were highly enriched in CAFs, as well as TGFβ signaling, which is considered to be a regulator of CAFs. Among the components of this pathway, Wnt2 was specifically expressed. The observations led us to speculate that Wnt2 is extremely involved in regulating CRC progression by CAFs. Thus, we performed immunohistochemical analysis on Wnt2 in 171 patients who underwent surgery for colorectal adenocarcinoma. Positive staining for Wnt2 was mainly observed in cancer stroma, although the immunoreactivity was weak in cancer cells. Wnt2 expression in CAFs was significantly correlated with depth of tumor (P &lt; .001), lymph node metastasis (P = .044), TNM stage (P = .010), venous invasion (P &lt; .001), and recurrence (P = .013). Subsequent in vitro analyses were conducted using conditioned medium (CM) from immortalized CAFs transfected with siRNA targeting Wnt2. As a result, cancer cell invasion and migration were significantly decreased in the CM from immortalized CAFs transfected with siRNA targeting Wnt2. Our findings indicated that Wnt2 protein released from CAFs enhances CRC cell invasion and migration. In conclusion, Wnt2 secreted by CAFs plays a key role in cancer progression and is a potential therapeutic target for CRC., The analysis here involved comparing gene expression between cancer associated and normal fibroblasts using RNA sequencing, which identified that components of the Wnt signaling pathway were highly expressed in cancer associated fibroblasts, and Wnt2 in particular. We then conducted immunohistochemical analysis on Wnt2 in 171 patients who had undergone colorectal adenocarcinoma surgery. We found strong correlations between Wnt2 expression and progression‐related variables such as tumor depth and lymph node metastasis.","container-title":"Cancer Medicine","DOI":"10.1002/cam4.2523","ISSN":"2045-7634","issue":"14","journalAbbreviation":"Cancer Med","page":"6370-6382","PMID":"31468733","PMCID":"PMC6797671","source":"PubMed Central","title":"Cancer‐associated fibroblasts secrete Wnt2 to promote cancer progression in colorectal cancer","URL":"https://pmc.ncbi.nlm.nih.gov/articles/PMC6797671/","volume":"8","author":[{"family":"Aizawa","given":"Takashi"},{"family":"Karasawa","given":"Hideaki"},{"family":"Funayama","given":"Ryo"},{"family":"Shirota","given":"Matsuyuki"},{"family":"Suzuki","given":"Takashi"},{"family":"Maeda","given":"Shimpei"},{"family":"Suzuki","given":"Hideyuki"},{"family":"Yamamura","given":"Akihiro"},{"family":"Naitoh","given":"Takeshi"},{"family":"Nakayama","given":"Keiko"},{"family":"Unno","given":"Michiaki"}],"accessed":{"date-parts":[["2026",7,15]]},"issued":{"date-parts":[["2019",8,29]]}}},{"id":139,"uris":["http://zotero.org/users/local/sechomLT/items/3ATEL9YM"],"itemData":{"id":139,"type":"article-journal","abstract":"Background\nThe Wnt signaling pathway is a complex network of protein interactions that functions most commonly in embryonic development and cancer, but is also involved in normal physiological processes in adults. The canonical Wnt signaling pathway regulates cell pluripotency and determines the differentiation fate of cells during development. The canonical Wnt signaling pathway (also known as the Wnt/β-catenin signaling pathway) is a recognized driver of colon cancer and one of the most representative signaling pathways. As a functional effector molecule of Wnt signaling, the modification and degradation of β-catenin are key events in the Wnt signaling pathway and the development and progression of colon cancer. Therefore, the Wnt signaling pathway plays an important role in the pathogenesis of diseases, especially the pathogenesis of colorectal cancer (CRC).\n\nObjective\nInhibit the Wnt signaling pathway to explore the therapeutic targets of colorectal cancer.\n\nMethods\nBased on studying the Wnt pathway, master the biochemical processes related to the Wnt pathway, and analyze the relevant targets when drugs or inhibitors act on the Wnt pathway, to clarify the medication ideas of drugs or inhibitors for the treatment of diseases, especially colorectal cancer.\n\nResults\nWnt signaling pathways include: Wnt/β-catenin or canonical Wnt signaling pathway, planar cell polarity (Wnt-PCP) pathway and Wnt-Ca2+ signaling pathway. The Wnt signaling pathway is closely related to cancer cell proliferation, stemness, apoptosis, autophagy, metabolism, inflammation and immunization, microenvironment, resistance, ion channel, heterogeneity, EMT/migration/invasion/metastasis. Drugs/phytochemicals and molecular preparations for the Wnt pathway of CRC treatment have now been developed. Wnt inhibitors are also commonly used clinically for the treatment of CRC.\n\nConclusion\nThe development of drugs/phytochemicals and molecular inhibitors targeting the Wnt pathway can effectively treat colorectal cancer clinically.","container-title":"Molecular Cancer","DOI":"10.1186/s12943-022-01616-7","ISSN":"1476-4598","journalAbbreviation":"Mol Cancer","page":"144","PMID":"35836256","PMCID":"PMC9281132","source":"PubMed Central","title":"Wnt signaling in colorectal cancer: pathogenic role and therapeutic target","title-short":"Wnt signaling in colorectal cancer","URL":"https://pmc.ncbi.nlm.nih.gov/articles/PMC9281132/","volume":"21","author":[{"family":"Zhao","given":"Hui"},{"family":"Ming","given":"Tianqi"},{"family":"Tang","given":"Shun"},{"family":"Ren","given":"Shan"},{"family":"Yang","given":"Han"},{"family":"Liu","given":"Maolun"},{"family":"Tao","given":"Qiu"},{"family":"Xu","given":"Haibo"}],"accessed":{"date-parts":[["2026",7,15]]},"issued":{"date-parts":[["2022",7,14]]}}}],"schema":"https://github.com/citation-style-language/schema/raw/master/csl-citation.json"} </w:instrText>
      </w:r>
      <w:r w:rsidR="00DA29A3">
        <w:fldChar w:fldCharType="separate"/>
      </w:r>
      <w:r w:rsidR="00991CA6" w:rsidRPr="00991CA6">
        <w:rPr>
          <w:rFonts w:ascii="Calibri" w:hAnsi="Calibri" w:cs="Calibri"/>
        </w:rPr>
        <w:t>(40,41)</w:t>
      </w:r>
      <w:r w:rsidR="00DA29A3">
        <w:fldChar w:fldCharType="end"/>
      </w:r>
      <w:r w:rsidR="001D3280" w:rsidRPr="001D3280">
        <w:t>, la cadherina-P (CDH3) participa en la inducción de la EMT, promoviendo la migración y el potencial metastásico de las células tumorales</w:t>
      </w:r>
      <w:r w:rsidR="00522A4E">
        <w:fldChar w:fldCharType="begin"/>
      </w:r>
      <w:r w:rsidR="0087411E">
        <w:instrText xml:space="preserve"> ADDIN ZOTERO_ITEM CSL_CITATION {"citationID":"bhEVITL5","properties":{"unsorted":false,"formattedCitation":"(23)","plainCitation":"(23)","noteIndex":0},"citationItems":[{"id":145,"uris":["http://zotero.org/users/local/sechomLT/items/BBUGMZQT"],"itemData":{"id":145,"type":"article-journal","abstract":"Background\nColorectal cancer (CRC) remains a leading cause of cancer-related mortality, particularly due to advanced-stage metastasis. P-cadherin (CDH3), a potential therapeutic target, is highly expressed in CRC tissues and associated with poor prognosis and metastasis. However, the mechanisms underlying its role in CRC progression and its translational potential remain poorly understood.\n\nMaterials and methods\nThis study integrated multiple public databases (TCGA, HCMDB, UALCAN, HPA, UniProt, cBioPortal, and GEO) to evaluate CDH3 expression, construct a prognostic model, and perform functional and translational analyses. Immunohistochemistry was used to validate CDH3 protein expression in clinical samples. Additional analyses included correlations with clinicopathological parameters, immune infiltration (TIDE, TISIDB), functional enrichment (KEGG, GSEA), drug sensitivity (GSCA), and molecular docking (MOE). Single-cell sequencing (CancerSEA, HPA) was also conducted to explore CDH3’s role at the single-cell level.\n\nResults\nCDH3 expression was significantly elevated in CRC tissues and correlated with poor prognosis, recurrence, and metastasis. CDH3 expression was associated with the infiltration of resting immune cells, particularly dendritic cells, and enrichment analysis revealed its critical role in CRC metastasis through extracellular matrix (ECM) and local adhesion pathways. Notably, afatinib emerged as a promising candidate for targeting CDH3 via “drug repositioning,” a process involving the repurposing of existing drugs for new therapeutic applications.\n\nConclusion\nThis study provides novel insights into CDH3’s role in CRC metastasis and its potential as a therapeutic target. The translational potential of CDH3, including its integration with immunotherapy and drug repositioning strategies, offers a promising avenue for the treatment of metastatic CRC.\n\nSupplementary Information\nThe online version contains supplementary material available at 10.1186/s12885-025-13845-2.","container-title":"BMC Cancer","DOI":"10.1186/s12885-025-13845-2","ISSN":"1471-2407","journalAbbreviation":"BMC Cancer","page":"560","PMID":"40155851","PMCID":"PMC11951682","source":"PubMed Central","title":"Synergistic potential of CDH3 in targeting CRC metastasis and enhancing immunotherapy","URL":"https://pmc.ncbi.nlm.nih.gov/articles/PMC11951682/","volume":"25","author":[{"family":"Fu","given":"Chen"},{"family":"Fu","given":"Jia"},{"family":"Liu","given":"Chaoyue"},{"family":"Yu","given":"Zhaojin"}],"accessed":{"date-parts":[["2026",7,15]]},"issued":{"date-parts":[["2025",3,28]]}}}],"schema":"https://github.com/citation-style-language/schema/raw/master/csl-citation.json"} </w:instrText>
      </w:r>
      <w:r w:rsidR="00522A4E">
        <w:fldChar w:fldCharType="separate"/>
      </w:r>
      <w:r w:rsidR="0087411E" w:rsidRPr="0087411E">
        <w:rPr>
          <w:rFonts w:ascii="Calibri" w:hAnsi="Calibri" w:cs="Calibri"/>
        </w:rPr>
        <w:t>(23)</w:t>
      </w:r>
      <w:r w:rsidR="00522A4E">
        <w:fldChar w:fldCharType="end"/>
      </w:r>
      <w:r w:rsidR="001D3280" w:rsidRPr="001D3280">
        <w:t>. Est</w:t>
      </w:r>
      <w:r w:rsidR="000D6545">
        <w:t xml:space="preserve">e </w:t>
      </w:r>
      <w:r w:rsidR="000D6545" w:rsidRPr="00E25E56">
        <w:t xml:space="preserve">estímulo oncogénico </w:t>
      </w:r>
      <w:r w:rsidR="001D3280" w:rsidRPr="001D3280">
        <w:t xml:space="preserve">se relaciona con el aumento </w:t>
      </w:r>
      <w:r w:rsidR="000D6545" w:rsidRPr="001D3280">
        <w:t>de</w:t>
      </w:r>
      <w:r w:rsidR="000D6545">
        <w:t xml:space="preserve"> </w:t>
      </w:r>
      <w:r w:rsidR="000D6545" w:rsidRPr="001D3280">
        <w:t>factores</w:t>
      </w:r>
      <w:r w:rsidR="001D3280" w:rsidRPr="001D3280">
        <w:t xml:space="preserve"> de transcripción</w:t>
      </w:r>
      <w:r w:rsidR="000D6545">
        <w:t xml:space="preserve"> como</w:t>
      </w:r>
      <w:r w:rsidR="001D3280" w:rsidRPr="001D3280">
        <w:t xml:space="preserve"> </w:t>
      </w:r>
      <w:r w:rsidR="00F90A71" w:rsidRPr="00E25E56">
        <w:t>SNAI1</w:t>
      </w:r>
      <w:r w:rsidR="001D3280" w:rsidRPr="001D3280">
        <w:t xml:space="preserve">, que regula la pérdida de la cohesión entre los </w:t>
      </w:r>
      <w:proofErr w:type="spellStart"/>
      <w:r w:rsidR="001D3280" w:rsidRPr="001D3280">
        <w:t>colonocitos</w:t>
      </w:r>
      <w:proofErr w:type="spellEnd"/>
      <w:r w:rsidR="00522A4E">
        <w:fldChar w:fldCharType="begin"/>
      </w:r>
      <w:r w:rsidR="00991CA6">
        <w:instrText xml:space="preserve"> ADDIN ZOTERO_ITEM CSL_CITATION {"citationID":"jlihCpt7","properties":{"unsorted":false,"formattedCitation":"(41,42)","plainCitation":"(41,42)","noteIndex":0},"citationItems":[{"id":139,"uris":["http://zotero.org/users/local/sechomLT/items/3ATEL9YM"],"itemData":{"id":139,"type":"article-journal","abstract":"Background\nThe Wnt signaling pathway is a complex network of protein interactions that functions most commonly in embryonic development and cancer, but is also involved in normal physiological processes in adults. The canonical Wnt signaling pathway regulates cell pluripotency and determines the differentiation fate of cells during development. The canonical Wnt signaling pathway (also known as the Wnt/β-catenin signaling pathway) is a recognized driver of colon cancer and one of the most representative signaling pathways. As a functional effector molecule of Wnt signaling, the modification and degradation of β-catenin are key events in the Wnt signaling pathway and the development and progression of colon cancer. Therefore, the Wnt signaling pathway plays an important role in the pathogenesis of diseases, especially the pathogenesis of colorectal cancer (CRC).\n\nObjective\nInhibit the Wnt signaling pathway to explore the therapeutic targets of colorectal cancer.\n\nMethods\nBased on studying the Wnt pathway, master the biochemical processes related to the Wnt pathway, and analyze the relevant targets when drugs or inhibitors act on the Wnt pathway, to clarify the medication ideas of drugs or inhibitors for the treatment of diseases, especially colorectal cancer.\n\nResults\nWnt signaling pathways include: Wnt/β-catenin or canonical Wnt signaling pathway, planar cell polarity (Wnt-PCP) pathway and Wnt-Ca2+ signaling pathway. The Wnt signaling pathway is closely related to cancer cell proliferation, stemness, apoptosis, autophagy, metabolism, inflammation and immunization, microenvironment, resistance, ion channel, heterogeneity, EMT/migration/invasion/metastasis. Drugs/phytochemicals and molecular preparations for the Wnt pathway of CRC treatment have now been developed. Wnt inhibitors are also commonly used clinically for the treatment of CRC.\n\nConclusion\nThe development of drugs/phytochemicals and molecular inhibitors targeting the Wnt pathway can effectively treat colorectal cancer clinically.","container-title":"Molecular Cancer","DOI":"10.1186/s12943-022-01616-7","ISSN":"1476-4598","journalAbbreviation":"Mol Cancer","page":"144","PMID":"35836256","PMCID":"PMC9281132","source":"PubMed Central","title":"Wnt signaling in colorectal cancer: pathogenic role and therapeutic target","title-short":"Wnt signaling in colorectal cancer","URL":"https://pmc.ncbi.nlm.nih.gov/articles/PMC9281132/","volume":"21","author":[{"family":"Zhao","given":"Hui"},{"family":"Ming","given":"Tianqi"},{"family":"Tang","given":"Shun"},{"family":"Ren","given":"Shan"},{"family":"Yang","given":"Han"},{"family":"Liu","given":"Maolun"},{"family":"Tao","given":"Qiu"},{"family":"Xu","given":"Haibo"}],"accessed":{"date-parts":[["2026",7,15]]},"issued":{"date-parts":[["2022",7,14]]}}},{"id":176,"uris":["http://zotero.org/users/local/sechomLT/items/ZQYB9E9F"],"itemData":{"id":176,"type":"article-journal","abstract":"Bestrophin isoform 4 (BEST4) is a newly identified subtype of the calcium-activated chloride channel family. Analysis of colonic epithelial cell diversity by single-cell RNA-sequencing has revealed the existence of a cluster of BEST4+ mature colonocytes in humans. However, if the role of BEST4 is involved in regulating tumour progression remains largely unknown. In this study, we demonstrate that BEST4 overexpression attenuates cell proliferation, colony formation, and mobility in colorectal cancer (CRC) in vitro, and impedes the tumour growth and the liver metastasis in vivo. BEST4 is co-expressed with hairy/enhancer of split 4 (HES4) in the nucleus of cells, and HES4 signals BEST4 by interacting with the upstream region of the BEST4 promoter. BEST4 is epistatic to HES4 and downregulates TWIST1, thereby inhibiting epithelial-to-mesenchymal transition (EMT) in CRC. Conversely, knockout of BEST4 using CRISPR/Cas9 in CRC cells revitalises tumour growth and induces EMT. Furthermore, the low level of the BEST4 mRNA is correlated with advanced and the worse prognosis, suggesting its potential role involving CRC progression.","container-title":"eLife","DOI":"10.7554/eLife.88879","ISSN":"2050-084X","journalAbbreviation":"eLife","page":"RP88879","PMID":"39699952","PMCID":"PMC11658771","source":"PubMed Central","title":"Bestrophin-4 relays HES4 and interacts with TWIST1 to suppress epithelial-to-mesenchymal transition in colorectal cancer cells","URL":"https://pmc.ncbi.nlm.nih.gov/articles/PMC11658771/","volume":"12","author":[{"family":"Wang","given":"Zijing"},{"family":"Xia","given":"Bihan"},{"family":"Qi","given":"Shaochong"},{"family":"Zhang","given":"Xian"},{"family":"Zhang","given":"Xiaoshuang"},{"family":"Li","given":"Yan"},{"family":"Wang","given":"Huimin"},{"family":"Zhang","given":"Miao"},{"family":"Zhao","given":"Ziyi"},{"family":"Kerr","given":"David"},{"family":"Yang","given":"Li"},{"family":"Cai","given":"Shijie"},{"family":"Yang","given":"Jilin"}],"accessed":{"date-parts":[["2026",7,19]]}}}],"schema":"https://github.com/citation-style-language/schema/raw/master/csl-citation.json"} </w:instrText>
      </w:r>
      <w:r w:rsidR="00522A4E">
        <w:fldChar w:fldCharType="separate"/>
      </w:r>
      <w:r w:rsidR="00991CA6" w:rsidRPr="00991CA6">
        <w:rPr>
          <w:rFonts w:ascii="Calibri" w:hAnsi="Calibri" w:cs="Calibri"/>
        </w:rPr>
        <w:t>(41,42)</w:t>
      </w:r>
      <w:r w:rsidR="00522A4E">
        <w:fldChar w:fldCharType="end"/>
      </w:r>
      <w:r w:rsidR="000D6545">
        <w:t xml:space="preserve">. </w:t>
      </w:r>
      <w:r w:rsidR="001D3280" w:rsidRPr="001D3280">
        <w:t xml:space="preserve">Asimismo, esta vía incrementa la expresión de reguladores del ciclo celular como </w:t>
      </w:r>
      <w:r w:rsidR="00F90A71" w:rsidRPr="00E25E56">
        <w:t>MYC</w:t>
      </w:r>
      <w:r w:rsidR="001D3280" w:rsidRPr="001D3280">
        <w:t>, favoreciendo la expansión del tumor</w:t>
      </w:r>
      <w:r w:rsidR="00C10D39">
        <w:fldChar w:fldCharType="begin"/>
      </w:r>
      <w:r w:rsidR="00991CA6">
        <w:instrText xml:space="preserve"> ADDIN ZOTERO_ITEM CSL_CITATION {"citationID":"1E9EZjU4","properties":{"unsorted":false,"formattedCitation":"(14,41)","plainCitation":"(14,41)","noteIndex":0},"citationItems":[{"id":136,"uris":["http://zotero.org/users/local/sechomLT/items/I8FJEX9X"],"itemData":{"id":136,"type":"article-journal","abstract":"Background:\nThe KIAA1199 transcript is upregulated in colon adenomas and downregulated upon β-catenin knockdown.\n\nMethods:\nTranscript profiling was performed on &gt;500 colon biopsies, methylation profiling data were compared with transcript data. Immunohistochemistry assessed KIAA1199 protein expression in 270 stage II/III tumours (&gt;3 years follow-up). The effects of stable KIAA1199 knockdown in SW480 cells (three different constructs) were studied using transcriptional profiling, proliferation and protein analysis.\n\nResults:\nThe KIAA1199 transcript was strongly upregulated in 95% of adenocarcinomas. Absent expression in normal mucosa correlated with KIAA1199 promotor methylation. Nuclear and cytoplasmic KIAA1199 protein expression was identified in colon adenocarcinomas and other types of cancers. A subpopulation of patients with tumours strongly expressing KIAA1199 in the nucleus showed a better outcome with regard to recurrence as lung or liver metastases. The KIAA1199 knockdown affected the cell cycle and the Wnt-signalling pathway. Reduced cellular proliferation and decreased KI67, phosphorylated retinoblastoma, β-catenin and ASCL2 protein expression supported these findings. Eighteen Wnt-signalling genes differentially expressed upon KIAA1199 knockdown correlated with the KIAA1199 expression profile in clinical specimens.\n\nConclusion:\nThe KIAA1199 knockdown attenuates the effects of the Wnt/β-catenin signalling and it may thus be regarded as a regulatory part of this pathway.","container-title":"British Journal of Cancer","DOI":"10.1038/bjc.2011.268","ISSN":"0007-0920","issue":"4","journalAbbreviation":"Br J Cancer","page":"552-561","PMID":"21772334","PMCID":"PMC3170968","source":"PubMed Central","title":"Repression of KIAA1199 attenuates Wnt-signalling and decreases the proliferation of colon cancer cells","URL":"https://pmc.ncbi.nlm.nih.gov/articles/PMC3170968/","volume":"105","author":[{"family":"Birkenkamp-Demtroder","given":"K"},{"family":"Maghnouj","given":"A"},{"family":"Mansilla","given":"F"},{"family":"Thorsen","given":"K"},{"family":"Andersen","given":"C L"},{"family":"Øster","given":"B"},{"family":"Hahn","given":"S"},{"family":"Ørntoft","given":"T F"}],"accessed":{"date-parts":[["2026",7,15]]},"issued":{"date-parts":[["2011",8,9]]}}},{"id":139,"uris":["http://zotero.org/users/local/sechomLT/items/3ATEL9YM"],"itemData":{"id":139,"type":"article-journal","abstract":"Background\nThe Wnt signaling pathway is a complex network of protein interactions that functions most commonly in embryonic development and cancer, but is also involved in normal physiological processes in adults. The canonical Wnt signaling pathway regulates cell pluripotency and determines the differentiation fate of cells during development. The canonical Wnt signaling pathway (also known as the Wnt/β-catenin signaling pathway) is a recognized driver of colon cancer and one of the most representative signaling pathways. As a functional effector molecule of Wnt signaling, the modification and degradation of β-catenin are key events in the Wnt signaling pathway and the development and progression of colon cancer. Therefore, the Wnt signaling pathway plays an important role in the pathogenesis of diseases, especially the pathogenesis of colorectal cancer (CRC).\n\nObjective\nInhibit the Wnt signaling pathway to explore the therapeutic targets of colorectal cancer.\n\nMethods\nBased on studying the Wnt pathway, master the biochemical processes related to the Wnt pathway, and analyze the relevant targets when drugs or inhibitors act on the Wnt pathway, to clarify the medication ideas of drugs or inhibitors for the treatment of diseases, especially colorectal cancer.\n\nResults\nWnt signaling pathways include: Wnt/β-catenin or canonical Wnt signaling pathway, planar cell polarity (Wnt-PCP) pathway and Wnt-Ca2+ signaling pathway. The Wnt signaling pathway is closely related to cancer cell proliferation, stemness, apoptosis, autophagy, metabolism, inflammation and immunization, microenvironment, resistance, ion channel, heterogeneity, EMT/migration/invasion/metastasis. Drugs/phytochemicals and molecular preparations for the Wnt pathway of CRC treatment have now been developed. Wnt inhibitors are also commonly used clinically for the treatment of CRC.\n\nConclusion\nThe development of drugs/phytochemicals and molecular inhibitors targeting the Wnt pathway can effectively treat colorectal cancer clinically.","container-title":"Molecular Cancer","DOI":"10.1186/s12943-022-01616-7","ISSN":"1476-4598","journalAbbreviation":"Mol Cancer","page":"144","PMID":"35836256","PMCID":"PMC9281132","source":"PubMed Central","title":"Wnt signaling in colorectal cancer: pathogenic role and therapeutic target","title-short":"Wnt signaling in colorectal cancer","URL":"https://pmc.ncbi.nlm.nih.gov/articles/PMC9281132/","volume":"21","author":[{"family":"Zhao","given":"Hui"},{"family":"Ming","given":"Tianqi"},{"family":"Tang","given":"Shun"},{"family":"Ren","given":"Shan"},{"family":"Yang","given":"Han"},{"family":"Liu","given":"Maolun"},{"family":"Tao","given":"Qiu"},{"family":"Xu","given":"Haibo"}],"accessed":{"date-parts":[["2026",7,15]]},"issued":{"date-parts":[["2022",7,14]]}}}],"schema":"https://github.com/citation-style-language/schema/raw/master/csl-citation.json"} </w:instrText>
      </w:r>
      <w:r w:rsidR="00C10D39">
        <w:fldChar w:fldCharType="separate"/>
      </w:r>
      <w:r w:rsidR="00991CA6" w:rsidRPr="00991CA6">
        <w:rPr>
          <w:rFonts w:ascii="Calibri" w:hAnsi="Calibri" w:cs="Calibri"/>
        </w:rPr>
        <w:t>(14,41)</w:t>
      </w:r>
      <w:r w:rsidR="00C10D39">
        <w:fldChar w:fldCharType="end"/>
      </w:r>
      <w:r w:rsidR="001D3280" w:rsidRPr="001D3280">
        <w:t xml:space="preserve">. </w:t>
      </w:r>
      <w:r w:rsidR="00F90A71" w:rsidRPr="00F90A71">
        <w:t>Como resultado de esta regulación conjunta, las células neoplásicas adoptan un fenotipo similar al de las células madre, lo que sostiene una proliferación celular constante</w:t>
      </w:r>
      <w:r w:rsidR="00447B8F">
        <w:fldChar w:fldCharType="begin"/>
      </w:r>
      <w:r w:rsidR="00991CA6">
        <w:instrText xml:space="preserve"> ADDIN ZOTERO_ITEM CSL_CITATION {"citationID":"zC3nsUnH","properties":{"unsorted":false,"formattedCitation":"(36,41)","plainCitation":"(36,41)","noteIndex":0},"citationItems":[{"id":102,"uris":["http://zotero.org/users/local/sechomLT/items/BAZ7QHFE"],"itemData":{"id":102,"type":"article-journal","abstract":"Tumor microenvironments have a crucial role in cancer initiation and progression, and share many molecular and pathological features with wound healing process. Unless treated, tumors, however, do not heal in contrast to wounds that heal within a limited time framework. Wounds heal in coordination of a myriad of types of cells, particularly endothelial cells, leukocytes, and fibroblasts. Similar sets of cells also contribute to cancer initiation and progression, and as a consequence, anti-cancer treatment strategies have been proposed and tested by targeting endothelial cells and/or leukocytes. Compared with endothelial cells and leukocytes, less attention has been paid to the roles of cancer-associated fibroblasts (CAFs), fibroblasts present in tumor tissues, because their heterogeneity hinders the elucidation on them at cellular and molecular levels. Here, we will discuss the origin of CAFs and their crucial roles in cancer initiation and progression, and the possibility to develop a novel type of anti-cancer treatment by manipulating the migration and functions of CAFs.","container-title":"World Journal of Gastroenterology","DOI":"10.3748/wjg.v22.i23.5301","ISSN":"1007-9327","issue":"23","journalAbbreviation":"World J Gastroenterol","page":"5301-5316","PMID":"27340347","PMCID":"PMC4910652","source":"PubMed Central","title":"Fibroblasts, an inconspicuous but essential player in colon cancer development and progression","URL":"https://pmc.ncbi.nlm.nih.gov/articles/PMC4910652/","volume":"22","author":[{"family":"Mukaida","given":"Naofumi"},{"family":"Sasaki","given":"Soichiro"}],"accessed":{"date-parts":[["2026",7,14]]},"issued":{"date-parts":[["2016",6,21]]}}},{"id":139,"uris":["http://zotero.org/users/local/sechomLT/items/3ATEL9YM"],"itemData":{"id":139,"type":"article-journal","abstract":"Background\nThe Wnt signaling pathway is a complex network of protein interactions that functions most commonly in embryonic development and cancer, but is also involved in normal physiological processes in adults. The canonical Wnt signaling pathway regulates cell pluripotency and determines the differentiation fate of cells during development. The canonical Wnt signaling pathway (also known as the Wnt/β-catenin signaling pathway) is a recognized driver of colon cancer and one of the most representative signaling pathways. As a functional effector molecule of Wnt signaling, the modification and degradation of β-catenin are key events in the Wnt signaling pathway and the development and progression of colon cancer. Therefore, the Wnt signaling pathway plays an important role in the pathogenesis of diseases, especially the pathogenesis of colorectal cancer (CRC).\n\nObjective\nInhibit the Wnt signaling pathway to explore the therapeutic targets of colorectal cancer.\n\nMethods\nBased on studying the Wnt pathway, master the biochemical processes related to the Wnt pathway, and analyze the relevant targets when drugs or inhibitors act on the Wnt pathway, to clarify the medication ideas of drugs or inhibitors for the treatment of diseases, especially colorectal cancer.\n\nResults\nWnt signaling pathways include: Wnt/β-catenin or canonical Wnt signaling pathway, planar cell polarity (Wnt-PCP) pathway and Wnt-Ca2+ signaling pathway. The Wnt signaling pathway is closely related to cancer cell proliferation, stemness, apoptosis, autophagy, metabolism, inflammation and immunization, microenvironment, resistance, ion channel, heterogeneity, EMT/migration/invasion/metastasis. Drugs/phytochemicals and molecular preparations for the Wnt pathway of CRC treatment have now been developed. Wnt inhibitors are also commonly used clinically for the treatment of CRC.\n\nConclusion\nThe development of drugs/phytochemicals and molecular inhibitors targeting the Wnt pathway can effectively treat colorectal cancer clinically.","container-title":"Molecular Cancer","DOI":"10.1186/s12943-022-01616-7","ISSN":"1476-4598","journalAbbreviation":"Mol Cancer","page":"144","PMID":"35836256","PMCID":"PMC9281132","source":"PubMed Central","title":"Wnt signaling in colorectal cancer: pathogenic role and therapeutic target","title-short":"Wnt signaling in colorectal cancer","URL":"https://pmc.ncbi.nlm.nih.gov/articles/PMC9281132/","volume":"21","author":[{"family":"Zhao","given":"Hui"},{"family":"Ming","given":"Tianqi"},{"family":"Tang","given":"Shun"},{"family":"Ren","given":"Shan"},{"family":"Yang","given":"Han"},{"family":"Liu","given":"Maolun"},{"family":"Tao","given":"Qiu"},{"family":"Xu","given":"Haibo"}],"accessed":{"date-parts":[["2026",7,15]]},"issued":{"date-parts":[["2022",7,14]]}}}],"schema":"https://github.com/citation-style-language/schema/raw/master/csl-citation.json"} </w:instrText>
      </w:r>
      <w:r w:rsidR="00447B8F">
        <w:fldChar w:fldCharType="separate"/>
      </w:r>
      <w:r w:rsidR="00991CA6" w:rsidRPr="00991CA6">
        <w:rPr>
          <w:rFonts w:ascii="Calibri" w:hAnsi="Calibri" w:cs="Calibri"/>
        </w:rPr>
        <w:t>(36,41)</w:t>
      </w:r>
      <w:r w:rsidR="00447B8F">
        <w:fldChar w:fldCharType="end"/>
      </w:r>
      <w:r w:rsidR="001D3280" w:rsidRPr="001D3280">
        <w:t xml:space="preserve">. </w:t>
      </w:r>
    </w:p>
    <w:p w14:paraId="7CE4F018" w14:textId="4BD9D5FC" w:rsidR="000A4C4B" w:rsidRDefault="00292D7F" w:rsidP="000A4C4B">
      <w:r w:rsidRPr="00292D7F">
        <w:t xml:space="preserve">Este estado proliferativo se consolida a nivel molecular mediante la activación de la maquinaria mitótica, destacando la sobreexpresión de UBE2C, un regulador esencial para </w:t>
      </w:r>
      <w:r w:rsidR="0086287D">
        <w:t>la progresión del ciclo celular</w:t>
      </w:r>
      <w:r w:rsidRPr="00292D7F">
        <w:t xml:space="preserve">. De forma paralela a esta aceleración </w:t>
      </w:r>
      <w:r w:rsidR="0086287D">
        <w:t>de la división</w:t>
      </w:r>
      <w:r w:rsidRPr="00292D7F">
        <w:t xml:space="preserve"> celular, el tumor fomenta un microambiente inflamatorio mediante la secreción de quimioquinas como CXCL1, implicadas en el reclutamiento de poblaciones celulares que favorecen la progresión de la enfermedad</w:t>
      </w:r>
      <w:r w:rsidR="0086287D">
        <w:fldChar w:fldCharType="begin"/>
      </w:r>
      <w:r w:rsidR="0087411E">
        <w:instrText xml:space="preserve"> ADDIN ZOTERO_ITEM CSL_CITATION {"citationID":"ZnVdlYvN","properties":{"unsorted":false,"formattedCitation":"(5,21)","plainCitation":"(5,21)","noteIndex":0},"citationItems":[{"id":57,"uris":["http://zotero.org/users/local/sechomLT/items/T3FSIKQS"],"itemData":{"id":57,"type":"article-journal","abstract":"While both incidence and mortality of sporadic average‐onset colorectal cancer (AO CRC, above 50 years of age) are in constant decline, sporadic early‐onset colorectal cancer (EO CRC, under 50 years of age) is rising rapidly. Yet, the causes behind this rise remain poorly understood. Epidemiological studies indicate that lifestyle and environmental exposures may result in chronic inflammation, which is known to trigger tissue fibrosis. This study tests the hypothesis that fibrotic remodeling and biomechanical stiffening of colorectal tissues represent measurable hallmarks and potential drivers of EO CRC. Using primary human tissues, this work shows that EO CRC is associated with changes in collagen microstructure, increased stiffness, and elevated viscosity of primary tumors. Spatial transcriptional profiling and immunostaining reveal pro‐fibrotic signatures in stromal cells, alongside enhanced Yes‐associated protein (YAP) mechanotransduction and proliferation in epithelial cells of EO CRC tissues. Mechanistically, increasing matrix stiffness in vitro promotes proliferation of epithelial cells in 2D and 3D colorectal cancer models. Together, these findings establish EO CRC as a disease marked by early and widespread biomechanical remodeling, suggesting that a fibrotic and stiffened tissue microenvironment may orchestrate EO CRC tumor initiation., This study identifies a unique physical signature of colorectal cancer in younger adults: their tissues are mechanically stiffer than those in older patients with the same cancer. Furthermore, stromal remodeling in early‐onset colorectal cancer promotes epithelial mechanotransduction and proliferation, showing how mechanical alterations in the tissue microenvironment may drive progression of this rising disease.","container-title":"Advanced Science","DOI":"10.1002/advs.202514693","ISSN":"2198-3844","issue":"6","journalAbbreviation":"Adv Sci (Weinh)","page":"e14693","PMID":"41324334","PMCID":"PMC12866780","source":"PubMed Central","title":"Biomechanical Phenotyping Reveals Unique Mechanobiological Signatures of Early‐Onset Colorectal Cancer","URL":"https://pmc.ncbi.nlm.nih.gov/articles/PMC12866780/","volume":"13","author":[{"family":"Huning","given":"Nicole C."},{"family":"Buhaya","given":"Munir H."},{"family":"Nguyen","given":"Victor V."},{"family":"Khazi‐Syed","given":"Afeefah"},{"family":"Ali","given":"Haider A."},{"family":"Khan","given":"Adil"},{"family":"Fan","given":"Angela"},{"family":"Fisher","given":"Robert C."},{"family":"Chi","given":"Zhikai"},{"family":"Raman","given":"Indu"},{"family":"Chen","given":"Guangchun"},{"family":"Zhu","given":"Chengsong"},{"family":"Yu","given":"Mengxi"},{"family":"Jamieson","given":"Andrew R."},{"family":"Roccabianca","given":"Sara"},{"family":"Varner","given":"Victor D."},{"family":"Lewis","given":"Cheryl M."},{"family":"Huang","given":"Emina H."},{"family":"Ferruzzi","given":"Jacopo"}],"accessed":{"date-parts":[["2026",7,12]]},"issued":{"date-parts":[["2025",12,1]]}}},{"id":159,"uris":["http://zotero.org/users/local/sechomLT/items/RAE5WLCB"],"itemData":{"id":159,"type":"article-journal","abstract":"Colorectal cancer, a malignant neoplasm that occurs in the colorectal mucosa, is one of the most common types of gastrointestinal cancer. Colorectal cancer has been studied extensively, but the molecular mechanisms of this malignancy have not been characterized. This study identified and verified core genes associated with colorectal cancer using integrated bioinformatics analysis. Three gene expression profiles (GSE15781, GSE110223, and GSE110224) were downloaded from the Gene Expression Omnibus (GEO) databases. A total of 87 common differentially expressed genes (DEGs) among GSE15781, GSE110223, and GSE110224 were identified, including 19 upregulated genes and 68 downregulated genes. Gene ontology and Kyoto Encyclopedia of Genes and Genomes pathway enrichment analysis was performed for common DEGs using clusterProfiler. These common DEGs were significantly involved in cancer-associated functions and signaling pathways. Then, we constructed protein-protein interaction networks of these common DEGs using Cytoscape software, which resulted in the identification of the following 10 core genes: SST, PYY, CXCL1, CXCL8, CXCL3, ZG16, AQP8, CLCA4, MS4A12, and GUCA2A. Analysis using qRT-PCR has shown that SST, CXCL8, and MS4A12 were significant differentially expressed between colorectal cancer tissues and normal colorectal tissues (P &lt; 0.05). Gene Expression Profiling Interactive Analysis (GEPIA) overall survival (OS) has shown that low expressions of AQP8, ZG16, CXCL3, and CXCL8 may predict poor survival outcome in colorectal cancer. In conclusion, the core genes identified in this study contributed to the understanding of the molecular mechanisms involved in colorectal cancer development and may be targets for early diagnosis, prevention, and treatment of colorectal cancer.","container-title":"BioMed Research International","DOI":"10.1155/2020/8082697","ISSN":"2314-6133","journalAbbreviation":"Biomed Res Int","page":"8082697","PMID":"32462020","PMCID":"PMC7232680","source":"PubMed Central","title":"Identification and Verification of Core Genes in Colorectal Cancer","URL":"https://pmc.ncbi.nlm.nih.gov/articles/PMC7232680/","volume":"2020","author":[{"family":"Xu","given":"Houxi"},{"family":"Ma","given":"Yuzhu"},{"family":"Zhang","given":"Jinzhi"},{"family":"Gu","given":"Jialin"},{"family":"Jing","given":"Xinyue"},{"family":"Lu","given":"Shengfeng"},{"family":"Fu","given":"Shuping"},{"family":"Huo","given":"Jiege"}],"accessed":{"date-parts":[["2026",7,18]]},"issued":{"date-parts":[["2020",5,8]]}}}],"schema":"https://github.com/citation-style-language/schema/raw/master/csl-citation.json"} </w:instrText>
      </w:r>
      <w:r w:rsidR="0086287D">
        <w:fldChar w:fldCharType="separate"/>
      </w:r>
      <w:r w:rsidR="0087411E" w:rsidRPr="0087411E">
        <w:rPr>
          <w:rFonts w:ascii="Calibri" w:hAnsi="Calibri" w:cs="Calibri"/>
        </w:rPr>
        <w:t>(5,21)</w:t>
      </w:r>
      <w:r w:rsidR="0086287D">
        <w:fldChar w:fldCharType="end"/>
      </w:r>
      <w:r w:rsidRPr="00292D7F">
        <w:t xml:space="preserve">. </w:t>
      </w:r>
      <w:r>
        <w:t>Además</w:t>
      </w:r>
      <w:r w:rsidRPr="00292D7F">
        <w:t xml:space="preserve">, el tejido neoplásico activa programas adaptativos de respuesta a </w:t>
      </w:r>
      <w:r w:rsidRPr="00292D7F">
        <w:lastRenderedPageBreak/>
        <w:t>la hipoxia y reprogramación metabólica que garantizan la viabilidad y el suministro energético de las células tumorales incluso ante la escasez de oxígeno en el microambiente</w:t>
      </w:r>
      <w:r w:rsidR="00234ECD">
        <w:fldChar w:fldCharType="begin"/>
      </w:r>
      <w:r w:rsidR="00991CA6">
        <w:instrText xml:space="preserve"> ADDIN ZOTERO_ITEM CSL_CITATION {"citationID":"wJP2eP1A","properties":{"unsorted":false,"formattedCitation":"(43)","plainCitation":"(43)","noteIndex":0},"citationItems":[{"id":203,"uris":["http://zotero.org/users/local/sechomLT/items/43TPG3DM"],"itemData":{"id":203,"type":"article-journal","abstract":"Objective\n HMGCS2 is the rate-limiting enzyme of ketogenesis, which is vital for tumor initiation or metastasis. The aim of this study is to determine the relationship between HMGCS2 and tumor angiogenesis.\n\n Materials and Methods\n The study consisted of 100 cases with colorectal cancer and healthy control, the expression of HMGCS2 and the microvessel density (MVD) (marker: CD31) were analyzed by immunohistochemistry and tube formation, and the centration of β-hydroxybutyrate in serum was assessed by biochemical analysis.\n\n Results\n The results showed that HMGCS2 expression is significantly reduced in colorectal cancer compared with healthy control, which is inversely correlated with MVD in colorectal cancer by IHC analysis. What is more, knockdown HMGCS2 expression in HT-29 cells significantly contributed endothelial cell tube formation.\n\n Conclusion\n These findings implying HMGCS2 may have a negative regulation of tumor angiogenesis and provide an approach to inhibit tumor angiogenesis.","container-title":"Canadian Journal of Gastroenterology &amp; Hepatology","DOI":"10.1155/2019/8348967","ISSN":"2291-2789","journalAbbreviation":"Can J Gastroenterol Hepatol","page":"8348967","PMID":"31355161","PMCID":"PMC6634068","source":"PubMed Central","title":"Potential Role of HMGCS2 in Tumor Angiogenesis in Colorectal Cancer and Its Potential Use as a Diagnostic Marker","URL":"https://pmc.ncbi.nlm.nih.gov/articles/PMC6634068/","volume":"2019","author":[{"family":"Zou","given":"Kejian"},{"family":"Hu","given":"Yan"},{"family":"Li","given":"Musheng"},{"family":"Wang","given":"Hongli"},{"family":"Zhang","given":"Yuhua"},{"family":"Huang","given":"Ling"},{"family":"Xie","given":"Yuanwen"},{"family":"Li","given":"Songyu"},{"family":"Dai","given":"Xingui"},{"family":"Xu","given":"Wanfu"},{"family":"Ke","given":"Zhiyong"},{"family":"Gong","given":"Sitang"},{"family":"Wang","given":"Yaodong"}],"accessed":{"date-parts":[["2026",7,22]]},"issued":{"date-parts":[["2019",7,1]]}}}],"schema":"https://github.com/citation-style-language/schema/raw/master/csl-citation.json"} </w:instrText>
      </w:r>
      <w:r w:rsidR="00234ECD">
        <w:fldChar w:fldCharType="separate"/>
      </w:r>
      <w:r w:rsidR="00991CA6" w:rsidRPr="00991CA6">
        <w:rPr>
          <w:rFonts w:ascii="Calibri" w:hAnsi="Calibri" w:cs="Calibri"/>
        </w:rPr>
        <w:t>(43)</w:t>
      </w:r>
      <w:r w:rsidR="00234ECD">
        <w:fldChar w:fldCharType="end"/>
      </w:r>
      <w:r w:rsidRPr="00292D7F">
        <w:t>.</w:t>
      </w:r>
    </w:p>
    <w:p w14:paraId="6C041EEC" w14:textId="4A26DC53" w:rsidR="000A4C4B" w:rsidRPr="000A4C4B" w:rsidRDefault="000A4C4B" w:rsidP="000A4C4B">
      <w:r w:rsidRPr="000A4C4B">
        <w:t>Finalmente, el eje de activación se completa con ligandos</w:t>
      </w:r>
      <w:r w:rsidR="00D73D0F">
        <w:t xml:space="preserve"> secretados</w:t>
      </w:r>
      <w:r w:rsidRPr="000A4C4B">
        <w:t xml:space="preserve"> y receptores </w:t>
      </w:r>
      <w:r w:rsidR="00D73D0F">
        <w:t>trans</w:t>
      </w:r>
      <w:r w:rsidRPr="000A4C4B">
        <w:t xml:space="preserve">membrana que actúan como </w:t>
      </w:r>
      <w:r>
        <w:t>promotores</w:t>
      </w:r>
      <w:r w:rsidRPr="000A4C4B">
        <w:t xml:space="preserve"> directos de la progresión tumoral. Dentro de este grupo destaca la sobreexpresión de</w:t>
      </w:r>
      <w:r>
        <w:t xml:space="preserve"> INHBA</w:t>
      </w:r>
      <w:r w:rsidRPr="000A4C4B">
        <w:t xml:space="preserve">, gen que codifica una subunidad de la </w:t>
      </w:r>
      <w:proofErr w:type="spellStart"/>
      <w:r w:rsidRPr="000A4C4B">
        <w:t>Activina</w:t>
      </w:r>
      <w:proofErr w:type="spellEnd"/>
      <w:r w:rsidRPr="000A4C4B">
        <w:t xml:space="preserve"> A (miembro de la superfamilia TGF-</w:t>
      </w:r>
      <m:oMath>
        <m:r>
          <w:rPr>
            <w:rFonts w:ascii="Cambria Math" w:hAnsi="Cambria Math"/>
          </w:rPr>
          <m:t>β</m:t>
        </m:r>
      </m:oMath>
      <w:r w:rsidRPr="000A4C4B">
        <w:t>). Esta citoquina funciona como un factor de crecimiento secretado en el nicho tumoral que estimula de forma directa la proliferación y la capacidad invasiva de las células neoplásicas</w:t>
      </w:r>
      <w:r w:rsidR="00010319">
        <w:fldChar w:fldCharType="begin"/>
      </w:r>
      <w:r w:rsidR="00991CA6">
        <w:instrText xml:space="preserve"> ADDIN ZOTERO_ITEM CSL_CITATION {"citationID":"LQhkQ4lf","properties":{"unsorted":false,"formattedCitation":"(11,36)","plainCitation":"(11,36)","noteIndex":0},"citationItems":[{"id":102,"uris":["http://zotero.org/users/local/sechomLT/items/BAZ7QHFE"],"itemData":{"id":102,"type":"article-journal","abstract":"Tumor microenvironments have a crucial role in cancer initiation and progression, and share many molecular and pathological features with wound healing process. Unless treated, tumors, however, do not heal in contrast to wounds that heal within a limited time framework. Wounds heal in coordination of a myriad of types of cells, particularly endothelial cells, leukocytes, and fibroblasts. Similar sets of cells also contribute to cancer initiation and progression, and as a consequence, anti-cancer treatment strategies have been proposed and tested by targeting endothelial cells and/or leukocytes. Compared with endothelial cells and leukocytes, less attention has been paid to the roles of cancer-associated fibroblasts (CAFs), fibroblasts present in tumor tissues, because their heterogeneity hinders the elucidation on them at cellular and molecular levels. Here, we will discuss the origin of CAFs and their crucial roles in cancer initiation and progression, and the possibility to develop a novel type of anti-cancer treatment by manipulating the migration and functions of CAFs.","container-title":"World Journal of Gastroenterology","DOI":"10.3748/wjg.v22.i23.5301","ISSN":"1007-9327","issue":"23","journalAbbreviation":"World J Gastroenterol","page":"5301-5316","PMID":"27340347","PMCID":"PMC4910652","source":"PubMed Central","title":"Fibroblasts, an inconspicuous but essential player in colon cancer development and progression","URL":"https://pmc.ncbi.nlm.nih.gov/articles/PMC4910652/","volume":"22","author":[{"family":"Mukaida","given":"Naofumi"},{"family":"Sasaki","given":"Soichiro"}],"accessed":{"date-parts":[["2026",7,14]]},"issued":{"date-parts":[["2016",6,21]]}}},{"id":152,"uris":["http://zotero.org/users/local/sechomLT/items/JYY4QLR5"],"itemData":{"id":152,"type":"article-journal","abstract":"Background\nColon adenocarcinoma (COAD) is one of the most lethal cancers. It is particularly important to accurately predict prognosis and to provide individualized treatment. Several lines of evidence suggest that genetic factors and clinicopathological characteristics are related to cancer onset and progression. The aim of this study was to identify potential prognostic genes and to develop a nomogram to predict survival and recurrence of COAD.\n\nMethods\nTo identify potential prognostic genes in COAD, microarray datasets were downloaded from the Gene Expression Omnibus (GEO) database. Differentially expressed genes (DEGs) were obtained from GEO2R. Venn diagram was drawn to select those genes that were overexpressed in all datasets, and survival analyses were performed to determine the prognostic values of the selected genes. New nomograms were developed based on the genes that were significantly associated with prognosis. Clinicopathological data were obtained from The Cancer Genome Atlas (TCGA). Finally, the new nomograms were compared head-to-head comparison with the TNM nomogram.\n\nResults\nFrom GSE21510, GSE110223, GSE113513 and GSE110224, a total of 834, 218, 236 and 613 overexpressed DEGs were screened out, respectively. The Venn diagram revealed that 12 genes appeared in all four profiles. After survival analyses, only INHBA expression was associated with both overall survival (OS) and disease-free survival (DFS). Multivariate analyses revealed that age, pathological N and pathological M were significant independent risk factors for OS. Age, pathological N, pathological M and INHBA were significant independent risk factors for DFS. Two prediction models predicted the probability of 3-year survival and 5-year survival for OS and DFS, respectively. The concordance indexes were 0.785 for 3-year overall survival, 0.759 for 5-year overall survival, 0.789 for 3-year disease-free survival and 0.757 for 5-year disease-free survival. The head-to-head comparison according to time-dependent ROC curves indicated that the new models had higher predictive accuracy. Decision curve analyses (DCA) indicated that the clinical value of the new models were higher than TNM models for predicting disease-free survival.\n\nConclusion\nThe combination of INHBA expression with a clinical nomogram improves prognostic power in colon adenocarcinoma, especially for predicting recurrence.","container-title":"BMC Cancer","DOI":"10.1186/s12885-020-06743-2","ISSN":"1471-2407","journalAbbreviation":"BMC Cancer","page":"305","PMID":"32293338","PMCID":"PMC7161248","source":"PubMed Central","title":"INHBA is a prognostic predictor for patients with colon adenocarcinoma","URL":"https://pmc.ncbi.nlm.nih.gov/articles/PMC7161248/","volume":"20","author":[{"family":"Li","given":"Xueying"},{"family":"Yu","given":"Weiming"},{"family":"Liang","given":"Chao"},{"family":"Xu","given":"Yuan"},{"family":"Zhang","given":"Miaozun"},{"family":"Ding","given":"Xiaoyun"},{"family":"Cai","given":"Xianlei"}],"accessed":{"date-parts":[["2026",7,15]]},"issued":{"date-parts":[["2020",4,15]]}}}],"schema":"https://github.com/citation-style-language/schema/raw/master/csl-citation.json"} </w:instrText>
      </w:r>
      <w:r w:rsidR="00010319">
        <w:fldChar w:fldCharType="separate"/>
      </w:r>
      <w:r w:rsidR="00991CA6" w:rsidRPr="00991CA6">
        <w:rPr>
          <w:rFonts w:ascii="Calibri" w:hAnsi="Calibri" w:cs="Calibri"/>
        </w:rPr>
        <w:t>(11,36)</w:t>
      </w:r>
      <w:r w:rsidR="00010319">
        <w:fldChar w:fldCharType="end"/>
      </w:r>
      <w:r w:rsidRPr="000A4C4B">
        <w:t>. De forma complementaria, el receptor tirosina quinasa</w:t>
      </w:r>
      <w:r w:rsidR="00754B43">
        <w:t xml:space="preserve"> MET </w:t>
      </w:r>
      <w:r w:rsidRPr="000A4C4B">
        <w:t xml:space="preserve">(c-Met) contribuye a este programa aberrante. La activación </w:t>
      </w:r>
      <w:r w:rsidR="00E22FA3">
        <w:t>anómala y sostenida</w:t>
      </w:r>
      <w:r w:rsidRPr="000A4C4B">
        <w:t xml:space="preserve"> de este receptor en la membrana celular </w:t>
      </w:r>
      <w:r w:rsidR="00E22FA3">
        <w:t>man</w:t>
      </w:r>
      <w:r w:rsidRPr="000A4C4B">
        <w:t xml:space="preserve">tiene el fenotipo de célula madre cancerosa, otorgando a las células </w:t>
      </w:r>
      <w:r w:rsidR="00045819">
        <w:t>malignas</w:t>
      </w:r>
      <w:r w:rsidRPr="000A4C4B">
        <w:t xml:space="preserve"> la capacidad de autorrenovación y garantizando la expansión constante del tejido tumoral</w:t>
      </w:r>
      <w:r w:rsidR="00010319">
        <w:fldChar w:fldCharType="begin"/>
      </w:r>
      <w:r w:rsidR="00991CA6">
        <w:instrText xml:space="preserve"> ADDIN ZOTERO_ITEM CSL_CITATION {"citationID":"jU4yj2d5","properties":{"unsorted":false,"formattedCitation":"(44)","plainCitation":"(44)","noteIndex":0},"citationItems":[{"id":155,"uris":["http://zotero.org/users/local/sechomLT/items/NCHXV8SB"],"itemData":{"id":155,"type":"article-journal","abstract":"Cancer stemness represents a major source of development and progression of colorectal cancer (CRC). c-Met critically contributes to CRC stemness, but how c-Met is activated in CRC remains elusive. We previously identified the lipolytic factor ABHD5 as an important tumour suppressor gene in CRC. Here, we show that loss of ABHD5 promotes c-Met activation to sustain CRC stemness in a non-canonical manner. Mechanistically, we demonstrate that ABHD5 interacts in the cytoplasm with the core subunit of the SET1A methyltransferase complex, DPY30, thereby inhibiting the nuclear translocation of DPY30 and activity of SET1A. In the absence of ABHD5, DPY30 translocates to the nucleus and supports SET1A-mediated methylation of YAP and histone H3, which sequesters YAP in the nucleus and increases chromatin accessibility to synergistically promote YAP-induced transcription of c-Met, thus promoting the stemness of CRC cells. This study reveals a novel role of ABHD5 in regulating histone/non-histone methylation and CRC stemness., This study reveals an unrecognized role of ABHD5 in regulating colon cancer stemness via controlling YAP methylation and nuclear localization, further explaining the molecular mechanism through which ABHD5 functions as a tumour suppressor gene in colon cancer.","container-title":"Nature Communications","DOI":"10.1038/s41467-021-26967-5","ISSN":"2041-1723","journalAbbreviation":"Nat Commun","page":"6711","PMID":"34795238","PMCID":"PMC8602706","source":"PubMed Central","title":"ABHD5 inhibits YAP-induced c-Met overexpression and colon cancer cell stemness via suppressing YAP methylation","URL":"https://pmc.ncbi.nlm.nih.gov/articles/PMC8602706/","volume":"12","author":[{"family":"Gu","given":"Yan"},{"family":"Chen","given":"Yanrong"},{"family":"Wei","given":"Lai"},{"family":"Wu","given":"Shuang"},{"family":"Shen","given":"Kaicheng"},{"family":"Liu","given":"Chengxiang"},{"family":"Dong","given":"Yan"},{"family":"Zhao","given":"Yang"},{"family":"Zhang","given":"Yue"},{"family":"Zhang","given":"Chi"},{"family":"Zheng","given":"Wenling"},{"family":"He","given":"Jiangyi"},{"family":"Wang","given":"Yunlong"},{"family":"Li","given":"Yifei"},{"family":"Zhao","given":"Xiaoxin"},{"family":"Wang","given":"Hongwei"},{"family":"Tan","given":"Jun"},{"family":"Wang","given":"Liting"},{"family":"Zhou","given":"Qi"},{"family":"Xie","given":"Ganfeng"},{"family":"Liang","given":"Houjie"},{"family":"Ou","given":"Juanjuan"}],"accessed":{"date-parts":[["2026",7,15]]},"issued":{"date-parts":[["2021",11,18]]}}}],"schema":"https://github.com/citation-style-language/schema/raw/master/csl-citation.json"} </w:instrText>
      </w:r>
      <w:r w:rsidR="00010319">
        <w:fldChar w:fldCharType="separate"/>
      </w:r>
      <w:r w:rsidR="00991CA6" w:rsidRPr="00991CA6">
        <w:rPr>
          <w:rFonts w:ascii="Calibri" w:hAnsi="Calibri" w:cs="Calibri"/>
        </w:rPr>
        <w:t>(44)</w:t>
      </w:r>
      <w:r w:rsidR="00010319">
        <w:fldChar w:fldCharType="end"/>
      </w:r>
      <w:r w:rsidRPr="000A4C4B">
        <w:t>.</w:t>
      </w:r>
    </w:p>
    <w:p w14:paraId="508CC42E" w14:textId="4F88BD07" w:rsidR="00E44A1B" w:rsidRDefault="00E44A1B" w:rsidP="00E44A1B">
      <w:pPr>
        <w:pStyle w:val="Ttulo3"/>
      </w:pPr>
      <w:bookmarkStart w:id="60" w:name="_Toc239417057"/>
      <w:r w:rsidRPr="00E44A1B">
        <w:t xml:space="preserve">Eje de </w:t>
      </w:r>
      <w:r w:rsidR="00835045">
        <w:t>R</w:t>
      </w:r>
      <w:r w:rsidRPr="00E44A1B">
        <w:t>epresión: desdiferenciación y pérdida de la identidad epitelial</w:t>
      </w:r>
      <w:bookmarkEnd w:id="60"/>
    </w:p>
    <w:p w14:paraId="2EF84DFF" w14:textId="4AE22FFA" w:rsidR="0007060E" w:rsidRDefault="00057543" w:rsidP="00D20AB1">
      <w:r>
        <w:t>En</w:t>
      </w:r>
      <w:r w:rsidR="00CE259F" w:rsidRPr="00CE259F">
        <w:t xml:space="preserve"> lo que respecta al eje de represión, la firma consenso pone de manifiesto cómo las células malignas pierden las funciones especializadas del tejido sano, un proceso clave en la desdiferenciación celular</w:t>
      </w:r>
      <w:r w:rsidR="0007060E" w:rsidRPr="00D20AB1">
        <w:t xml:space="preserve">. </w:t>
      </w:r>
      <w:r w:rsidR="00CE259F" w:rsidRPr="00CE259F">
        <w:t xml:space="preserve">Este fenómeno </w:t>
      </w:r>
      <w:r w:rsidR="00CE259F">
        <w:t>está fuertemente ligado a</w:t>
      </w:r>
      <w:r w:rsidR="0007060E" w:rsidRPr="00D20AB1">
        <w:t xml:space="preserve"> la pérdida de la función </w:t>
      </w:r>
      <w:proofErr w:type="spellStart"/>
      <w:r w:rsidR="0007060E" w:rsidRPr="00D20AB1">
        <w:t>absortiva</w:t>
      </w:r>
      <w:proofErr w:type="spellEnd"/>
      <w:r w:rsidR="0007060E" w:rsidRPr="00D20AB1">
        <w:t xml:space="preserve"> y secretora del colonocito maduro</w:t>
      </w:r>
      <w:r w:rsidR="003503FC">
        <w:t>.</w:t>
      </w:r>
      <w:r w:rsidR="003503FC" w:rsidRPr="003503FC">
        <w:t xml:space="preserve"> </w:t>
      </w:r>
      <w:r w:rsidR="003503FC" w:rsidRPr="00186D35">
        <w:t>La disminución en la expresión de canales de agua y electrolitos como la acuaporina 8 (</w:t>
      </w:r>
      <w:r w:rsidR="003503FC" w:rsidRPr="00D20AB1">
        <w:t>AQP8</w:t>
      </w:r>
      <w:r w:rsidR="003503FC" w:rsidRPr="00186D35">
        <w:t>)</w:t>
      </w:r>
      <w:r w:rsidR="007344C0">
        <w:t xml:space="preserve"> </w:t>
      </w:r>
      <w:r w:rsidR="003503FC" w:rsidRPr="00186D35">
        <w:t xml:space="preserve">y el canal de cloruro </w:t>
      </w:r>
      <w:r w:rsidR="003503FC" w:rsidRPr="00D20AB1">
        <w:t>BEST4</w:t>
      </w:r>
      <w:r w:rsidR="003503FC" w:rsidRPr="00186D35">
        <w:t xml:space="preserve">, sumado a la pérdida de la </w:t>
      </w:r>
      <w:proofErr w:type="spellStart"/>
      <w:r w:rsidR="003503FC" w:rsidRPr="00186D35">
        <w:t>metaloenzima</w:t>
      </w:r>
      <w:proofErr w:type="spellEnd"/>
      <w:r w:rsidR="003503FC" w:rsidRPr="00186D35">
        <w:t xml:space="preserve"> anhidrasa carbónica 7 (</w:t>
      </w:r>
      <w:r w:rsidR="003503FC" w:rsidRPr="00D20AB1">
        <w:t>CA7</w:t>
      </w:r>
      <w:r w:rsidR="003503FC" w:rsidRPr="00186D35">
        <w:t xml:space="preserve">) y del canal iónico selectivo de protones </w:t>
      </w:r>
      <w:r w:rsidR="003503FC" w:rsidRPr="00D20AB1">
        <w:t>OTOP2</w:t>
      </w:r>
      <w:r w:rsidR="003503FC" w:rsidRPr="00186D35">
        <w:t>, altera significativamente el intercambio iónico y el control del pH en el lumen intestinal</w:t>
      </w:r>
      <w:r w:rsidR="007344C0">
        <w:fldChar w:fldCharType="begin"/>
      </w:r>
      <w:r w:rsidR="00991CA6">
        <w:instrText xml:space="preserve"> ADDIN ZOTERO_ITEM CSL_CITATION {"citationID":"riSaJkBf","properties":{"unsorted":false,"formattedCitation":"(21,42,45\\uc0\\u8211{}47)","plainCitation":"(21,42,45–47)","noteIndex":0},"citationItems":[{"id":176,"uris":["http://zotero.org/users/local/sechomLT/items/ZQYB9E9F"],"itemData":{"id":176,"type":"article-journal","abstract":"Bestrophin isoform 4 (BEST4) is a newly identified subtype of the calcium-activated chloride channel family. Analysis of colonic epithelial cell diversity by single-cell RNA-sequencing has revealed the existence of a cluster of BEST4+ mature colonocytes in humans. However, if the role of BEST4 is involved in regulating tumour progression remains largely unknown. In this study, we demonstrate that BEST4 overexpression attenuates cell proliferation, colony formation, and mobility in colorectal cancer (CRC) in vitro, and impedes the tumour growth and the liver metastasis in vivo. BEST4 is co-expressed with hairy/enhancer of split 4 (HES4) in the nucleus of cells, and HES4 signals BEST4 by interacting with the upstream region of the BEST4 promoter. BEST4 is epistatic to HES4 and downregulates TWIST1, thereby inhibiting epithelial-to-mesenchymal transition (EMT) in CRC. Conversely, knockout of BEST4 using CRISPR/Cas9 in CRC cells revitalises tumour growth and induces EMT. Furthermore, the low level of the BEST4 mRNA is correlated with advanced and the worse prognosis, suggesting its potential role involving CRC progression.","container-title":"eLife","DOI":"10.7554/eLife.88879","ISSN":"2050-084X","journalAbbreviation":"eLife","page":"RP88879","PMID":"39699952","PMCID":"PMC11658771","source":"PubMed Central","title":"Bestrophin-4 relays HES4 and interacts with TWIST1 to suppress epithelial-to-mesenchymal transition in colorectal cancer cells","URL":"https://pmc.ncbi.nlm.nih.gov/articles/PMC11658771/","volume":"12","author":[{"family":"Wang","given":"Zijing"},{"family":"Xia","given":"Bihan"},{"family":"Qi","given":"Shaochong"},{"family":"Zhang","given":"Xian"},{"family":"Zhang","given":"Xiaoshuang"},{"family":"Li","given":"Yan"},{"family":"Wang","given":"Huimin"},{"family":"Zhang","given":"Miao"},{"family":"Zhao","given":"Ziyi"},{"family":"Kerr","given":"David"},{"family":"Yang","given":"Li"},{"family":"Cai","given":"Shijie"},{"family":"Yang","given":"Jilin"}],"accessed":{"date-parts":[["2026",7,19]]}}},{"id":159,"uris":["http://zotero.org/users/local/sechomLT/items/RAE5WLCB"],"itemData":{"id":159,"type":"article-journal","abstract":"Colorectal cancer, a malignant neoplasm that occurs in the colorectal mucosa, is one of the most common types of gastrointestinal cancer. Colorectal cancer has been studied extensively, but the molecular mechanisms of this malignancy have not been characterized. This study identified and verified core genes associated with colorectal cancer using integrated bioinformatics analysis. Three gene expression profiles (GSE15781, GSE110223, and GSE110224) were downloaded from the Gene Expression Omnibus (GEO) databases. A total of 87 common differentially expressed genes (DEGs) among GSE15781, GSE110223, and GSE110224 were identified, including 19 upregulated genes and 68 downregulated genes. Gene ontology and Kyoto Encyclopedia of Genes and Genomes pathway enrichment analysis was performed for common DEGs using clusterProfiler. These common DEGs were significantly involved in cancer-associated functions and signaling pathways. Then, we constructed protein-protein interaction networks of these common DEGs using Cytoscape software, which resulted in the identification of the following 10 core genes: SST, PYY, CXCL1, CXCL8, CXCL3, ZG16, AQP8, CLCA4, MS4A12, and GUCA2A. Analysis using qRT-PCR has shown that SST, CXCL8, and MS4A12 were significant differentially expressed between colorectal cancer tissues and normal colorectal tissues (P &lt; 0.05). Gene Expression Profiling Interactive Analysis (GEPIA) overall survival (OS) has shown that low expressions of AQP8, ZG16, CXCL3, and CXCL8 may predict poor survival outcome in colorectal cancer. In conclusion, the core genes identified in this study contributed to the understanding of the molecular mechanisms involved in colorectal cancer development and may be targets for early diagnosis, prevention, and treatment of colorectal cancer.","container-title":"BioMed Research International","DOI":"10.1155/2020/8082697","ISSN":"2314-6133","journalAbbreviation":"Biomed Res Int","page":"8082697","PMID":"32462020","PMCID":"PMC7232680","source":"PubMed Central","title":"Identification and Verification of Core Genes in Colorectal Cancer","URL":"https://pmc.ncbi.nlm.nih.gov/articles/PMC7232680/","volume":"2020","author":[{"family":"Xu","given":"Houxi"},{"family":"Ma","given":"Yuzhu"},{"family":"Zhang","given":"Jinzhi"},{"family":"Gu","given":"Jialin"},{"family":"Jing","given":"Xinyue"},{"family":"Lu","given":"Shengfeng"},{"family":"Fu","given":"Shuping"},{"family":"Huo","given":"Jiege"}],"accessed":{"date-parts":[["2026",7,18]]},"issued":{"date-parts":[["2020",5,8]]}}},{"id":164,"uris":["http://zotero.org/users/local/sechomLT/items/FWUA2KSG"],"itemData":{"id":164,"type":"article-journal","abstract":"BACKGROUND: The aquaporins (AQPs) are a family of small membrane transport proteins whose overexpression has been implicated in tumorigenesis. However, the expression of AQP5 and AQP8 in colorectal cancer and the clinical significance remain unexplored. This study aimed to detect the expression of AQP5 and AQP8 in clinical samples of colorectal cancer and analyze the correlations of their expression with the clinicopathological features of colorectal cancer.\nMETHODS: Forty pairs of colorectal cancer tissue and paraneoplastic normal tissue were obtained at the time of surgery from patients with colorectal cancer. The expression of AQP5 and AQP8 was detected by immunohistochemical staining and reverse transcriptase polymerase chain reaction.\nRESULTS: AQP5 was mainly expressed in colorectal carcinoma cells and barely expressed in paraneoplastic normal tissues. By contrast, AQP8 was mainly expressed in paraneoplastic normal tissues and barely expressed in colorectal carcinoma cells. AQP5 expression was not significantly associated with the sex or age of the patient with colorectal cancer (P&gt;0.05), but was closely associated with the differentiation, tumor-nodes-metastasis stage and distant lymph node metastasis of colorectal carcinoma (P&lt;0.05).\nCONCLUSIONS: AQP5 might be a novel prognostic biomarker for patients with colorectal cancer.","container-title":"World Journal of Surgical Oncology","DOI":"10.1186/1477-7819-10-242","ISSN":"1477-7819","journalAbbreviation":"World J Surg Oncol","language":"eng","page":"242","PMID":"23148732","PMCID":"PMC3502271","source":"PubMed","title":"Expression of AQP5 and AQP8 in human colorectal carcinoma and their clinical significance","volume":"10","author":[{"family":"Wang","given":"Wei"},{"family":"Li","given":"Qing"},{"family":"Yang","given":"Tao"},{"family":"Bai","given":"Guang"},{"family":"Li","given":"Dongsheng"},{"family":"Li","given":"Qiang"},{"family":"Sun","given":"Hongzhi"}],"issued":{"date-parts":[["2012",11,13]]}}},{"id":172,"uris":["http://zotero.org/users/local/sechomLT/items/X7NUKCD5"],"itemData":{"id":172,"type":"article-journal","abstract":"Background\nCarbonic anhydrases (CAs) have been implicated in the pathogenesis of human cancers. Carbonic anhydrase VII (CA7), a member of the CA gene family, was recently demonstrated to be expressed in several human tissues including colon. Nevertheless, the expression and clinical relevance of CA7 in colorectal carcinoma (CRC) has not been investigated.\n\nMethods\nReal-time PCR, western blot, and immunohistochemistry analyses were used to determine CA7 expression in CRC clinical samples. The correlation of CA7 expression with clinicopathologic features was assessed in 228 patients from Luoyang, China (training cohort) and validated in 151 patients from Shanghai, China (validation cohort). Kaplan-Meier and Cox proportional regression analyses were used to estimate the association between CA7 expression and patients’ survival.\n\nResults\nCA7 expression was frequently downregulated in CRC tissues at both the mRNA and protein levels. Reduced expression of CA7 was significantly correlated with poor differentiation, positive lymph node metastasis, advanced TNM stage and unfavorable clinical outcome not only in the training cohort but also in the validation set. Survival analysis indicated that patients with lower CA7 expression had a significantly shorter disease-specific survival (DSS) than those with higher CA7 expression. Importantly, further stage-based analyses revealed that decreased CA7 expression significantly predicted poor DSS and was an independent adverse prognostic indicator for patients with early stage tumors in both cohorts.\n\nConclusions\nOur results indicate that decreased expression of CA7 correlates with disease progression and predicts poor prognosis in CRC, especially for patients with early stage tumors.\n\nElectronic supplementary material\nThe online version of this article (doi:10.1186/s12885-015-1216-y) contains supplementary material, which is available to authorized users.","container-title":"BMC Cancer","DOI":"10.1186/s12885-015-1216-y","ISSN":"1471-2407","journalAbbreviation":"BMC Cancer","page":"209","PMID":"25885898","PMCID":"PMC4406128","source":"PubMed Central","title":"Prognostic value of carbonic anhydrase VII expression in colorectal carcinoma","URL":"https://pmc.ncbi.nlm.nih.gov/articles/PMC4406128/","volume":"15","author":[{"family":"Yang","given":"Guang-Zhen"},{"family":"Hu","given":"Liang"},{"family":"Cai","given":"Jian"},{"family":"Chen","given":"Hai-Yang"},{"family":"Zhang","given":"Yu"},{"family":"Feng","given":"Dan"},{"family":"Qi","given":"Chen-Ye"},{"family":"Zhai","given":"Yan-Xia"},{"family":"Gong","given":"Hui"},{"family":"Fu","given":"Hao"},{"family":"Cai","given":"Qing-Ping"},{"family":"Gao","given":"Chun-Fang"}],"accessed":{"date-parts":[["2026",7,19]]},"issued":{"date-parts":[["2015",4,1]]}}},{"id":179,"uris":["http://zotero.org/users/local/sechomLT/items/6FB4I3WB"],"itemData":{"id":179,"type":"article-journal","abstract":"Colorectal cancer (CRC) is the third most commonly diagnosed malignancy worldwide and remains a major public health issue. Therefore, further investigation is required to delineate the cellular and molecular mechanisms underlying colorectal tumorigenesis. Using CRC data taken from The Cancer Genome Atlas, we determined that the expression of otopetrin 2 (OTOP2) is highly correlated with malignancy grade and rate of patient survival. Here, we report that OTOP2 is down‐regulated in cancerous tissues and that elevated OTOP2 effectively suppresses tumor proliferation in vitro. We demonstrate that wild‐type p53 (wtp53), but not mutant p53 (mtp53), can regulate the transcription of otop2 in CRC cells. Subsequently, we investigate the chromatin architecture of the otop2 promoter, whereby we discover alterations in p53‐dependent DNA loop organization and CCCTC‐binding factor (CTCF) binding between cells with wtp53 and mtp53. In conclusion, our study promotes an in‐depth understanding of tumorigenesis, which may also lead to the development of therapeutic applications targeting human malignancy.","container-title":"FEBS Open Bio","DOI":"10.1002/2211-5463.12554","ISSN":"2211-5463","issue":"1","journalAbbreviation":"FEBS Open Bio","page":"26-34","PMID":"30652071","PMCID":"PMC6325572","source":"PubMed Central","title":"Wild‐type p53 regulates OTOP2 transcription through DNA loop alteration of the promoter in colorectal cancer","URL":"https://pmc.ncbi.nlm.nih.gov/articles/PMC6325572/","volume":"9","author":[{"family":"Qu","given":"Huajun"},{"family":"Su","given":"Yi"},{"family":"Yu","given":"Lianzhi"},{"family":"Zhao","given":"Hongchao"},{"family":"Xin","given":"Chunxia"}],"accessed":{"date-parts":[["2026",7,19]]},"issued":{"date-parts":[["2018",12,20]]}}}],"schema":"https://github.com/citation-style-language/schema/raw/master/csl-citation.json"} </w:instrText>
      </w:r>
      <w:r w:rsidR="007344C0">
        <w:fldChar w:fldCharType="separate"/>
      </w:r>
      <w:r w:rsidR="00991CA6" w:rsidRPr="00991CA6">
        <w:rPr>
          <w:rFonts w:ascii="Calibri" w:hAnsi="Calibri" w:cs="Calibri"/>
        </w:rPr>
        <w:t>(21,42,45–47)</w:t>
      </w:r>
      <w:r w:rsidR="007344C0">
        <w:fldChar w:fldCharType="end"/>
      </w:r>
      <w:r w:rsidR="0007060E" w:rsidRPr="00D20AB1">
        <w:t xml:space="preserve">. </w:t>
      </w:r>
      <w:r w:rsidR="003E2044" w:rsidRPr="003E2044">
        <w:t xml:space="preserve">Esta alteración homeostática coincide con la reducción de señales reguladoras locales en la mucosa, destacando la marcada subexpresión de la </w:t>
      </w:r>
      <w:proofErr w:type="spellStart"/>
      <w:r w:rsidR="003E2044" w:rsidRPr="003E2044">
        <w:t>guanilina</w:t>
      </w:r>
      <w:proofErr w:type="spellEnd"/>
      <w:r w:rsidR="003E2044" w:rsidRPr="003E2044">
        <w:t xml:space="preserve"> (GUCA2A) y la </w:t>
      </w:r>
      <w:proofErr w:type="spellStart"/>
      <w:r w:rsidR="003E2044" w:rsidRPr="003E2044">
        <w:t>uroguanilina</w:t>
      </w:r>
      <w:proofErr w:type="spellEnd"/>
      <w:r w:rsidR="003E2044" w:rsidRPr="003E2044">
        <w:t xml:space="preserve"> (GUCA2B)</w:t>
      </w:r>
      <w:r w:rsidR="007344C0">
        <w:fldChar w:fldCharType="begin"/>
      </w:r>
      <w:r w:rsidR="00991CA6">
        <w:instrText xml:space="preserve"> ADDIN ZOTERO_ITEM CSL_CITATION {"citationID":"2obLgvRk","properties":{"unsorted":false,"formattedCitation":"(48)","plainCitation":"(48)","noteIndex":0},"citationItems":[{"id":182,"uris":["http://zotero.org/users/local/sechomLT/items/U3UG8KGN"],"itemData":{"id":182,"type":"article-journal","abstract":"Colorectal cancer (CRC) is a major cause of cancer-related mortality and morbidity worldwide. While improved treatments have enhanced overall patient outcome, disease burden encompassing quality of life, cost of care, and patient survival has seen little benefit. Consequently, additional advances in CRC treatments remain important, with an emphasis on preventative measures. Guanylyl cyclase C (GUCY2C), a transmembrane receptor expressed on intestinal epithelial cells, plays an important role in orchestrating intestinal homeostatic mechanisms. These effects are mediated by the endogenous hormones guanylin (GUCA2A) and uroguanylin (GUCA2B), which bind and activate GUCY2C to regulate proliferation, metabolism and barrier function in intestine. Recent studies have demonstrated a link between GUCY2C silencing and intestinal dysfunction, including tumorigenesis. Indeed, GUCY2C silencing by the near universal loss of its paracrine hormone ligands increases colon cancer susceptibility in animals and humans. GUCY2C’s role as a tumor suppressor has opened the door to a new paradigm for CRC prevention by hormone replacement therapy using synthetic hormone analogs, such as the FDA-approved oral GUCY2C ligand linaclotide (Linzess™). Here we review the known contributions of the GUCY2C signaling axis to CRC, and relate them to a novel clinical strategy targeting tumor chemoprevention.","container-title":"World Journal of Gastroenterology","DOI":"10.3748/wjg.v22.i36.8070","ISSN":"1007-9327","issue":"36","journalAbbreviation":"World J Gastroenterol","page":"8070-8077","PMID":"27688649","PMCID":"PMC5037076","source":"PubMed Central","title":"Guanylyl cyclase C signaling axis and colon cancer prevention","URL":"https://pmc.ncbi.nlm.nih.gov/articles/PMC5037076/","volume":"22","author":[{"family":"Pattison","given":"Amanda M"},{"family":"Merlino","given":"Dante J"},{"family":"Blomain","given":"Erik S"},{"family":"Waldman","given":"Scott A"}],"accessed":{"date-parts":[["2026",7,19]]},"issued":{"date-parts":[["2016",9,28]]}}}],"schema":"https://github.com/citation-style-language/schema/raw/master/csl-citation.json"} </w:instrText>
      </w:r>
      <w:r w:rsidR="007344C0">
        <w:fldChar w:fldCharType="separate"/>
      </w:r>
      <w:r w:rsidR="00991CA6" w:rsidRPr="00991CA6">
        <w:rPr>
          <w:rFonts w:ascii="Calibri" w:hAnsi="Calibri" w:cs="Calibri"/>
        </w:rPr>
        <w:t>(48)</w:t>
      </w:r>
      <w:r w:rsidR="007344C0">
        <w:fldChar w:fldCharType="end"/>
      </w:r>
      <w:r w:rsidR="003E2044" w:rsidRPr="003E2044">
        <w:t>. En condiciones normales, estos péptidos actúan como ligandos paracrinos que activan el receptor transmembrana GUCY2C para regular el equilibrio de fluidos y suprimir la expansión celular</w:t>
      </w:r>
      <w:r w:rsidR="007344C0">
        <w:fldChar w:fldCharType="begin"/>
      </w:r>
      <w:r w:rsidR="00991CA6">
        <w:instrText xml:space="preserve"> ADDIN ZOTERO_ITEM CSL_CITATION {"citationID":"09rYEWV0","properties":{"unsorted":false,"formattedCitation":"(48)","plainCitation":"(48)","noteIndex":0},"citationItems":[{"id":182,"uris":["http://zotero.org/users/local/sechomLT/items/U3UG8KGN"],"itemData":{"id":182,"type":"article-journal","abstract":"Colorectal cancer (CRC) is a major cause of cancer-related mortality and morbidity worldwide. While improved treatments have enhanced overall patient outcome, disease burden encompassing quality of life, cost of care, and patient survival has seen little benefit. Consequently, additional advances in CRC treatments remain important, with an emphasis on preventative measures. Guanylyl cyclase C (GUCY2C), a transmembrane receptor expressed on intestinal epithelial cells, plays an important role in orchestrating intestinal homeostatic mechanisms. These effects are mediated by the endogenous hormones guanylin (GUCA2A) and uroguanylin (GUCA2B), which bind and activate GUCY2C to regulate proliferation, metabolism and barrier function in intestine. Recent studies have demonstrated a link between GUCY2C silencing and intestinal dysfunction, including tumorigenesis. Indeed, GUCY2C silencing by the near universal loss of its paracrine hormone ligands increases colon cancer susceptibility in animals and humans. GUCY2C’s role as a tumor suppressor has opened the door to a new paradigm for CRC prevention by hormone replacement therapy using synthetic hormone analogs, such as the FDA-approved oral GUCY2C ligand linaclotide (Linzess™). Here we review the known contributions of the GUCY2C signaling axis to CRC, and relate them to a novel clinical strategy targeting tumor chemoprevention.","container-title":"World Journal of Gastroenterology","DOI":"10.3748/wjg.v22.i36.8070","ISSN":"1007-9327","issue":"36","journalAbbreviation":"World J Gastroenterol","page":"8070-8077","PMID":"27688649","PMCID":"PMC5037076","source":"PubMed Central","title":"Guanylyl cyclase C signaling axis and colon cancer prevention","URL":"https://pmc.ncbi.nlm.nih.gov/articles/PMC5037076/","volume":"22","author":[{"family":"Pattison","given":"Amanda M"},{"family":"Merlino","given":"Dante J"},{"family":"Blomain","given":"Erik S"},{"family":"Waldman","given":"Scott A"}],"accessed":{"date-parts":[["2026",7,19]]},"issued":{"date-parts":[["2016",9,28]]}}}],"schema":"https://github.com/citation-style-language/schema/raw/master/csl-citation.json"} </w:instrText>
      </w:r>
      <w:r w:rsidR="007344C0">
        <w:fldChar w:fldCharType="separate"/>
      </w:r>
      <w:r w:rsidR="00991CA6" w:rsidRPr="00991CA6">
        <w:rPr>
          <w:rFonts w:ascii="Calibri" w:hAnsi="Calibri" w:cs="Calibri"/>
        </w:rPr>
        <w:t>(48)</w:t>
      </w:r>
      <w:r w:rsidR="007344C0">
        <w:fldChar w:fldCharType="end"/>
      </w:r>
      <w:r w:rsidR="003E2044" w:rsidRPr="003E2044">
        <w:t xml:space="preserve">. En consecuencia, la pérdida de este estímulo hormonal anula los mecanismos de control </w:t>
      </w:r>
      <w:proofErr w:type="spellStart"/>
      <w:r w:rsidR="003E2044" w:rsidRPr="003E2044">
        <w:t>antiproliferativo</w:t>
      </w:r>
      <w:proofErr w:type="spellEnd"/>
      <w:r w:rsidR="003E2044" w:rsidRPr="003E2044">
        <w:t xml:space="preserve"> del epiteli</w:t>
      </w:r>
      <w:r w:rsidR="003E2044">
        <w:t>o</w:t>
      </w:r>
      <w:r w:rsidR="007344C0">
        <w:fldChar w:fldCharType="begin"/>
      </w:r>
      <w:r w:rsidR="00991CA6">
        <w:instrText xml:space="preserve"> ADDIN ZOTERO_ITEM CSL_CITATION {"citationID":"7yVhgwV7","properties":{"unsorted":false,"formattedCitation":"(48)","plainCitation":"(48)","noteIndex":0},"citationItems":[{"id":182,"uris":["http://zotero.org/users/local/sechomLT/items/U3UG8KGN"],"itemData":{"id":182,"type":"article-journal","abstract":"Colorectal cancer (CRC) is a major cause of cancer-related mortality and morbidity worldwide. While improved treatments have enhanced overall patient outcome, disease burden encompassing quality of life, cost of care, and patient survival has seen little benefit. Consequently, additional advances in CRC treatments remain important, with an emphasis on preventative measures. Guanylyl cyclase C (GUCY2C), a transmembrane receptor expressed on intestinal epithelial cells, plays an important role in orchestrating intestinal homeostatic mechanisms. These effects are mediated by the endogenous hormones guanylin (GUCA2A) and uroguanylin (GUCA2B), which bind and activate GUCY2C to regulate proliferation, metabolism and barrier function in intestine. Recent studies have demonstrated a link between GUCY2C silencing and intestinal dysfunction, including tumorigenesis. Indeed, GUCY2C silencing by the near universal loss of its paracrine hormone ligands increases colon cancer susceptibility in animals and humans. GUCY2C’s role as a tumor suppressor has opened the door to a new paradigm for CRC prevention by hormone replacement therapy using synthetic hormone analogs, such as the FDA-approved oral GUCY2C ligand linaclotide (Linzess™). Here we review the known contributions of the GUCY2C signaling axis to CRC, and relate them to a novel clinical strategy targeting tumor chemoprevention.","container-title":"World Journal of Gastroenterology","DOI":"10.3748/wjg.v22.i36.8070","ISSN":"1007-9327","issue":"36","journalAbbreviation":"World J Gastroenterol","page":"8070-8077","PMID":"27688649","PMCID":"PMC5037076","source":"PubMed Central","title":"Guanylyl cyclase C signaling axis and colon cancer prevention","URL":"https://pmc.ncbi.nlm.nih.gov/articles/PMC5037076/","volume":"22","author":[{"family":"Pattison","given":"Amanda M"},{"family":"Merlino","given":"Dante J"},{"family":"Blomain","given":"Erik S"},{"family":"Waldman","given":"Scott A"}],"accessed":{"date-parts":[["2026",7,19]]},"issued":{"date-parts":[["2016",9,28]]}}}],"schema":"https://github.com/citation-style-language/schema/raw/master/csl-citation.json"} </w:instrText>
      </w:r>
      <w:r w:rsidR="007344C0">
        <w:fldChar w:fldCharType="separate"/>
      </w:r>
      <w:r w:rsidR="00991CA6" w:rsidRPr="00991CA6">
        <w:rPr>
          <w:rFonts w:ascii="Calibri" w:hAnsi="Calibri" w:cs="Calibri"/>
        </w:rPr>
        <w:t>(48)</w:t>
      </w:r>
      <w:r w:rsidR="007344C0">
        <w:fldChar w:fldCharType="end"/>
      </w:r>
      <w:r w:rsidR="003E2044">
        <w:t>.</w:t>
      </w:r>
    </w:p>
    <w:p w14:paraId="4508BA1C" w14:textId="774396A4" w:rsidR="007E3DCB" w:rsidRDefault="005131C2" w:rsidP="00D20AB1">
      <w:r>
        <w:t>Por otro lado</w:t>
      </w:r>
      <w:r w:rsidR="00480656" w:rsidRPr="00480656">
        <w:t xml:space="preserve">, el eje de represión compromete los mecanismos de protección y detoxificación celular. En este </w:t>
      </w:r>
      <w:r w:rsidR="00C44217">
        <w:t>contexto</w:t>
      </w:r>
      <w:r w:rsidR="00480656" w:rsidRPr="00480656">
        <w:t xml:space="preserve"> </w:t>
      </w:r>
      <w:r w:rsidR="00E70809">
        <w:t>resalta</w:t>
      </w:r>
      <w:r w:rsidR="00480656" w:rsidRPr="00480656">
        <w:t xml:space="preserve"> la subexpresión </w:t>
      </w:r>
      <w:r w:rsidR="00E70809">
        <w:t>sistemática</w:t>
      </w:r>
      <w:r w:rsidR="00480656" w:rsidRPr="00480656">
        <w:t xml:space="preserve"> de la familia de las </w:t>
      </w:r>
      <w:proofErr w:type="spellStart"/>
      <w:r w:rsidR="00480656" w:rsidRPr="00480656">
        <w:t>metalotioneínas</w:t>
      </w:r>
      <w:proofErr w:type="spellEnd"/>
      <w:r w:rsidR="00480656" w:rsidRPr="00480656">
        <w:t xml:space="preserve">, principalmente </w:t>
      </w:r>
      <w:r w:rsidR="00480656" w:rsidRPr="00C44217">
        <w:t>MT1M, MT1H, MT1G, MT1F y MT1E</w:t>
      </w:r>
      <w:r>
        <w:rPr>
          <w:i/>
          <w:iCs/>
        </w:rPr>
        <w:t>.</w:t>
      </w:r>
      <w:r w:rsidR="00480656" w:rsidRPr="00480656">
        <w:t xml:space="preserve"> </w:t>
      </w:r>
      <w:r w:rsidRPr="005131C2">
        <w:t xml:space="preserve">Estas </w:t>
      </w:r>
      <w:r>
        <w:t>son</w:t>
      </w:r>
      <w:r w:rsidRPr="005131C2">
        <w:t xml:space="preserve"> proteínas de unión a metales</w:t>
      </w:r>
      <w:r>
        <w:t xml:space="preserve"> que</w:t>
      </w:r>
      <w:r w:rsidRPr="005131C2">
        <w:t xml:space="preserve"> participan en procesos fundamentales para la integridad tisular, </w:t>
      </w:r>
      <w:r w:rsidRPr="005131C2">
        <w:lastRenderedPageBreak/>
        <w:t>incluyendo el mantenimiento de la homeostasis de metales, la desintoxicación celular, la regulación de la proliferación y la respuesta defensiva frente al estrés oxidativo</w:t>
      </w:r>
      <w:r>
        <w:fldChar w:fldCharType="begin"/>
      </w:r>
      <w:r w:rsidR="00D70B8B">
        <w:instrText xml:space="preserve"> ADDIN ZOTERO_ITEM CSL_CITATION {"citationID":"JiZfIZK8","properties":{"unsorted":false,"formattedCitation":"(8)","plainCitation":"(8)","noteIndex":0},"citationItems":[{"id":185,"uris":["http://zotero.org/users/local/sechomLT/items/3LBCITJV"],"itemData":{"id":185,"type":"article-journal","abstract":"Colorectal cancer (CRC) is a heterogeneous disease resulting from the combined influence of many genetic factors. This complexity has caused the molecular characterization of CRC to remain uncharacterized, with a lack of clear gene markers associated with CRC and the prognosis of this disease. Thus, highly sensitive tumor markers for the detection of CRC are the most essential determinants of survival. In this study, we examined the simultaneous downregulation of the mRNA levels of six metallothionein (MT) genes in CRC cell lines and public CRC datasets for the first time. In addition, we detected downregulation of these six MT mRNAs’ levels in 30 pairs of tumor (T) and adjacent non-tumor (N) CRC specimens. In order to understand the potential prognostic relevance of these six MT genes and CRC, we presented a four-gene signature to evaluate the prognosis of CRC patients. Further discovery suggested that the four-gene signature (MT1F, MT1G, MT1L, and MT1X) predicted survival better than any combination of two-, three-, four-, five-, or six-gene models. In conclusion, this study is the first to report that simultaneous downregulation of six MT mRNAs’ levels in CRC patients, and their aberrant expression together, accurately predicted CRC patients’ outcomes.","container-title":"International Journal of Molecular Sciences","DOI":"10.3390/ijms20163849","ISSN":"1422-0067","issue":"16","journalAbbreviation":"Int J Mol Sci","page":"3849","PMID":"31394742","PMCID":"PMC6721156","source":"PubMed Central","title":"The Expression Profile and Prognostic Significance of Metallothionein Genes in Colorectal Cancer","URL":"https://pmc.ncbi.nlm.nih.gov/articles/PMC6721156/","volume":"20","author":[{"family":"Hung","given":"Kuo-Chen"},{"family":"Huang","given":"Tsui-Chin"},{"family":"Cheng","given":"Chia-Hsiung"},{"family":"Cheng","given":"Ya-Wen"},{"family":"Lin","given":"Ding-Yen"},{"family":"Fan","given":"Jhen-Jia"},{"family":"Lee","given":"Kuen-Haur"}],"accessed":{"date-parts":[["2026",7,19]]},"issued":{"date-parts":[["2019",8,7]]}}}],"schema":"https://github.com/citation-style-language/schema/raw/master/csl-citation.json"} </w:instrText>
      </w:r>
      <w:r>
        <w:fldChar w:fldCharType="separate"/>
      </w:r>
      <w:r w:rsidR="00D70B8B" w:rsidRPr="00D70B8B">
        <w:rPr>
          <w:rFonts w:ascii="Calibri" w:hAnsi="Calibri" w:cs="Calibri"/>
        </w:rPr>
        <w:t>(8)</w:t>
      </w:r>
      <w:r>
        <w:fldChar w:fldCharType="end"/>
      </w:r>
      <w:r w:rsidR="00480656" w:rsidRPr="00480656">
        <w:t xml:space="preserve">. </w:t>
      </w:r>
      <w:r w:rsidR="0089100C" w:rsidRPr="0089100C">
        <w:t>Por lo tanto, la pérdida de estas funciones protectoras debilita las defensas de la célula frente al daño celular y al entorno oxidativo, facilitando el avance del tumor</w:t>
      </w:r>
      <w:r w:rsidR="00251D7E">
        <w:fldChar w:fldCharType="begin"/>
      </w:r>
      <w:r w:rsidR="00D70B8B">
        <w:instrText xml:space="preserve"> ADDIN ZOTERO_ITEM CSL_CITATION {"citationID":"oVMfxVjA","properties":{"unsorted":false,"formattedCitation":"(8)","plainCitation":"(8)","noteIndex":0},"citationItems":[{"id":185,"uris":["http://zotero.org/users/local/sechomLT/items/3LBCITJV"],"itemData":{"id":185,"type":"article-journal","abstract":"Colorectal cancer (CRC) is a heterogeneous disease resulting from the combined influence of many genetic factors. This complexity has caused the molecular characterization of CRC to remain uncharacterized, with a lack of clear gene markers associated with CRC and the prognosis of this disease. Thus, highly sensitive tumor markers for the detection of CRC are the most essential determinants of survival. In this study, we examined the simultaneous downregulation of the mRNA levels of six metallothionein (MT) genes in CRC cell lines and public CRC datasets for the first time. In addition, we detected downregulation of these six MT mRNAs’ levels in 30 pairs of tumor (T) and adjacent non-tumor (N) CRC specimens. In order to understand the potential prognostic relevance of these six MT genes and CRC, we presented a four-gene signature to evaluate the prognosis of CRC patients. Further discovery suggested that the four-gene signature (MT1F, MT1G, MT1L, and MT1X) predicted survival better than any combination of two-, three-, four-, five-, or six-gene models. In conclusion, this study is the first to report that simultaneous downregulation of six MT mRNAs’ levels in CRC patients, and their aberrant expression together, accurately predicted CRC patients’ outcomes.","container-title":"International Journal of Molecular Sciences","DOI":"10.3390/ijms20163849","ISSN":"1422-0067","issue":"16","journalAbbreviation":"Int J Mol Sci","page":"3849","PMID":"31394742","PMCID":"PMC6721156","source":"PubMed Central","title":"The Expression Profile and Prognostic Significance of Metallothionein Genes in Colorectal Cancer","URL":"https://pmc.ncbi.nlm.nih.gov/articles/PMC6721156/","volume":"20","author":[{"family":"Hung","given":"Kuo-Chen"},{"family":"Huang","given":"Tsui-Chin"},{"family":"Cheng","given":"Chia-Hsiung"},{"family":"Cheng","given":"Ya-Wen"},{"family":"Lin","given":"Ding-Yen"},{"family":"Fan","given":"Jhen-Jia"},{"family":"Lee","given":"Kuen-Haur"}],"accessed":{"date-parts":[["2026",7,19]]},"issued":{"date-parts":[["2019",8,7]]}}}],"schema":"https://github.com/citation-style-language/schema/raw/master/csl-citation.json"} </w:instrText>
      </w:r>
      <w:r w:rsidR="00251D7E">
        <w:fldChar w:fldCharType="separate"/>
      </w:r>
      <w:r w:rsidR="00D70B8B" w:rsidRPr="00D70B8B">
        <w:rPr>
          <w:rFonts w:ascii="Calibri" w:hAnsi="Calibri" w:cs="Calibri"/>
        </w:rPr>
        <w:t>(8)</w:t>
      </w:r>
      <w:r w:rsidR="00251D7E">
        <w:fldChar w:fldCharType="end"/>
      </w:r>
      <w:r w:rsidR="0089100C" w:rsidRPr="0089100C">
        <w:t>.</w:t>
      </w:r>
      <w:r w:rsidR="0089100C" w:rsidRPr="00C44217">
        <w:t xml:space="preserve"> </w:t>
      </w:r>
      <w:r w:rsidR="00B40432" w:rsidRPr="00C44217">
        <w:t xml:space="preserve">Este efecto se acompaña de la baja expresión de marcadores vinculados a la detoxificación y metabolismo de xenobióticos, como CES3 y ADH1C. Específicamente, la </w:t>
      </w:r>
      <w:proofErr w:type="spellStart"/>
      <w:r w:rsidR="00B40432" w:rsidRPr="00C44217">
        <w:t>carboxilesterasa</w:t>
      </w:r>
      <w:proofErr w:type="spellEnd"/>
      <w:r w:rsidR="00B40432" w:rsidRPr="00C44217">
        <w:t xml:space="preserve"> 3 (CES3) se encarga de procesar toxinas y fármacos en la mucosa normal, mientras que la alcohol deshidrogenasa 1C (ADH1C) participa en la eliminación de alcoholes y retinoides</w:t>
      </w:r>
      <w:r w:rsidR="00251D7E">
        <w:fldChar w:fldCharType="begin"/>
      </w:r>
      <w:r w:rsidR="00D70B8B">
        <w:instrText xml:space="preserve"> ADDIN ZOTERO_ITEM CSL_CITATION {"citationID":"kgzBARKU","properties":{"unsorted":false,"formattedCitation":"(4)","plainCitation":"(4)","noteIndex":0},"citationItems":[{"id":191,"uris":["http://zotero.org/users/local/sechomLT/items/6L7ALCV7"],"itemData":{"id":191,"type":"article-journal","abstract":"Colorectal cancer (CRC) is the third most common cancer in men and the second most common cancer in women worldwide. CRC is the second leading cause of cancer-related deaths. Although some progress in the treatment of CRC has been achieved, the molecular mechanism of CRC is still unclear. In this study, alcohol dehydrogenase 1C(ADH1C) was first identified as a target gene closely associated with the development of CRC by the comprehensive application of transcriptomics, proteomics, metabonomics and in silico analysis. The ADH1C mRNA and protein expression in CRC cell lines and tumor tissues was lower than that in normal intestinal epithelial cell lines and healthy tissues. Overexpression of ADH1C inhibited the growth, migration, invasion and colony formation of CRC cell lines and prevented the growth of xenograft tumors in nude mice. The inhibitory effects of ADH1C on CRC cells in vitro were exerted by reducing the expression of PHGDH/PSAT1 and the serine level. This inhibition could be partially reversed by adding serine to the culture medium. These results showed that ADH1C is a potential drug target in CRC.,","container-title":"Acta Pharmacologica Sinica","DOI":"10.1038/s41401-022-00894-7","ISSN":"1671-4083","issue":"10","journalAbbreviation":"Acta Pharmacol Sin","page":"2709-2722","PMID":"35354963","PMCID":"PMC9525271","source":"PubMed Central","title":"ADH1C inhibits progression of colorectal cancer through the ADH1C/PHGDH /PSAT1/serine metabolic pathway","URL":"https://pmc.ncbi.nlm.nih.gov/articles/PMC9525271/","volume":"43","author":[{"family":"Li","given":"Sha"},{"family":"Yang","given":"Hong"},{"family":"Li","given":"Wan"},{"family":"Liu","given":"Jin-yi"},{"family":"Ren","given":"Li-wen"},{"family":"Yang","given":"Yi-hui"},{"family":"Ge","given":"Bin-bin"},{"family":"Zhang","given":"Yi-zhi"},{"family":"Fu","given":"Wei-qi"},{"family":"Zheng","given":"Xiang-jin"},{"family":"Du","given":"Guan-hua"},{"family":"Wang","given":"Jin-Hua"}],"accessed":{"date-parts":[["2026",7,20]]},"issued":{"date-parts":[["2022",10]]}}}],"schema":"https://github.com/citation-style-language/schema/raw/master/csl-citation.json"} </w:instrText>
      </w:r>
      <w:r w:rsidR="00251D7E">
        <w:fldChar w:fldCharType="separate"/>
      </w:r>
      <w:r w:rsidR="00D70B8B" w:rsidRPr="00D70B8B">
        <w:rPr>
          <w:rFonts w:ascii="Calibri" w:hAnsi="Calibri" w:cs="Calibri"/>
        </w:rPr>
        <w:t>(4)</w:t>
      </w:r>
      <w:r w:rsidR="00251D7E">
        <w:fldChar w:fldCharType="end"/>
      </w:r>
      <w:r w:rsidR="00B40432" w:rsidRPr="00C44217">
        <w:t>.</w:t>
      </w:r>
      <w:r w:rsidR="00B40432" w:rsidRPr="00B40432">
        <w:t xml:space="preserve"> De este modo, la disminución de estos </w:t>
      </w:r>
      <w:r w:rsidR="00B40432">
        <w:t xml:space="preserve">y otros </w:t>
      </w:r>
      <w:r w:rsidR="00B40432" w:rsidRPr="00B40432">
        <w:t xml:space="preserve">componentes reduce la barrera de defensa de la mucosa intestinal </w:t>
      </w:r>
      <w:r w:rsidR="00251D7E">
        <w:t>frente a productos tóxicos y perjudiciales</w:t>
      </w:r>
      <w:r w:rsidR="00B40432" w:rsidRPr="00B40432">
        <w:t>.</w:t>
      </w:r>
    </w:p>
    <w:p w14:paraId="165BBA81" w14:textId="4D009643" w:rsidR="00F3241D" w:rsidRPr="000D09A0" w:rsidRDefault="00C44217" w:rsidP="00F3241D">
      <w:r>
        <w:t>Por último</w:t>
      </w:r>
      <w:r w:rsidR="00D20AB1" w:rsidRPr="00D20AB1">
        <w:t>, la pérdida de estas funciones fisiológicas coincide con la inhibición de supresores moleculares que controlan la proliferación y el metabolismo energético</w:t>
      </w:r>
      <w:r w:rsidR="007A53FA" w:rsidRPr="007A53FA">
        <w:t>, conectando de forma directa con los hallazgos del eje de activación</w:t>
      </w:r>
      <w:r w:rsidR="00D20AB1" w:rsidRPr="00D20AB1">
        <w:t xml:space="preserve">. Un </w:t>
      </w:r>
      <w:r w:rsidR="00E70809">
        <w:t>descubrimiento clave</w:t>
      </w:r>
      <w:r w:rsidR="00D20AB1" w:rsidRPr="00D20AB1">
        <w:t xml:space="preserve"> es la subexpresión de SFRP1 (</w:t>
      </w:r>
      <w:proofErr w:type="spellStart"/>
      <w:r w:rsidR="00D20AB1" w:rsidRPr="00D20AB1">
        <w:t>Secreted</w:t>
      </w:r>
      <w:proofErr w:type="spellEnd"/>
      <w:r w:rsidR="00D20AB1" w:rsidRPr="00D20AB1">
        <w:t xml:space="preserve"> </w:t>
      </w:r>
      <w:proofErr w:type="spellStart"/>
      <w:r w:rsidR="00D20AB1" w:rsidRPr="00D20AB1">
        <w:t>Frizzled</w:t>
      </w:r>
      <w:proofErr w:type="spellEnd"/>
      <w:r w:rsidR="00D20AB1" w:rsidRPr="00D20AB1">
        <w:t xml:space="preserve"> </w:t>
      </w:r>
      <w:proofErr w:type="spellStart"/>
      <w:r w:rsidR="00D20AB1" w:rsidRPr="00D20AB1">
        <w:t>Related</w:t>
      </w:r>
      <w:proofErr w:type="spellEnd"/>
      <w:r w:rsidR="00D20AB1" w:rsidRPr="00D20AB1">
        <w:t xml:space="preserve"> </w:t>
      </w:r>
      <w:proofErr w:type="spellStart"/>
      <w:r w:rsidR="00D20AB1" w:rsidRPr="00D20AB1">
        <w:t>Protein</w:t>
      </w:r>
      <w:proofErr w:type="spellEnd"/>
      <w:r w:rsidR="00D20AB1" w:rsidRPr="00D20AB1">
        <w:t xml:space="preserve"> 1), </w:t>
      </w:r>
      <w:r w:rsidR="00E70809" w:rsidRPr="00E70809">
        <w:t xml:space="preserve">un antagonista soluble que en condiciones normales bloquea a los ligandos </w:t>
      </w:r>
      <w:proofErr w:type="spellStart"/>
      <w:r w:rsidR="00E70809" w:rsidRPr="00E70809">
        <w:t>Wnt</w:t>
      </w:r>
      <w:proofErr w:type="spellEnd"/>
      <w:r w:rsidR="00E70809" w:rsidRPr="00E70809">
        <w:t xml:space="preserve"> en el espacio extracelular</w:t>
      </w:r>
      <w:r w:rsidR="00250A22">
        <w:fldChar w:fldCharType="begin"/>
      </w:r>
      <w:r w:rsidR="00991CA6">
        <w:instrText xml:space="preserve"> ADDIN ZOTERO_ITEM CSL_CITATION {"citationID":"tNOejGU3","properties":{"unsorted":false,"formattedCitation":"(49)","plainCitation":"(49)","noteIndex":0},"citationItems":[{"id":197,"uris":["http://zotero.org/users/local/sechomLT/items/PWF4H83B"],"itemData":{"id":197,"type":"article-journal","abstract":"DNA methylation is an epigenetic mechanism regulating gene expression. Changes in DNA methylation were suggested to be useful biomarkers for diagnosis, and for the determination of prognosis and treatment response. Here, we provide an overview of methylation-based biomarkers in colorectal cancer. First, we start with the two methylation-based diagnostic biomarkers already approved for colorectal cancer, SEPT9 and the combination of NDRG4 and BMP3. Then, we provide a list-based overview of new biomarker candidates depending on the sample source including plasma, stool, urine, and surgically removed tumor tissues. The most often identified markers like SDC2, VIM, APC, MGMT, SFRP1, SFRP2, and NDRG4 have distinct functions previously linked to tumor progression. Although numerous studies have identified tumor-specific methylation changes, most of these alterations were observed in a single study only. The lack of validation in independent samples means low reproducibility and is a major limitation. The genome-wide determination of methylation status (methylome) can provide data to solve these issues. In the third section of the review, methylome studies focusing on different aspects related to CRC, including precancerous lesions, CRC-specific changes, molecular subtypes, aging, and chemotherapy response are summarized. Notably, techniques simultaneously analyzing a large set of regions can also uncover epigenetic regulation of genes which have not yet been associated with tumorigenesis previously. A remaining constraint of studies published to date is the low patient number utilized in these preventing the identification of clinically valuable biomarker candidates. Either future large-scale studies or the integration of already available methylome-level data will be necessary to uncover biomarkers sufficiently robust for clinical application.","container-title":"Biochimica et Biophysica Acta (BBA) - Reviews on Cancer","DOI":"10.1016/j.bbcan.2022.188722","ISSN":"0304-419X","issue":"3","journalAbbreviation":"Biochimica et Biophysica Acta (BBA) - Reviews on Cancer","page":"188722","source":"ScienceDirect","title":"DNA methylation-based diagnostic, prognostic, and predictive biomarkers in colorectal cancer","URL":"https://www.sciencedirect.com/science/article/pii/S0304419X22000476","volume":"1877","author":[{"family":"Müller","given":"Dalma"},{"family":"Győrffy","given":"Balázs"}],"accessed":{"date-parts":[["2026",7,22]]},"issued":{"date-parts":[["2022",5,1]]}}}],"schema":"https://github.com/citation-style-language/schema/raw/master/csl-citation.json"} </w:instrText>
      </w:r>
      <w:r w:rsidR="00250A22">
        <w:fldChar w:fldCharType="separate"/>
      </w:r>
      <w:r w:rsidR="00991CA6" w:rsidRPr="00991CA6">
        <w:rPr>
          <w:rFonts w:ascii="Calibri" w:hAnsi="Calibri" w:cs="Calibri"/>
        </w:rPr>
        <w:t>(49)</w:t>
      </w:r>
      <w:r w:rsidR="00250A22">
        <w:fldChar w:fldCharType="end"/>
      </w:r>
      <w:r w:rsidR="00E70809" w:rsidRPr="00E70809">
        <w:t xml:space="preserve">. Su disminución deja desprotegidos a los receptores de la superficie celular, permitiendo que señales paracrinas, como el factor WNT2 liberado por los </w:t>
      </w:r>
      <w:proofErr w:type="spellStart"/>
      <w:r w:rsidR="00E70809" w:rsidRPr="00E70809">
        <w:t>CAFs</w:t>
      </w:r>
      <w:proofErr w:type="spellEnd"/>
      <w:r w:rsidR="00E70809" w:rsidRPr="00E70809">
        <w:t xml:space="preserve"> en el microambiente, activen de forma continua la vía clásica de la </w:t>
      </w:r>
      <m:oMath>
        <m:r>
          <w:rPr>
            <w:rFonts w:ascii="Cambria Math" w:hAnsi="Cambria Math"/>
          </w:rPr>
          <m:t>β</m:t>
        </m:r>
      </m:oMath>
      <w:r w:rsidR="00E70809" w:rsidRPr="00E70809">
        <w:t>-catenina</w:t>
      </w:r>
      <w:r w:rsidR="00D20AB1" w:rsidRPr="00D20AB1">
        <w:t>.</w:t>
      </w:r>
      <w:r w:rsidR="001450C2">
        <w:t xml:space="preserve"> </w:t>
      </w:r>
      <w:r w:rsidR="00D20AB1" w:rsidRPr="00D20AB1">
        <w:t>Este evento se coordina con la alteración del metabolismo energético del colonocito, evidenciada por la marcada subexpresión de HMGCS2 y PPARGC1A.</w:t>
      </w:r>
      <w:r w:rsidR="00347FD4">
        <w:t xml:space="preserve"> </w:t>
      </w:r>
      <w:r w:rsidR="00CA6982" w:rsidRPr="00CA6982">
        <w:t xml:space="preserve">Por un lado, HMGCS2 actúa como la enzima limitante de la </w:t>
      </w:r>
      <w:r w:rsidR="00CA6982" w:rsidRPr="00D55447">
        <w:t>cetogénesis</w:t>
      </w:r>
      <w:r w:rsidR="00CA6982" w:rsidRPr="00CA6982">
        <w:t xml:space="preserve"> mitocondrial</w:t>
      </w:r>
      <w:r w:rsidR="00250A22">
        <w:fldChar w:fldCharType="begin"/>
      </w:r>
      <w:r w:rsidR="00991CA6">
        <w:instrText xml:space="preserve"> ADDIN ZOTERO_ITEM CSL_CITATION {"citationID":"rgftZnaZ","properties":{"unsorted":false,"formattedCitation":"(43)","plainCitation":"(43)","noteIndex":0},"citationItems":[{"id":203,"uris":["http://zotero.org/users/local/sechomLT/items/43TPG3DM"],"itemData":{"id":203,"type":"article-journal","abstract":"Objective\n HMGCS2 is the rate-limiting enzyme of ketogenesis, which is vital for tumor initiation or metastasis. The aim of this study is to determine the relationship between HMGCS2 and tumor angiogenesis.\n\n Materials and Methods\n The study consisted of 100 cases with colorectal cancer and healthy control, the expression of HMGCS2 and the microvessel density (MVD) (marker: CD31) were analyzed by immunohistochemistry and tube formation, and the centration of β-hydroxybutyrate in serum was assessed by biochemical analysis.\n\n Results\n The results showed that HMGCS2 expression is significantly reduced in colorectal cancer compared with healthy control, which is inversely correlated with MVD in colorectal cancer by IHC analysis. What is more, knockdown HMGCS2 expression in HT-29 cells significantly contributed endothelial cell tube formation.\n\n Conclusion\n These findings implying HMGCS2 may have a negative regulation of tumor angiogenesis and provide an approach to inhibit tumor angiogenesis.","container-title":"Canadian Journal of Gastroenterology &amp; Hepatology","DOI":"10.1155/2019/8348967","ISSN":"2291-2789","journalAbbreviation":"Can J Gastroenterol Hepatol","page":"8348967","PMID":"31355161","PMCID":"PMC6634068","source":"PubMed Central","title":"Potential Role of HMGCS2 in Tumor Angiogenesis in Colorectal Cancer and Its Potential Use as a Diagnostic Marker","URL":"https://pmc.ncbi.nlm.nih.gov/articles/PMC6634068/","volume":"2019","author":[{"family":"Zou","given":"Kejian"},{"family":"Hu","given":"Yan"},{"family":"Li","given":"Musheng"},{"family":"Wang","given":"Hongli"},{"family":"Zhang","given":"Yuhua"},{"family":"Huang","given":"Ling"},{"family":"Xie","given":"Yuanwen"},{"family":"Li","given":"Songyu"},{"family":"Dai","given":"Xingui"},{"family":"Xu","given":"Wanfu"},{"family":"Ke","given":"Zhiyong"},{"family":"Gong","given":"Sitang"},{"family":"Wang","given":"Yaodong"}],"accessed":{"date-parts":[["2026",7,22]]},"issued":{"date-parts":[["2019",7,1]]}}}],"schema":"https://github.com/citation-style-language/schema/raw/master/csl-citation.json"} </w:instrText>
      </w:r>
      <w:r w:rsidR="00250A22">
        <w:fldChar w:fldCharType="separate"/>
      </w:r>
      <w:r w:rsidR="00991CA6" w:rsidRPr="00991CA6">
        <w:rPr>
          <w:rFonts w:ascii="Calibri" w:hAnsi="Calibri" w:cs="Calibri"/>
        </w:rPr>
        <w:t>(43)</w:t>
      </w:r>
      <w:r w:rsidR="00250A22">
        <w:fldChar w:fldCharType="end"/>
      </w:r>
      <w:r w:rsidR="00CA6982" w:rsidRPr="00CA6982">
        <w:t xml:space="preserve">. Aunque su expresión depende de una red regulatoria compleja, en </w:t>
      </w:r>
      <w:r w:rsidR="00250A22">
        <w:t>relación con la firma consenso</w:t>
      </w:r>
      <w:r w:rsidR="00CA6982" w:rsidRPr="00CA6982">
        <w:t xml:space="preserve"> destaca su represión por parte de </w:t>
      </w:r>
      <w:r w:rsidR="00CA6982" w:rsidRPr="00D55447">
        <w:t>MYC</w:t>
      </w:r>
      <w:r w:rsidR="00250A22">
        <w:fldChar w:fldCharType="begin"/>
      </w:r>
      <w:r w:rsidR="00991CA6">
        <w:instrText xml:space="preserve"> ADDIN ZOTERO_ITEM CSL_CITATION {"citationID":"1wBKyXlC","properties":{"unsorted":false,"formattedCitation":"(43)","plainCitation":"(43)","noteIndex":0},"citationItems":[{"id":203,"uris":["http://zotero.org/users/local/sechomLT/items/43TPG3DM"],"itemData":{"id":203,"type":"article-journal","abstract":"Objective\n HMGCS2 is the rate-limiting enzyme of ketogenesis, which is vital for tumor initiation or metastasis. The aim of this study is to determine the relationship between HMGCS2 and tumor angiogenesis.\n\n Materials and Methods\n The study consisted of 100 cases with colorectal cancer and healthy control, the expression of HMGCS2 and the microvessel density (MVD) (marker: CD31) were analyzed by immunohistochemistry and tube formation, and the centration of β-hydroxybutyrate in serum was assessed by biochemical analysis.\n\n Results\n The results showed that HMGCS2 expression is significantly reduced in colorectal cancer compared with healthy control, which is inversely correlated with MVD in colorectal cancer by IHC analysis. What is more, knockdown HMGCS2 expression in HT-29 cells significantly contributed endothelial cell tube formation.\n\n Conclusion\n These findings implying HMGCS2 may have a negative regulation of tumor angiogenesis and provide an approach to inhibit tumor angiogenesis.","container-title":"Canadian Journal of Gastroenterology &amp; Hepatology","DOI":"10.1155/2019/8348967","ISSN":"2291-2789","journalAbbreviation":"Can J Gastroenterol Hepatol","page":"8348967","PMID":"31355161","PMCID":"PMC6634068","source":"PubMed Central","title":"Potential Role of HMGCS2 in Tumor Angiogenesis in Colorectal Cancer and Its Potential Use as a Diagnostic Marker","URL":"https://pmc.ncbi.nlm.nih.gov/articles/PMC6634068/","volume":"2019","author":[{"family":"Zou","given":"Kejian"},{"family":"Hu","given":"Yan"},{"family":"Li","given":"Musheng"},{"family":"Wang","given":"Hongli"},{"family":"Zhang","given":"Yuhua"},{"family":"Huang","given":"Ling"},{"family":"Xie","given":"Yuanwen"},{"family":"Li","given":"Songyu"},{"family":"Dai","given":"Xingui"},{"family":"Xu","given":"Wanfu"},{"family":"Ke","given":"Zhiyong"},{"family":"Gong","given":"Sitang"},{"family":"Wang","given":"Yaodong"}],"accessed":{"date-parts":[["2026",7,22]]},"issued":{"date-parts":[["2019",7,1]]}}}],"schema":"https://github.com/citation-style-language/schema/raw/master/csl-citation.json"} </w:instrText>
      </w:r>
      <w:r w:rsidR="00250A22">
        <w:fldChar w:fldCharType="separate"/>
      </w:r>
      <w:r w:rsidR="00991CA6" w:rsidRPr="00991CA6">
        <w:rPr>
          <w:rFonts w:ascii="Calibri" w:hAnsi="Calibri" w:cs="Calibri"/>
        </w:rPr>
        <w:t>(43)</w:t>
      </w:r>
      <w:r w:rsidR="00250A22">
        <w:fldChar w:fldCharType="end"/>
      </w:r>
      <w:r w:rsidR="00CA6982" w:rsidRPr="00CA6982">
        <w:t xml:space="preserve">, oncogén clave activado aguas abajo de </w:t>
      </w:r>
      <w:proofErr w:type="spellStart"/>
      <w:r w:rsidR="00CA6982" w:rsidRPr="00CA6982">
        <w:t>Wnt</w:t>
      </w:r>
      <w:proofErr w:type="spellEnd"/>
      <w:r w:rsidR="00CA6982" w:rsidRPr="00CA6982">
        <w:t xml:space="preserve"> que ya se ha destacado en el eje de activación. La inhibición de HMGCS2 frena la </w:t>
      </w:r>
      <w:r w:rsidR="00CA6982" w:rsidRPr="00D55447">
        <w:t xml:space="preserve">producción de </w:t>
      </w:r>
      <m:oMath>
        <m:r>
          <w:rPr>
            <w:rFonts w:ascii="Cambria Math" w:hAnsi="Cambria Math"/>
          </w:rPr>
          <m:t>β</m:t>
        </m:r>
      </m:oMath>
      <w:r w:rsidR="00CA6982" w:rsidRPr="00D55447">
        <w:t>-hidroxibutirato,</w:t>
      </w:r>
      <w:r w:rsidR="00CA6982" w:rsidRPr="00CA6982">
        <w:t xml:space="preserve"> </w:t>
      </w:r>
      <w:r w:rsidR="00347FD4">
        <w:t>caracterizado por ser un</w:t>
      </w:r>
      <w:r w:rsidR="00CA6982" w:rsidRPr="00CA6982">
        <w:t xml:space="preserve"> cuerpo cetónico con capacidad supresora del crecimiento tumoral</w:t>
      </w:r>
      <w:r w:rsidR="004E21D3">
        <w:fldChar w:fldCharType="begin"/>
      </w:r>
      <w:r w:rsidR="00991CA6">
        <w:instrText xml:space="preserve"> ADDIN ZOTERO_ITEM CSL_CITATION {"citationID":"u5DuHQX9","properties":{"unsorted":false,"formattedCitation":"(43)","plainCitation":"(43)","noteIndex":0},"citationItems":[{"id":203,"uris":["http://zotero.org/users/local/sechomLT/items/43TPG3DM"],"itemData":{"id":203,"type":"article-journal","abstract":"Objective\n HMGCS2 is the rate-limiting enzyme of ketogenesis, which is vital for tumor initiation or metastasis. The aim of this study is to determine the relationship between HMGCS2 and tumor angiogenesis.\n\n Materials and Methods\n The study consisted of 100 cases with colorectal cancer and healthy control, the expression of HMGCS2 and the microvessel density (MVD) (marker: CD31) were analyzed by immunohistochemistry and tube formation, and the centration of β-hydroxybutyrate in serum was assessed by biochemical analysis.\n\n Results\n The results showed that HMGCS2 expression is significantly reduced in colorectal cancer compared with healthy control, which is inversely correlated with MVD in colorectal cancer by IHC analysis. What is more, knockdown HMGCS2 expression in HT-29 cells significantly contributed endothelial cell tube formation.\n\n Conclusion\n These findings implying HMGCS2 may have a negative regulation of tumor angiogenesis and provide an approach to inhibit tumor angiogenesis.","container-title":"Canadian Journal of Gastroenterology &amp; Hepatology","DOI":"10.1155/2019/8348967","ISSN":"2291-2789","journalAbbreviation":"Can J Gastroenterol Hepatol","page":"8348967","PMID":"31355161","PMCID":"PMC6634068","source":"PubMed Central","title":"Potential Role of HMGCS2 in Tumor Angiogenesis in Colorectal Cancer and Its Potential Use as a Diagnostic Marker","URL":"https://pmc.ncbi.nlm.nih.gov/articles/PMC6634068/","volume":"2019","author":[{"family":"Zou","given":"Kejian"},{"family":"Hu","given":"Yan"},{"family":"Li","given":"Musheng"},{"family":"Wang","given":"Hongli"},{"family":"Zhang","given":"Yuhua"},{"family":"Huang","given":"Ling"},{"family":"Xie","given":"Yuanwen"},{"family":"Li","given":"Songyu"},{"family":"Dai","given":"Xingui"},{"family":"Xu","given":"Wanfu"},{"family":"Ke","given":"Zhiyong"},{"family":"Gong","given":"Sitang"},{"family":"Wang","given":"Yaodong"}],"accessed":{"date-parts":[["2026",7,22]]},"issued":{"date-parts":[["2019",7,1]]}}}],"schema":"https://github.com/citation-style-language/schema/raw/master/csl-citation.json"} </w:instrText>
      </w:r>
      <w:r w:rsidR="004E21D3">
        <w:fldChar w:fldCharType="separate"/>
      </w:r>
      <w:r w:rsidR="00991CA6" w:rsidRPr="00991CA6">
        <w:rPr>
          <w:rFonts w:ascii="Calibri" w:hAnsi="Calibri" w:cs="Calibri"/>
        </w:rPr>
        <w:t>(43)</w:t>
      </w:r>
      <w:r w:rsidR="004E21D3">
        <w:fldChar w:fldCharType="end"/>
      </w:r>
      <w:r w:rsidR="00347FD4" w:rsidRPr="00E11503">
        <w:t xml:space="preserve">. </w:t>
      </w:r>
      <w:r w:rsidR="009B21A2" w:rsidRPr="009B21A2">
        <w:t>Asimismo, la disminución de HMGCS2 estimula la angiogénesis tumoral, incrementando la densidad microvascular necesaria para la expansión de la neoplasia</w:t>
      </w:r>
      <w:r w:rsidR="004E21D3">
        <w:fldChar w:fldCharType="begin"/>
      </w:r>
      <w:r w:rsidR="00991CA6">
        <w:instrText xml:space="preserve"> ADDIN ZOTERO_ITEM CSL_CITATION {"citationID":"4Ss61oAh","properties":{"unsorted":false,"formattedCitation":"(43)","plainCitation":"(43)","noteIndex":0},"citationItems":[{"id":203,"uris":["http://zotero.org/users/local/sechomLT/items/43TPG3DM"],"itemData":{"id":203,"type":"article-journal","abstract":"Objective\n HMGCS2 is the rate-limiting enzyme of ketogenesis, which is vital for tumor initiation or metastasis. The aim of this study is to determine the relationship between HMGCS2 and tumor angiogenesis.\n\n Materials and Methods\n The study consisted of 100 cases with colorectal cancer and healthy control, the expression of HMGCS2 and the microvessel density (MVD) (marker: CD31) were analyzed by immunohistochemistry and tube formation, and the centration of β-hydroxybutyrate in serum was assessed by biochemical analysis.\n\n Results\n The results showed that HMGCS2 expression is significantly reduced in colorectal cancer compared with healthy control, which is inversely correlated with MVD in colorectal cancer by IHC analysis. What is more, knockdown HMGCS2 expression in HT-29 cells significantly contributed endothelial cell tube formation.\n\n Conclusion\n These findings implying HMGCS2 may have a negative regulation of tumor angiogenesis and provide an approach to inhibit tumor angiogenesis.","container-title":"Canadian Journal of Gastroenterology &amp; Hepatology","DOI":"10.1155/2019/8348967","ISSN":"2291-2789","journalAbbreviation":"Can J Gastroenterol Hepatol","page":"8348967","PMID":"31355161","PMCID":"PMC6634068","source":"PubMed Central","title":"Potential Role of HMGCS2 in Tumor Angiogenesis in Colorectal Cancer and Its Potential Use as a Diagnostic Marker","URL":"https://pmc.ncbi.nlm.nih.gov/articles/PMC6634068/","volume":"2019","author":[{"family":"Zou","given":"Kejian"},{"family":"Hu","given":"Yan"},{"family":"Li","given":"Musheng"},{"family":"Wang","given":"Hongli"},{"family":"Zhang","given":"Yuhua"},{"family":"Huang","given":"Ling"},{"family":"Xie","given":"Yuanwen"},{"family":"Li","given":"Songyu"},{"family":"Dai","given":"Xingui"},{"family":"Xu","given":"Wanfu"},{"family":"Ke","given":"Zhiyong"},{"family":"Gong","given":"Sitang"},{"family":"Wang","given":"Yaodong"}],"accessed":{"date-parts":[["2026",7,22]]},"issued":{"date-parts":[["2019",7,1]]}}}],"schema":"https://github.com/citation-style-language/schema/raw/master/csl-citation.json"} </w:instrText>
      </w:r>
      <w:r w:rsidR="004E21D3">
        <w:fldChar w:fldCharType="separate"/>
      </w:r>
      <w:r w:rsidR="00991CA6" w:rsidRPr="00991CA6">
        <w:rPr>
          <w:rFonts w:ascii="Calibri" w:hAnsi="Calibri" w:cs="Calibri"/>
        </w:rPr>
        <w:t>(43)</w:t>
      </w:r>
      <w:r w:rsidR="004E21D3">
        <w:fldChar w:fldCharType="end"/>
      </w:r>
      <w:r w:rsidR="009B21A2">
        <w:t>.</w:t>
      </w:r>
      <w:r w:rsidR="009B21A2" w:rsidRPr="00E11503">
        <w:t xml:space="preserve"> </w:t>
      </w:r>
      <w:r w:rsidR="00347FD4" w:rsidRPr="00E11503">
        <w:t xml:space="preserve">Por otro lado, la pérdida paralela del regulador mitocondrial PPARGC1A profundiza este déficit, resultando en un colapso de la función respiratoria que favorece la transición hacia el </w:t>
      </w:r>
      <w:r w:rsidR="00347FD4" w:rsidRPr="00CA6982">
        <w:t>efecto Warburg</w:t>
      </w:r>
      <w:r w:rsidR="00347FD4" w:rsidRPr="00E11503">
        <w:t xml:space="preserve"> y prioriza la glucólisis aeróbica para sostener la proliferación celular</w:t>
      </w:r>
      <w:r w:rsidR="004E21D3">
        <w:fldChar w:fldCharType="begin"/>
      </w:r>
      <w:r w:rsidR="00991CA6">
        <w:instrText xml:space="preserve"> ADDIN ZOTERO_ITEM CSL_CITATION {"citationID":"Sx090J7o","properties":{"unsorted":false,"formattedCitation":"(22,43)","plainCitation":"(22,43)","noteIndex":0},"citationItems":[{"id":207,"uris":["http://zotero.org/users/local/sechomLT/items/6FIITV8S"],"itemData":{"id":207,"type":"article-journal","abstract":"Background\nColorectal cancer (CRC) is a common malignant tumor with high incidence and mortality worldwide. The aim of this study was to evaluate the association between differentially expressed genes (DEGs), which may function as biomarkers for CRC prognosis and therapies, and the clinical outcome in patients with CRC.\n\nMaterial/Methods\nA total of 116 normal mucous tissue and 930 CRC tissue datasets were downloaded from the Gene Expression Omnibus database (GEO) and The Cancer Genome Atlas (TCGA). After screening DEGs based on limma package in R. Gene Ontology (GO) and KEGG enrichment analysis as well as the protein-protein interaction (PPI) networks were performed to predict the function of these DEGs. Meanwhile, Cox proportional hazards regression was used to build a prognostic model of these DEGs. Then, Kaplan-Meier risk analysis was used to test the model in TCGA datasets and validation datasets.\n\nResults\nIn the present study, 300 DEGs with 100 upregulated genes and 200 downregulated genes were identified. The PPI networks including 162 DEGs and 256 nodes were constructed and 2 modules with high degree were selected. Moreover, 5 genes (MMP1, ACSL6, SMPD1, PPARGC1A, and HEPACAM2) were identified using the Cox proportional hazards stepwise regression. Kaplan-Meier risk curve in the TCGA and validation cohorts showed that high-risk group had significantly poor overall survival than the low-risk group.\n\nConclusions\nOur study provided insights into the mechanisms of CRC formation and found 5 prognostic genes, which could potentially inform further studies and clinical therapies.","container-title":"Medical Science Monitor : International Medical Journal of Experimental and Clinical Research","DOI":"10.12659/MSM.907224","ISSN":"1234-1010","journalAbbreviation":"Med Sci Monit","page":"4625-4633","PMID":"29973580","PMCID":"PMC6065283","source":"PubMed Central","title":"Identification of Critical Genes and Five Prognostic Biomarkers Associated with Colorectal Cancer","URL":"https://pmc.ncbi.nlm.nih.gov/articles/PMC6065283/","volume":"24","author":[{"family":"Huang","given":"Zuoliang"},{"family":"Yang","given":"Qin"},{"family":"Huang","given":"Zezhi"}],"accessed":{"date-parts":[["2026",7,22]]},"issued":{"date-parts":[["2018",7,5]]}}},{"id":203,"uris":["http://zotero.org/users/local/sechomLT/items/43TPG3DM"],"itemData":{"id":203,"type":"article-journal","abstract":"Objective\n HMGCS2 is the rate-limiting enzyme of ketogenesis, which is vital for tumor initiation or metastasis. The aim of this study is to determine the relationship between HMGCS2 and tumor angiogenesis.\n\n Materials and Methods\n The study consisted of 100 cases with colorectal cancer and healthy control, the expression of HMGCS2 and the microvessel density (MVD) (marker: CD31) were analyzed by immunohistochemistry and tube formation, and the centration of β-hydroxybutyrate in serum was assessed by biochemical analysis.\n\n Results\n The results showed that HMGCS2 expression is significantly reduced in colorectal cancer compared with healthy control, which is inversely correlated with MVD in colorectal cancer by IHC analysis. What is more, knockdown HMGCS2 expression in HT-29 cells significantly contributed endothelial cell tube formation.\n\n Conclusion\n These findings implying HMGCS2 may have a negative regulation of tumor angiogenesis and provide an approach to inhibit tumor angiogenesis.","container-title":"Canadian Journal of Gastroenterology &amp; Hepatology","DOI":"10.1155/2019/8348967","ISSN":"2291-2789","journalAbbreviation":"Can J Gastroenterol Hepatol","page":"8348967","PMID":"31355161","PMCID":"PMC6634068","source":"PubMed Central","title":"Potential Role of HMGCS2 in Tumor Angiogenesis in Colorectal Cancer and Its Potential Use as a Diagnostic Marker","URL":"https://pmc.ncbi.nlm.nih.gov/articles/PMC6634068/","volume":"2019","author":[{"family":"Zou","given":"Kejian"},{"family":"Hu","given":"Yan"},{"family":"Li","given":"Musheng"},{"family":"Wang","given":"Hongli"},{"family":"Zhang","given":"Yuhua"},{"family":"Huang","given":"Ling"},{"family":"Xie","given":"Yuanwen"},{"family":"Li","given":"Songyu"},{"family":"Dai","given":"Xingui"},{"family":"Xu","given":"Wanfu"},{"family":"Ke","given":"Zhiyong"},{"family":"Gong","given":"Sitang"},{"family":"Wang","given":"Yaodong"}],"accessed":{"date-parts":[["2026",7,22]]},"issued":{"date-parts":[["2019",7,1]]}}}],"schema":"https://github.com/citation-style-language/schema/raw/master/csl-citation.json"} </w:instrText>
      </w:r>
      <w:r w:rsidR="004E21D3">
        <w:fldChar w:fldCharType="separate"/>
      </w:r>
      <w:r w:rsidR="00991CA6" w:rsidRPr="00991CA6">
        <w:rPr>
          <w:rFonts w:ascii="Calibri" w:hAnsi="Calibri" w:cs="Calibri"/>
        </w:rPr>
        <w:t>(22,43)</w:t>
      </w:r>
      <w:r w:rsidR="004E21D3">
        <w:fldChar w:fldCharType="end"/>
      </w:r>
      <w:r w:rsidR="00CA6982" w:rsidRPr="00CA6982">
        <w:t xml:space="preserve">. </w:t>
      </w:r>
      <w:r w:rsidR="00347FD4" w:rsidRPr="00347FD4">
        <w:t xml:space="preserve">En conclusión, la progresión tumoral requiere una doble </w:t>
      </w:r>
      <w:r w:rsidR="00347FD4" w:rsidRPr="00347FD4">
        <w:lastRenderedPageBreak/>
        <w:t xml:space="preserve">estrategia: la ganancia de señales agresivas y la </w:t>
      </w:r>
      <w:r w:rsidR="009B21A2" w:rsidRPr="00E11503">
        <w:t>desactivación masiva de los programas de diferenciación celular</w:t>
      </w:r>
      <w:r w:rsidR="009B21A2" w:rsidRPr="00347FD4">
        <w:t xml:space="preserve"> </w:t>
      </w:r>
      <w:r w:rsidR="00347FD4" w:rsidRPr="00347FD4">
        <w:t>del colonocito.</w:t>
      </w:r>
    </w:p>
    <w:p w14:paraId="580E9146" w14:textId="536345EF" w:rsidR="00F3241D" w:rsidRPr="007E0007" w:rsidRDefault="00F3241D" w:rsidP="00F3241D">
      <w:pPr>
        <w:pStyle w:val="Ttulo2"/>
      </w:pPr>
      <w:bookmarkStart w:id="61" w:name="_Toc239417058"/>
      <w:r w:rsidRPr="00101A07">
        <w:rPr>
          <w:caps w:val="0"/>
        </w:rPr>
        <w:t xml:space="preserve">Análisis del </w:t>
      </w:r>
      <w:r w:rsidR="00E44A1B">
        <w:rPr>
          <w:caps w:val="0"/>
        </w:rPr>
        <w:t>E</w:t>
      </w:r>
      <w:r w:rsidRPr="00101A07">
        <w:rPr>
          <w:caps w:val="0"/>
        </w:rPr>
        <w:t xml:space="preserve">nriquecimiento </w:t>
      </w:r>
      <w:r w:rsidR="00E44A1B">
        <w:rPr>
          <w:caps w:val="0"/>
        </w:rPr>
        <w:t>F</w:t>
      </w:r>
      <w:r w:rsidRPr="00101A07">
        <w:rPr>
          <w:caps w:val="0"/>
        </w:rPr>
        <w:t xml:space="preserve">uncional en el </w:t>
      </w:r>
      <w:r w:rsidR="00E44A1B">
        <w:rPr>
          <w:caps w:val="0"/>
        </w:rPr>
        <w:t>C</w:t>
      </w:r>
      <w:r w:rsidRPr="00101A07">
        <w:rPr>
          <w:caps w:val="0"/>
        </w:rPr>
        <w:t>ontexto</w:t>
      </w:r>
      <w:r w:rsidR="00E44A1B">
        <w:rPr>
          <w:caps w:val="0"/>
        </w:rPr>
        <w:t xml:space="preserve"> C</w:t>
      </w:r>
      <w:r w:rsidRPr="00101A07">
        <w:rPr>
          <w:caps w:val="0"/>
        </w:rPr>
        <w:t>línico</w:t>
      </w:r>
      <w:bookmarkEnd w:id="61"/>
    </w:p>
    <w:p w14:paraId="740B7338" w14:textId="53203373" w:rsidR="00931558" w:rsidRDefault="00931558" w:rsidP="00931558">
      <w:r w:rsidRPr="00931558">
        <w:t>El análisis de enriquecimiento funcional permite realizar la transición desde la caracterización de genes individuales hacia la identificación de procesos biológicos y rutas metabólicas alteradas a nivel global.</w:t>
      </w:r>
      <w:r w:rsidR="00966532">
        <w:t xml:space="preserve"> </w:t>
      </w:r>
      <w:r w:rsidR="00966532" w:rsidRPr="00966532">
        <w:t xml:space="preserve">Esta aproximación permite contextualizar la firma consenso dentro de un marco fisiopatológico con aplicabilidad clínica. De este modo, la evaluación de los términos de la </w:t>
      </w:r>
      <w:r w:rsidR="002448BB">
        <w:t>GO</w:t>
      </w:r>
      <w:r w:rsidR="00966532" w:rsidRPr="00966532">
        <w:t xml:space="preserve"> y de la base de datos KEGG ayuda a identificar marcadores con potencial en diagnóstico, dianas terapéuticas y predicción de respuesta al tratamiento. A continuación, se analizan los hallazgos de los </w:t>
      </w:r>
      <w:proofErr w:type="spellStart"/>
      <w:r w:rsidR="00966532" w:rsidRPr="00966532">
        <w:t>dotplots</w:t>
      </w:r>
      <w:proofErr w:type="spellEnd"/>
      <w:r w:rsidR="00966532" w:rsidRPr="00966532">
        <w:t xml:space="preserve"> y de las redes gen-concepto atendiendo a esta perspectiva traslacional.</w:t>
      </w:r>
    </w:p>
    <w:p w14:paraId="165A536A" w14:textId="167545E4" w:rsidR="00CA184A" w:rsidRDefault="00CA184A" w:rsidP="00CA184A">
      <w:r w:rsidRPr="00CA184A">
        <w:t>En el conjunto de genes sobreexpresados, los resultados muestran una concentración significativa de términos asociados a la organización de la matriz extracelular, la respuesta a la hipoxia y la señalización por IL-17. Como ilustra la red gen-concepto (</w:t>
      </w:r>
      <w:r w:rsidRPr="002448BB">
        <w:t>Figura 15</w:t>
      </w:r>
      <w:r w:rsidRPr="00CA184A">
        <w:t xml:space="preserve">), los procesos de remodelado estromal interactúan con la respuesta a la escasez de oxígeno a través de nodos como LOXL2 y COL1A1. Por su parte, la firma de genes subexpresados presenta una estructura modular dividida en tres ejes independientes: la absorción de minerales (liderada por las </w:t>
      </w:r>
      <w:proofErr w:type="spellStart"/>
      <w:r w:rsidRPr="00CA184A">
        <w:t>metalotioneínas</w:t>
      </w:r>
      <w:proofErr w:type="spellEnd"/>
      <w:r w:rsidRPr="00CA184A">
        <w:t xml:space="preserve">), la señalización hormonal y la biosíntesis de </w:t>
      </w:r>
      <w:proofErr w:type="spellStart"/>
      <w:r w:rsidRPr="00CA184A">
        <w:t>glicoesfingolípidos</w:t>
      </w:r>
      <w:proofErr w:type="spellEnd"/>
      <w:r w:rsidRPr="00CA184A">
        <w:t xml:space="preserve">, </w:t>
      </w:r>
      <w:r>
        <w:t>lo que confirma</w:t>
      </w:r>
      <w:r w:rsidRPr="00CA184A">
        <w:t xml:space="preserve"> la desactivación de las funciones intestinales maduras. </w:t>
      </w:r>
      <w:r w:rsidR="004E12B3" w:rsidRPr="004E12B3">
        <w:t xml:space="preserve">A partir de esta organización funcional, </w:t>
      </w:r>
      <w:r w:rsidR="004E12B3">
        <w:t>se derivan</w:t>
      </w:r>
      <w:r w:rsidR="004E12B3" w:rsidRPr="004E12B3">
        <w:t xml:space="preserve"> implicaciones traslacionales centradas en el diagnóstico no invasivo, la identificación de dianas terapéuticas y la predicción de respuesta al tratamiento.</w:t>
      </w:r>
    </w:p>
    <w:p w14:paraId="7B13FE92" w14:textId="614A5493" w:rsidR="006A4177" w:rsidRDefault="004F0B0B" w:rsidP="00CA184A">
      <w:r w:rsidRPr="004F0B0B">
        <w:t>En el ámbito del diagnóstico no invasivo, los biomarcadores MMP7 y CEMIP destacan por su aplicabilidad en biopsia líquida a partir de muestras de sangre</w:t>
      </w:r>
      <w:r>
        <w:fldChar w:fldCharType="begin"/>
      </w:r>
      <w:r w:rsidR="00991CA6">
        <w:instrText xml:space="preserve"> ADDIN ZOTERO_ITEM CSL_CITATION {"citationID":"15pz3q0C","properties":{"unsorted":false,"formattedCitation":"(13,50)","plainCitation":"(13,50)","noteIndex":0},"citationItems":[{"id":85,"uris":["http://zotero.org/users/local/sechomLT/items/SAPVJ6JV"],"itemData":{"id":85,"type":"article-journal","abstract":"Colon cancer is one of the most common cancers in the world. To identify the candidate genes in the carcinogenesis and progression of colon cancer, the microarray datasets GSE10950, GSE44861 and GSE74602 were downloaded from the Gene Expression Omnibus (GEO) database. The differentially expressed genes (DEGs) were identified, and functional enrichment analyses were performed. A total of 176 DEGs were identified, consisting of 55 genes upregulated and 121 genes downregulated in colon cancer tissues compared to non-cancerous tissues. The DEGs were mainly enriched in mineral absorption, nitrogen metabolism and complement and coagulation cascades. By using STRING database analysis, we constructed a coexpression network composed of 140 nodes and 280 edges for the DEGs with a combined score &gt;0.4 and a significant interaction relation. Thirteen hub genes were identified, and poor OS of patients was only associated with high expression of Matrix Metallopeptidase 7 (MMP7), which may be involved in the carcinogenesis, invasion or recurrence of colon cancer. In conclusion, we propose that the DEGs and hub genes identified in the present study may be regarded as diagnostic biomarkers for colon cancer. Moreover, the overexpression of MMP7 may correlate with poor prognosis.","container-title":"Medicine","DOI":"10.1097/MD.0000000000024953","ISSN":"0025-7974","issue":"9","journalAbbreviation":"Medicine (Baltimore)","page":"e24953","PMID":"33655961","PMCID":"PMC7939218","source":"PubMed Central","title":"MMP7 as a potential biomarker of colon cancer and its prognostic value by bioinformatics analysis","URL":"https://pmc.ncbi.nlm.nih.gov/articles/PMC7939218/","volume":"100","author":[{"family":"Chen","given":"Li"},{"family":"Ke","given":"Xueying"}],"accessed":{"date-parts":[["2026",7,14]]},"issued":{"date-parts":[["2021",3,5]]}}},{"id":210,"uris":["http://zotero.org/users/local/sechomLT/items/Q576LIXB"],"itemData":{"id":210,"type":"article-journal","abstract":"Background &amp; Aims\nColorectal cancer incidence and deaths are reduced by the detection and removal of early-stage, treatable neoplasia but we lack proven biomarkers sensitive for both cancer and pre-invasive adenomas. The aims of this study were to determine if adenomas and cancers exhibit characteristic patterns of biomarker expression and to explore whether a tissue-discovered (and validated) biomarker is differentially expressed in the plasma of patients with colorectal adenomas or cancer.\n\nMethods\nCandidate RNA biomarkers were identified by oligonucleotide microarray analysis of colorectal specimens (222 normal, 29 adenoma, 161 adenocarcinoma and 50 colitis) and validated in a previously untested cohort of 68 colorectal specimens using a custom-designed oligonucleotide microarray. One validated biomarker, KIAA1199, was assayed using qRT-PCR on plasma extracted RNA from 20 colonoscopy-confirmed healthy controls, 20 patients with adenoma, and 20 with cancer.\n\nResults\nGenome-wide analysis uncovered reproducible gene expression signatures for both adenomas and cancers compared to controls. 386/489 (79%) of the adenoma and 439/529 (83%) of the adenocarcinoma biomarkers were validated in independent tissues. We also identified genes differentially expressed in adenomas compared to cancer. KIAA1199 was selected for further analysis based on consistent up-regulation in neoplasia, previous studies and its interest as an uncharacterized gene. Plasma KIAA1199 RNA levels were significantly higher in patients with either cancer or adenoma (31/40) compared to neoplasia-free controls (6/20).\n\nConclusions\nColorectal neoplasia exhibits characteristic patterns of gene expression. KIAA1199 is differentially expressed in neoplastic tissues and KIAA1199 transcripts are more abundant in the plasma of patients with either cancer or adenoma compared to controls.","container-title":"PLoS ONE","DOI":"10.1371/journal.pone.0029059","ISSN":"1932-6203","issue":"1","journalAbbreviation":"PLoS One","page":"e29059","PMID":"22276102","PMCID":"PMC3261845","source":"PubMed Central","title":"Discovery and Validation of Molecular Biomarkers for Colorectal Adenomas and Cancer with Application to Blood Testing","URL":"https://pmc.ncbi.nlm.nih.gov/articles/PMC3261845/","volume":"7","author":[{"family":"LaPointe","given":"Lawrence C."},{"family":"Pedersen","given":"Susanne K."},{"family":"Dunne","given":"Robert"},{"family":"Brown","given":"Glenn S."},{"family":"Pimlott","given":"Letitia"},{"family":"Gaur","given":"Snigdha"},{"family":"McEvoy","given":"Aidan"},{"family":"Thomas","given":"Melissa"},{"family":"Wattchow","given":"David"},{"family":"Molloy","given":"Peter L."},{"family":"Young","given":"Graeme P."}],"accessed":{"date-parts":[["2026",7,23]]},"issued":{"date-parts":[["2012",1,19]]}}}],"schema":"https://github.com/citation-style-language/schema/raw/master/csl-citation.json"} </w:instrText>
      </w:r>
      <w:r>
        <w:fldChar w:fldCharType="separate"/>
      </w:r>
      <w:r w:rsidR="00991CA6" w:rsidRPr="00991CA6">
        <w:rPr>
          <w:rFonts w:ascii="Calibri" w:hAnsi="Calibri" w:cs="Calibri"/>
        </w:rPr>
        <w:t>(13,50)</w:t>
      </w:r>
      <w:r>
        <w:fldChar w:fldCharType="end"/>
      </w:r>
      <w:r w:rsidRPr="004F0B0B">
        <w:t>. Por un lado, la proteína MMP7 es detectable en el torrente circulatorio,</w:t>
      </w:r>
      <w:r>
        <w:t xml:space="preserve"> </w:t>
      </w:r>
      <w:r w:rsidRPr="004F0B0B">
        <w:t>con niveles séricos significativamente superiores en pacientes con cáncer de colon respecto a individuos sanos</w:t>
      </w:r>
      <w:r>
        <w:fldChar w:fldCharType="begin"/>
      </w:r>
      <w:r w:rsidR="004B4551">
        <w:instrText xml:space="preserve"> ADDIN ZOTERO_ITEM CSL_CITATION {"citationID":"0wbceBtb","properties":{"unsorted":false,"formattedCitation":"(13)","plainCitation":"(13)","noteIndex":0},"citationItems":[{"id":85,"uris":["http://zotero.org/users/local/sechomLT/items/SAPVJ6JV"],"itemData":{"id":85,"type":"article-journal","abstract":"Colon cancer is one of the most common cancers in the world. To identify the candidate genes in the carcinogenesis and progression of colon cancer, the microarray datasets GSE10950, GSE44861 and GSE74602 were downloaded from the Gene Expression Omnibus (GEO) database. The differentially expressed genes (DEGs) were identified, and functional enrichment analyses were performed. A total of 176 DEGs were identified, consisting of 55 genes upregulated and 121 genes downregulated in colon cancer tissues compared to non-cancerous tissues. The DEGs were mainly enriched in mineral absorption, nitrogen metabolism and complement and coagulation cascades. By using STRING database analysis, we constructed a coexpression network composed of 140 nodes and 280 edges for the DEGs with a combined score &gt;0.4 and a significant interaction relation. Thirteen hub genes were identified, and poor OS of patients was only associated with high expression of Matrix Metallopeptidase 7 (MMP7), which may be involved in the carcinogenesis, invasion or recurrence of colon cancer. In conclusion, we propose that the DEGs and hub genes identified in the present study may be regarded as diagnostic biomarkers for colon cancer. Moreover, the overexpression of MMP7 may correlate with poor prognosis.","container-title":"Medicine","DOI":"10.1097/MD.0000000000024953","ISSN":"0025-7974","issue":"9","journalAbbreviation":"Medicine (Baltimore)","page":"e24953","PMID":"33655961","PMCID":"PMC7939218","source":"PubMed Central","title":"MMP7 as a potential biomarker of colon cancer and its prognostic value by bioinformatics analysis","URL":"https://pmc.ncbi.nlm.nih.gov/articles/PMC7939218/","volume":"100","author":[{"family":"Chen","given":"Li"},{"family":"Ke","given":"Xueying"}],"accessed":{"date-parts":[["2026",7,14]]},"issued":{"date-parts":[["2021",3,5]]}}}],"schema":"https://github.com/citation-style-language/schema/raw/master/csl-citation.json"} </w:instrText>
      </w:r>
      <w:r>
        <w:fldChar w:fldCharType="separate"/>
      </w:r>
      <w:r w:rsidR="004B4551" w:rsidRPr="004B4551">
        <w:rPr>
          <w:rFonts w:ascii="Calibri" w:hAnsi="Calibri" w:cs="Calibri"/>
        </w:rPr>
        <w:t>(13)</w:t>
      </w:r>
      <w:r>
        <w:fldChar w:fldCharType="end"/>
      </w:r>
      <w:r w:rsidRPr="004F0B0B">
        <w:t>. Esta elevación se correlaciona de forma directa con la progresión hacia estadios avanzados y un peor pronóstico</w:t>
      </w:r>
      <w:r>
        <w:fldChar w:fldCharType="begin"/>
      </w:r>
      <w:r w:rsidR="004B4551">
        <w:instrText xml:space="preserve"> ADDIN ZOTERO_ITEM CSL_CITATION {"citationID":"gDsCNIOz","properties":{"unsorted":false,"formattedCitation":"(13)","plainCitation":"(13)","noteIndex":0},"citationItems":[{"id":85,"uris":["http://zotero.org/users/local/sechomLT/items/SAPVJ6JV"],"itemData":{"id":85,"type":"article-journal","abstract":"Colon cancer is one of the most common cancers in the world. To identify the candidate genes in the carcinogenesis and progression of colon cancer, the microarray datasets GSE10950, GSE44861 and GSE74602 were downloaded from the Gene Expression Omnibus (GEO) database. The differentially expressed genes (DEGs) were identified, and functional enrichment analyses were performed. A total of 176 DEGs were identified, consisting of 55 genes upregulated and 121 genes downregulated in colon cancer tissues compared to non-cancerous tissues. The DEGs were mainly enriched in mineral absorption, nitrogen metabolism and complement and coagulation cascades. By using STRING database analysis, we constructed a coexpression network composed of 140 nodes and 280 edges for the DEGs with a combined score &gt;0.4 and a significant interaction relation. Thirteen hub genes were identified, and poor OS of patients was only associated with high expression of Matrix Metallopeptidase 7 (MMP7), which may be involved in the carcinogenesis, invasion or recurrence of colon cancer. In conclusion, we propose that the DEGs and hub genes identified in the present study may be regarded as diagnostic biomarkers for colon cancer. Moreover, the overexpression of MMP7 may correlate with poor prognosis.","container-title":"Medicine","DOI":"10.1097/MD.0000000000024953","ISSN":"0025-7974","issue":"9","journalAbbreviation":"Medicine (Baltimore)","page":"e24953","PMID":"33655961","PMCID":"PMC7939218","source":"PubMed Central","title":"MMP7 as a potential biomarker of colon cancer and its prognostic value by bioinformatics analysis","URL":"https://pmc.ncbi.nlm.nih.gov/articles/PMC7939218/","volume":"100","author":[{"family":"Chen","given":"Li"},{"family":"Ke","given":"Xueying"}],"accessed":{"date-parts":[["2026",7,14]]},"issued":{"date-parts":[["2021",3,5]]}}}],"schema":"https://github.com/citation-style-language/schema/raw/master/csl-citation.json"} </w:instrText>
      </w:r>
      <w:r>
        <w:fldChar w:fldCharType="separate"/>
      </w:r>
      <w:r w:rsidR="004B4551" w:rsidRPr="004B4551">
        <w:rPr>
          <w:rFonts w:ascii="Calibri" w:hAnsi="Calibri" w:cs="Calibri"/>
        </w:rPr>
        <w:t>(13)</w:t>
      </w:r>
      <w:r>
        <w:fldChar w:fldCharType="end"/>
      </w:r>
      <w:r w:rsidRPr="004F0B0B">
        <w:t>.</w:t>
      </w:r>
      <w:r w:rsidR="00570B97">
        <w:t xml:space="preserve"> </w:t>
      </w:r>
      <w:r w:rsidRPr="004F0B0B">
        <w:t xml:space="preserve">Por otro lado, la sobreexpresión de CEMIP permite su evaluación no invasiva mediante la cuantificación de sus transcritos de ARNm en plasma a través de ensayos de </w:t>
      </w:r>
      <w:proofErr w:type="spellStart"/>
      <w:r w:rsidRPr="004F0B0B">
        <w:t>qRT</w:t>
      </w:r>
      <w:proofErr w:type="spellEnd"/>
      <w:r w:rsidRPr="004F0B0B">
        <w:t>-PCR</w:t>
      </w:r>
      <w:r>
        <w:fldChar w:fldCharType="begin"/>
      </w:r>
      <w:r w:rsidR="00991CA6">
        <w:instrText xml:space="preserve"> ADDIN ZOTERO_ITEM CSL_CITATION {"citationID":"sPcjDX29","properties":{"unsorted":false,"formattedCitation":"(50)","plainCitation":"(50)","noteIndex":0},"citationItems":[{"id":210,"uris":["http://zotero.org/users/local/sechomLT/items/Q576LIXB"],"itemData":{"id":210,"type":"article-journal","abstract":"Background &amp; Aims\nColorectal cancer incidence and deaths are reduced by the detection and removal of early-stage, treatable neoplasia but we lack proven biomarkers sensitive for both cancer and pre-invasive adenomas. The aims of this study were to determine if adenomas and cancers exhibit characteristic patterns of biomarker expression and to explore whether a tissue-discovered (and validated) biomarker is differentially expressed in the plasma of patients with colorectal adenomas or cancer.\n\nMethods\nCandidate RNA biomarkers were identified by oligonucleotide microarray analysis of colorectal specimens (222 normal, 29 adenoma, 161 adenocarcinoma and 50 colitis) and validated in a previously untested cohort of 68 colorectal specimens using a custom-designed oligonucleotide microarray. One validated biomarker, KIAA1199, was assayed using qRT-PCR on plasma extracted RNA from 20 colonoscopy-confirmed healthy controls, 20 patients with adenoma, and 20 with cancer.\n\nResults\nGenome-wide analysis uncovered reproducible gene expression signatures for both adenomas and cancers compared to controls. 386/489 (79%) of the adenoma and 439/529 (83%) of the adenocarcinoma biomarkers were validated in independent tissues. We also identified genes differentially expressed in adenomas compared to cancer. KIAA1199 was selected for further analysis based on consistent up-regulation in neoplasia, previous studies and its interest as an uncharacterized gene. Plasma KIAA1199 RNA levels were significantly higher in patients with either cancer or adenoma (31/40) compared to neoplasia-free controls (6/20).\n\nConclusions\nColorectal neoplasia exhibits characteristic patterns of gene expression. KIAA1199 is differentially expressed in neoplastic tissues and KIAA1199 transcripts are more abundant in the plasma of patients with either cancer or adenoma compared to controls.","container-title":"PLoS ONE","DOI":"10.1371/journal.pone.0029059","ISSN":"1932-6203","issue":"1","journalAbbreviation":"PLoS One","page":"e29059","PMID":"22276102","PMCID":"PMC3261845","source":"PubMed Central","title":"Discovery and Validation of Molecular Biomarkers for Colorectal Adenomas and Cancer with Application to Blood Testing","URL":"https://pmc.ncbi.nlm.nih.gov/articles/PMC3261845/","volume":"7","author":[{"family":"LaPointe","given":"Lawrence C."},{"family":"Pedersen","given":"Susanne K."},{"family":"Dunne","given":"Robert"},{"family":"Brown","given":"Glenn S."},{"family":"Pimlott","given":"Letitia"},{"family":"Gaur","given":"Snigdha"},{"family":"McEvoy","given":"Aidan"},{"family":"Thomas","given":"Melissa"},{"family":"Wattchow","given":"David"},{"family":"Molloy","given":"Peter L."},{"family":"Young","given":"Graeme P."}],"accessed":{"date-parts":[["2026",7,23]]},"issued":{"date-parts":[["2012",1,19]]}}}],"schema":"https://github.com/citation-style-language/schema/raw/master/csl-citation.json"} </w:instrText>
      </w:r>
      <w:r>
        <w:fldChar w:fldCharType="separate"/>
      </w:r>
      <w:r w:rsidR="00991CA6" w:rsidRPr="00991CA6">
        <w:rPr>
          <w:rFonts w:ascii="Calibri" w:hAnsi="Calibri" w:cs="Calibri"/>
        </w:rPr>
        <w:t>(50)</w:t>
      </w:r>
      <w:r>
        <w:fldChar w:fldCharType="end"/>
      </w:r>
      <w:r w:rsidRPr="004F0B0B">
        <w:t xml:space="preserve">. La concentración de este ARNm aumenta significativamente tanto en adenomas </w:t>
      </w:r>
      <w:proofErr w:type="spellStart"/>
      <w:r w:rsidRPr="004F0B0B">
        <w:t>preinvasivos</w:t>
      </w:r>
      <w:proofErr w:type="spellEnd"/>
      <w:r w:rsidRPr="004F0B0B">
        <w:t xml:space="preserve"> como en adenocarcinomas, alcanzando en ensayos piloto una capacidad de </w:t>
      </w:r>
      <w:r w:rsidRPr="004F0B0B">
        <w:lastRenderedPageBreak/>
        <w:t>detección de neoplasias del 77,5 % de los casos</w:t>
      </w:r>
      <w:r>
        <w:fldChar w:fldCharType="begin"/>
      </w:r>
      <w:r w:rsidR="00991CA6">
        <w:instrText xml:space="preserve"> ADDIN ZOTERO_ITEM CSL_CITATION {"citationID":"zcthrOPs","properties":{"unsorted":false,"formattedCitation":"(50)","plainCitation":"(50)","noteIndex":0},"citationItems":[{"id":210,"uris":["http://zotero.org/users/local/sechomLT/items/Q576LIXB"],"itemData":{"id":210,"type":"article-journal","abstract":"Background &amp; Aims\nColorectal cancer incidence and deaths are reduced by the detection and removal of early-stage, treatable neoplasia but we lack proven biomarkers sensitive for both cancer and pre-invasive adenomas. The aims of this study were to determine if adenomas and cancers exhibit characteristic patterns of biomarker expression and to explore whether a tissue-discovered (and validated) biomarker is differentially expressed in the plasma of patients with colorectal adenomas or cancer.\n\nMethods\nCandidate RNA biomarkers were identified by oligonucleotide microarray analysis of colorectal specimens (222 normal, 29 adenoma, 161 adenocarcinoma and 50 colitis) and validated in a previously untested cohort of 68 colorectal specimens using a custom-designed oligonucleotide microarray. One validated biomarker, KIAA1199, was assayed using qRT-PCR on plasma extracted RNA from 20 colonoscopy-confirmed healthy controls, 20 patients with adenoma, and 20 with cancer.\n\nResults\nGenome-wide analysis uncovered reproducible gene expression signatures for both adenomas and cancers compared to controls. 386/489 (79%) of the adenoma and 439/529 (83%) of the adenocarcinoma biomarkers were validated in independent tissues. We also identified genes differentially expressed in adenomas compared to cancer. KIAA1199 was selected for further analysis based on consistent up-regulation in neoplasia, previous studies and its interest as an uncharacterized gene. Plasma KIAA1199 RNA levels were significantly higher in patients with either cancer or adenoma (31/40) compared to neoplasia-free controls (6/20).\n\nConclusions\nColorectal neoplasia exhibits characteristic patterns of gene expression. KIAA1199 is differentially expressed in neoplastic tissues and KIAA1199 transcripts are more abundant in the plasma of patients with either cancer or adenoma compared to controls.","container-title":"PLoS ONE","DOI":"10.1371/journal.pone.0029059","ISSN":"1932-6203","issue":"1","journalAbbreviation":"PLoS One","page":"e29059","PMID":"22276102","PMCID":"PMC3261845","source":"PubMed Central","title":"Discovery and Validation of Molecular Biomarkers for Colorectal Adenomas and Cancer with Application to Blood Testing","URL":"https://pmc.ncbi.nlm.nih.gov/articles/PMC3261845/","volume":"7","author":[{"family":"LaPointe","given":"Lawrence C."},{"family":"Pedersen","given":"Susanne K."},{"family":"Dunne","given":"Robert"},{"family":"Brown","given":"Glenn S."},{"family":"Pimlott","given":"Letitia"},{"family":"Gaur","given":"Snigdha"},{"family":"McEvoy","given":"Aidan"},{"family":"Thomas","given":"Melissa"},{"family":"Wattchow","given":"David"},{"family":"Molloy","given":"Peter L."},{"family":"Young","given":"Graeme P."}],"accessed":{"date-parts":[["2026",7,23]]},"issued":{"date-parts":[["2012",1,19]]}}}],"schema":"https://github.com/citation-style-language/schema/raw/master/csl-citation.json"} </w:instrText>
      </w:r>
      <w:r>
        <w:fldChar w:fldCharType="separate"/>
      </w:r>
      <w:r w:rsidR="00991CA6" w:rsidRPr="00991CA6">
        <w:rPr>
          <w:rFonts w:ascii="Calibri" w:hAnsi="Calibri" w:cs="Calibri"/>
        </w:rPr>
        <w:t>(50)</w:t>
      </w:r>
      <w:r>
        <w:fldChar w:fldCharType="end"/>
      </w:r>
      <w:r w:rsidRPr="004F0B0B">
        <w:t xml:space="preserve">. De este modo, la determinación de MMP7 en suero y del ARNm de CEMIP en plasma constituye una estrategia prometedora para el cribado temprano, la estratificación del paciente </w:t>
      </w:r>
      <w:r>
        <w:t xml:space="preserve">y </w:t>
      </w:r>
      <w:r w:rsidRPr="004F0B0B">
        <w:t>el seguimiento de la enfermedad.</w:t>
      </w:r>
    </w:p>
    <w:p w14:paraId="714FFE49" w14:textId="4F169C04" w:rsidR="00D44A79" w:rsidRDefault="006A4177" w:rsidP="00CA184A">
      <w:r w:rsidRPr="006A4177">
        <w:t xml:space="preserve">En cuanto a la identificación de dianas terapéuticas, el bloqueo de componentes clave de la vía </w:t>
      </w:r>
      <w:proofErr w:type="spellStart"/>
      <w:r w:rsidRPr="006A4177">
        <w:t>Wnt</w:t>
      </w:r>
      <w:proofErr w:type="spellEnd"/>
      <w:r w:rsidRPr="006A4177">
        <w:t xml:space="preserve"> resulta fundamental para inhibir la proliferación celular, la autorrenovación de las células madre tumorales y la capacidad invasiva en el cáncer colorrectal</w:t>
      </w:r>
      <w:r w:rsidR="00D3389F">
        <w:fldChar w:fldCharType="begin"/>
      </w:r>
      <w:r w:rsidR="00991CA6">
        <w:instrText xml:space="preserve"> ADDIN ZOTERO_ITEM CSL_CITATION {"citationID":"vfTrH4CA","properties":{"unsorted":false,"formattedCitation":"(12,44)","plainCitation":"(12,44)","noteIndex":0},"citationItems":[{"id":130,"uris":["http://zotero.org/users/local/sechomLT/items/U9P9CPXJ"],"itemData":{"id":130,"type":"article-journal","abstract":"Colorectal cancer (CRC) is a heterogeneous disease with changes in the genetic and epigenetic levels of various genes. The molecular assessment of CRC is gaining increasing attention, and furthermore, there is an increase in biomarker use for disease prognostication. Therefore, the identification of different gene biomarkers through messenger RNA (mRNA) abundance levels may be useful for capturing the complex effects of CRC. In this study, we demonstrate that the high mRNA levels of 10 upregulated genes (DPEP1, KRT80, FABP6, NKD2, FOXQ1, CEMIP, ETV4, TESC, FUT1, and GAS2) are observed in CRC cell lines and public CRC datasets. Moreover, we find that a high mRNA expression of DPEP1, NKD2, CEMIP, ETV4, TESC, or FUT1 is significantly correlated with a worse prognosis in CRC patients. Further investigation reveals that CTNNB1 is the key factor in the interaction of the canonical Wnt signaling pathway with 10 upregulated CRC-associated genes. In particular, we identify NKD2, FOXQ1, and CEMIP as three CTNNB1-regulated genes. Moreover, individual inhibition of the expression of three CTNNB1-regulated genes can cause the growth inhibition of CRC cells. This study reveals efficient biomarkers for the prognosis of CRC and provides a new molecular interaction network for CRC.","container-title":"Biomedicines","DOI":"10.3390/biomedicines9101331","ISSN":"2227-9059","issue":"10","journalAbbreviation":"Biomedicines","page":"1331","PMID":"34680448","PMCID":"PMC8533439","source":"PubMed Central","title":"Expression Profile and Prognostic Value of Wnt Signaling Pathway Molecules in Colorectal Cancer","URL":"https://pmc.ncbi.nlm.nih.gov/articles/PMC8533439/","volume":"9","author":[{"family":"Wu","given":"Yung-Fu"},{"family":"Wang","given":"Chih-Yang"},{"family":"Tang","given":"Wan-Chun"},{"family":"Lee","given":"Yu-Cheng"},{"family":"Ta","given":"Hoang Dang Khoa"},{"family":"Lin","given":"Li-Chia"},{"family":"Pan","given":"Syu-Ruei"},{"family":"Ni","given":"Yi-Chun"},{"family":"Anuraga","given":"Gangga"},{"family":"Lee","given":"Kuen-Haur"}],"accessed":{"date-parts":[["2026",7,15]]},"issued":{"date-parts":[["2021",9,27]]}}},{"id":155,"uris":["http://zotero.org/users/local/sechomLT/items/NCHXV8SB"],"itemData":{"id":155,"type":"article-journal","abstract":"Cancer stemness represents a major source of development and progression of colorectal cancer (CRC). c-Met critically contributes to CRC stemness, but how c-Met is activated in CRC remains elusive. We previously identified the lipolytic factor ABHD5 as an important tumour suppressor gene in CRC. Here, we show that loss of ABHD5 promotes c-Met activation to sustain CRC stemness in a non-canonical manner. Mechanistically, we demonstrate that ABHD5 interacts in the cytoplasm with the core subunit of the SET1A methyltransferase complex, DPY30, thereby inhibiting the nuclear translocation of DPY30 and activity of SET1A. In the absence of ABHD5, DPY30 translocates to the nucleus and supports SET1A-mediated methylation of YAP and histone H3, which sequesters YAP in the nucleus and increases chromatin accessibility to synergistically promote YAP-induced transcription of c-Met, thus promoting the stemness of CRC cells. This study reveals a novel role of ABHD5 in regulating histone/non-histone methylation and CRC stemness., This study reveals an unrecognized role of ABHD5 in regulating colon cancer stemness via controlling YAP methylation and nuclear localization, further explaining the molecular mechanism through which ABHD5 functions as a tumour suppressor gene in colon cancer.","container-title":"Nature Communications","DOI":"10.1038/s41467-021-26967-5","ISSN":"2041-1723","journalAbbreviation":"Nat Commun","page":"6711","PMID":"34795238","PMCID":"PMC8602706","source":"PubMed Central","title":"ABHD5 inhibits YAP-induced c-Met overexpression and colon cancer cell stemness via suppressing YAP methylation","URL":"https://pmc.ncbi.nlm.nih.gov/articles/PMC8602706/","volume":"12","author":[{"family":"Gu","given":"Yan"},{"family":"Chen","given":"Yanrong"},{"family":"Wei","given":"Lai"},{"family":"Wu","given":"Shuang"},{"family":"Shen","given":"Kaicheng"},{"family":"Liu","given":"Chengxiang"},{"family":"Dong","given":"Yan"},{"family":"Zhao","given":"Yang"},{"family":"Zhang","given":"Yue"},{"family":"Zhang","given":"Chi"},{"family":"Zheng","given":"Wenling"},{"family":"He","given":"Jiangyi"},{"family":"Wang","given":"Yunlong"},{"family":"Li","given":"Yifei"},{"family":"Zhao","given":"Xiaoxin"},{"family":"Wang","given":"Hongwei"},{"family":"Tan","given":"Jun"},{"family":"Wang","given":"Liting"},{"family":"Zhou","given":"Qi"},{"family":"Xie","given":"Ganfeng"},{"family":"Liang","given":"Houjie"},{"family":"Ou","given":"Juanjuan"}],"accessed":{"date-parts":[["2026",7,15]]},"issued":{"date-parts":[["2021",11,18]]}}}],"schema":"https://github.com/citation-style-language/schema/raw/master/csl-citation.json"} </w:instrText>
      </w:r>
      <w:r w:rsidR="00D3389F">
        <w:fldChar w:fldCharType="separate"/>
      </w:r>
      <w:r w:rsidR="00991CA6" w:rsidRPr="00991CA6">
        <w:rPr>
          <w:rFonts w:ascii="Calibri" w:hAnsi="Calibri" w:cs="Calibri"/>
        </w:rPr>
        <w:t>(12,44)</w:t>
      </w:r>
      <w:r w:rsidR="00D3389F">
        <w:fldChar w:fldCharType="end"/>
      </w:r>
      <w:r w:rsidRPr="006A4177">
        <w:t>. Dentro de este eje</w:t>
      </w:r>
      <w:r w:rsidR="00DB0B43">
        <w:t xml:space="preserve">, </w:t>
      </w:r>
      <w:r w:rsidRPr="006A4177">
        <w:t>la supresión de efectores como CEMIP</w:t>
      </w:r>
      <w:r w:rsidR="00D3389F">
        <w:fldChar w:fldCharType="begin"/>
      </w:r>
      <w:r w:rsidR="004B4551">
        <w:instrText xml:space="preserve"> ADDIN ZOTERO_ITEM CSL_CITATION {"citationID":"v0zQzPqW","properties":{"unsorted":false,"formattedCitation":"(14)","plainCitation":"(14)","noteIndex":0},"citationItems":[{"id":136,"uris":["http://zotero.org/users/local/sechomLT/items/I8FJEX9X"],"itemData":{"id":136,"type":"article-journal","abstract":"Background:\nThe KIAA1199 transcript is upregulated in colon adenomas and downregulated upon β-catenin knockdown.\n\nMethods:\nTranscript profiling was performed on &gt;500 colon biopsies, methylation profiling data were compared with transcript data. Immunohistochemistry assessed KIAA1199 protein expression in 270 stage II/III tumours (&gt;3 years follow-up). The effects of stable KIAA1199 knockdown in SW480 cells (three different constructs) were studied using transcriptional profiling, proliferation and protein analysis.\n\nResults:\nThe KIAA1199 transcript was strongly upregulated in 95% of adenocarcinomas. Absent expression in normal mucosa correlated with KIAA1199 promotor methylation. Nuclear and cytoplasmic KIAA1199 protein expression was identified in colon adenocarcinomas and other types of cancers. A subpopulation of patients with tumours strongly expressing KIAA1199 in the nucleus showed a better outcome with regard to recurrence as lung or liver metastases. The KIAA1199 knockdown affected the cell cycle and the Wnt-signalling pathway. Reduced cellular proliferation and decreased KI67, phosphorylated retinoblastoma, β-catenin and ASCL2 protein expression supported these findings. Eighteen Wnt-signalling genes differentially expressed upon KIAA1199 knockdown correlated with the KIAA1199 expression profile in clinical specimens.\n\nConclusion:\nThe KIAA1199 knockdown attenuates the effects of the Wnt/β-catenin signalling and it may thus be regarded as a regulatory part of this pathway.","container-title":"British Journal of Cancer","DOI":"10.1038/bjc.2011.268","ISSN":"0007-0920","issue":"4","journalAbbreviation":"Br J Cancer","page":"552-561","PMID":"21772334","PMCID":"PMC3170968","source":"PubMed Central","title":"Repression of KIAA1199 attenuates Wnt-signalling and decreases the proliferation of colon cancer cells","URL":"https://pmc.ncbi.nlm.nih.gov/articles/PMC3170968/","volume":"105","author":[{"family":"Birkenkamp-Demtroder","given":"K"},{"family":"Maghnouj","given":"A"},{"family":"Mansilla","given":"F"},{"family":"Thorsen","given":"K"},{"family":"Andersen","given":"C L"},{"family":"Øster","given":"B"},{"family":"Hahn","given":"S"},{"family":"Ørntoft","given":"T F"}],"accessed":{"date-parts":[["2026",7,15]]},"issued":{"date-parts":[["2011",8,9]]}}}],"schema":"https://github.com/citation-style-language/schema/raw/master/csl-citation.json"} </w:instrText>
      </w:r>
      <w:r w:rsidR="00D3389F">
        <w:fldChar w:fldCharType="separate"/>
      </w:r>
      <w:r w:rsidR="004B4551" w:rsidRPr="004B4551">
        <w:rPr>
          <w:rFonts w:ascii="Calibri" w:hAnsi="Calibri" w:cs="Calibri"/>
        </w:rPr>
        <w:t>(14)</w:t>
      </w:r>
      <w:r w:rsidR="00D3389F">
        <w:fldChar w:fldCharType="end"/>
      </w:r>
      <w:r w:rsidRPr="006A4177">
        <w:t xml:space="preserve"> y el oncogén MYC</w:t>
      </w:r>
      <w:r w:rsidR="00D3389F">
        <w:fldChar w:fldCharType="begin"/>
      </w:r>
      <w:r w:rsidR="004B4551">
        <w:instrText xml:space="preserve"> ADDIN ZOTERO_ITEM CSL_CITATION {"citationID":"QehhLmZB","properties":{"unsorted":false,"formattedCitation":"(12)","plainCitation":"(12)","noteIndex":0},"citationItems":[{"id":130,"uris":["http://zotero.org/users/local/sechomLT/items/U9P9CPXJ"],"itemData":{"id":130,"type":"article-journal","abstract":"Colorectal cancer (CRC) is a heterogeneous disease with changes in the genetic and epigenetic levels of various genes. The molecular assessment of CRC is gaining increasing attention, and furthermore, there is an increase in biomarker use for disease prognostication. Therefore, the identification of different gene biomarkers through messenger RNA (mRNA) abundance levels may be useful for capturing the complex effects of CRC. In this study, we demonstrate that the high mRNA levels of 10 upregulated genes (DPEP1, KRT80, FABP6, NKD2, FOXQ1, CEMIP, ETV4, TESC, FUT1, and GAS2) are observed in CRC cell lines and public CRC datasets. Moreover, we find that a high mRNA expression of DPEP1, NKD2, CEMIP, ETV4, TESC, or FUT1 is significantly correlated with a worse prognosis in CRC patients. Further investigation reveals that CTNNB1 is the key factor in the interaction of the canonical Wnt signaling pathway with 10 upregulated CRC-associated genes. In particular, we identify NKD2, FOXQ1, and CEMIP as three CTNNB1-regulated genes. Moreover, individual inhibition of the expression of three CTNNB1-regulated genes can cause the growth inhibition of CRC cells. This study reveals efficient biomarkers for the prognosis of CRC and provides a new molecular interaction network for CRC.","container-title":"Biomedicines","DOI":"10.3390/biomedicines9101331","ISSN":"2227-9059","issue":"10","journalAbbreviation":"Biomedicines","page":"1331","PMID":"34680448","PMCID":"PMC8533439","source":"PubMed Central","title":"Expression Profile and Prognostic Value of Wnt Signaling Pathway Molecules in Colorectal Cancer","URL":"https://pmc.ncbi.nlm.nih.gov/articles/PMC8533439/","volume":"9","author":[{"family":"Wu","given":"Yung-Fu"},{"family":"Wang","given":"Chih-Yang"},{"family":"Tang","given":"Wan-Chun"},{"family":"Lee","given":"Yu-Cheng"},{"family":"Ta","given":"Hoang Dang Khoa"},{"family":"Lin","given":"Li-Chia"},{"family":"Pan","given":"Syu-Ruei"},{"family":"Ni","given":"Yi-Chun"},{"family":"Anuraga","given":"Gangga"},{"family":"Lee","given":"Kuen-Haur"}],"accessed":{"date-parts":[["2026",7,15]]},"issued":{"date-parts":[["2021",9,27]]}}}],"schema":"https://github.com/citation-style-language/schema/raw/master/csl-citation.json"} </w:instrText>
      </w:r>
      <w:r w:rsidR="00D3389F">
        <w:fldChar w:fldCharType="separate"/>
      </w:r>
      <w:r w:rsidR="004B4551" w:rsidRPr="004B4551">
        <w:rPr>
          <w:rFonts w:ascii="Calibri" w:hAnsi="Calibri" w:cs="Calibri"/>
        </w:rPr>
        <w:t>(12)</w:t>
      </w:r>
      <w:r w:rsidR="00D3389F">
        <w:fldChar w:fldCharType="end"/>
      </w:r>
      <w:r w:rsidRPr="006A4177">
        <w:t xml:space="preserve"> atenúa la señalización de la </w:t>
      </w:r>
      <m:oMath>
        <m:r>
          <m:rPr>
            <m:sty m:val="p"/>
          </m:rPr>
          <w:rPr>
            <w:rFonts w:ascii="Cambria Math" w:hAnsi="Cambria Math"/>
          </w:rPr>
          <m:t>β</m:t>
        </m:r>
      </m:oMath>
      <w:r w:rsidRPr="006A4177">
        <w:t>-catenina, mientras que la reactivación epigenética del antagonista SFRP1 permite restaurar la inhibición fisiológica de la vía</w:t>
      </w:r>
      <w:r w:rsidR="00D3389F">
        <w:fldChar w:fldCharType="begin"/>
      </w:r>
      <w:r w:rsidR="00991CA6">
        <w:instrText xml:space="preserve"> ADDIN ZOTERO_ITEM CSL_CITATION {"citationID":"BkQnVCMi","properties":{"unsorted":false,"formattedCitation":"(49)","plainCitation":"(49)","noteIndex":0},"citationItems":[{"id":197,"uris":["http://zotero.org/users/local/sechomLT/items/PWF4H83B"],"itemData":{"id":197,"type":"article-journal","abstract":"DNA methylation is an epigenetic mechanism regulating gene expression. Changes in DNA methylation were suggested to be useful biomarkers for diagnosis, and for the determination of prognosis and treatment response. Here, we provide an overview of methylation-based biomarkers in colorectal cancer. First, we start with the two methylation-based diagnostic biomarkers already approved for colorectal cancer, SEPT9 and the combination of NDRG4 and BMP3. Then, we provide a list-based overview of new biomarker candidates depending on the sample source including plasma, stool, urine, and surgically removed tumor tissues. The most often identified markers like SDC2, VIM, APC, MGMT, SFRP1, SFRP2, and NDRG4 have distinct functions previously linked to tumor progression. Although numerous studies have identified tumor-specific methylation changes, most of these alterations were observed in a single study only. The lack of validation in independent samples means low reproducibility and is a major limitation. The genome-wide determination of methylation status (methylome) can provide data to solve these issues. In the third section of the review, methylome studies focusing on different aspects related to CRC, including precancerous lesions, CRC-specific changes, molecular subtypes, aging, and chemotherapy response are summarized. Notably, techniques simultaneously analyzing a large set of regions can also uncover epigenetic regulation of genes which have not yet been associated with tumorigenesis previously. A remaining constraint of studies published to date is the low patient number utilized in these preventing the identification of clinically valuable biomarker candidates. Either future large-scale studies or the integration of already available methylome-level data will be necessary to uncover biomarkers sufficiently robust for clinical application.","container-title":"Biochimica et Biophysica Acta (BBA) - Reviews on Cancer","DOI":"10.1016/j.bbcan.2022.188722","ISSN":"0304-419X","issue":"3","journalAbbreviation":"Biochimica et Biophysica Acta (BBA) - Reviews on Cancer","page":"188722","source":"ScienceDirect","title":"DNA methylation-based diagnostic, prognostic, and predictive biomarkers in colorectal cancer","URL":"https://www.sciencedirect.com/science/article/pii/S0304419X22000476","volume":"1877","author":[{"family":"Müller","given":"Dalma"},{"family":"Győrffy","given":"Balázs"}],"accessed":{"date-parts":[["2026",7,22]]},"issued":{"date-parts":[["2022",5,1]]}}}],"schema":"https://github.com/citation-style-language/schema/raw/master/csl-citation.json"} </w:instrText>
      </w:r>
      <w:r w:rsidR="00D3389F">
        <w:fldChar w:fldCharType="separate"/>
      </w:r>
      <w:r w:rsidR="00991CA6" w:rsidRPr="00991CA6">
        <w:rPr>
          <w:rFonts w:ascii="Calibri" w:hAnsi="Calibri" w:cs="Calibri"/>
        </w:rPr>
        <w:t>(49)</w:t>
      </w:r>
      <w:r w:rsidR="00D3389F">
        <w:fldChar w:fldCharType="end"/>
      </w:r>
      <w:r w:rsidRPr="006A4177">
        <w:t>.</w:t>
      </w:r>
      <w:r w:rsidR="00DB0B43" w:rsidRPr="00DB0B43">
        <w:t xml:space="preserve"> En estrecho </w:t>
      </w:r>
      <w:r w:rsidR="00302B9F" w:rsidRPr="00D31EF6">
        <w:t>dialogo cruzado</w:t>
      </w:r>
      <w:r w:rsidR="00D31EF6" w:rsidRPr="00D31EF6">
        <w:t xml:space="preserve"> (</w:t>
      </w:r>
      <w:proofErr w:type="spellStart"/>
      <w:r w:rsidR="00D31EF6" w:rsidRPr="00D31EF6">
        <w:rPr>
          <w:i/>
          <w:iCs/>
        </w:rPr>
        <w:t>crosstalk</w:t>
      </w:r>
      <w:proofErr w:type="spellEnd"/>
      <w:r w:rsidR="00D31EF6">
        <w:t>)</w:t>
      </w:r>
      <w:r w:rsidR="00DB0B43" w:rsidRPr="00DB0B43">
        <w:t xml:space="preserve"> con este sistema destaca el receptor tirosina quinasa MET, cuya inhibición farmacológica compromete el fenotipo de célula madre y reduce la viabilidad tumoral</w:t>
      </w:r>
      <w:r w:rsidR="00DB0B43">
        <w:fldChar w:fldCharType="begin"/>
      </w:r>
      <w:r w:rsidR="00991CA6">
        <w:instrText xml:space="preserve"> ADDIN ZOTERO_ITEM CSL_CITATION {"citationID":"DU8Pdoj6","properties":{"unsorted":false,"formattedCitation":"(44)","plainCitation":"(44)","noteIndex":0},"citationItems":[{"id":155,"uris":["http://zotero.org/users/local/sechomLT/items/NCHXV8SB"],"itemData":{"id":155,"type":"article-journal","abstract":"Cancer stemness represents a major source of development and progression of colorectal cancer (CRC). c-Met critically contributes to CRC stemness, but how c-Met is activated in CRC remains elusive. We previously identified the lipolytic factor ABHD5 as an important tumour suppressor gene in CRC. Here, we show that loss of ABHD5 promotes c-Met activation to sustain CRC stemness in a non-canonical manner. Mechanistically, we demonstrate that ABHD5 interacts in the cytoplasm with the core subunit of the SET1A methyltransferase complex, DPY30, thereby inhibiting the nuclear translocation of DPY30 and activity of SET1A. In the absence of ABHD5, DPY30 translocates to the nucleus and supports SET1A-mediated methylation of YAP and histone H3, which sequesters YAP in the nucleus and increases chromatin accessibility to synergistically promote YAP-induced transcription of c-Met, thus promoting the stemness of CRC cells. This study reveals a novel role of ABHD5 in regulating histone/non-histone methylation and CRC stemness., This study reveals an unrecognized role of ABHD5 in regulating colon cancer stemness via controlling YAP methylation and nuclear localization, further explaining the molecular mechanism through which ABHD5 functions as a tumour suppressor gene in colon cancer.","container-title":"Nature Communications","DOI":"10.1038/s41467-021-26967-5","ISSN":"2041-1723","journalAbbreviation":"Nat Commun","page":"6711","PMID":"34795238","PMCID":"PMC8602706","source":"PubMed Central","title":"ABHD5 inhibits YAP-induced c-Met overexpression and colon cancer cell stemness via suppressing YAP methylation","URL":"https://pmc.ncbi.nlm.nih.gov/articles/PMC8602706/","volume":"12","author":[{"family":"Gu","given":"Yan"},{"family":"Chen","given":"Yanrong"},{"family":"Wei","given":"Lai"},{"family":"Wu","given":"Shuang"},{"family":"Shen","given":"Kaicheng"},{"family":"Liu","given":"Chengxiang"},{"family":"Dong","given":"Yan"},{"family":"Zhao","given":"Yang"},{"family":"Zhang","given":"Yue"},{"family":"Zhang","given":"Chi"},{"family":"Zheng","given":"Wenling"},{"family":"He","given":"Jiangyi"},{"family":"Wang","given":"Yunlong"},{"family":"Li","given":"Yifei"},{"family":"Zhao","given":"Xiaoxin"},{"family":"Wang","given":"Hongwei"},{"family":"Tan","given":"Jun"},{"family":"Wang","given":"Liting"},{"family":"Zhou","given":"Qi"},{"family":"Xie","given":"Ganfeng"},{"family":"Liang","given":"Houjie"},{"family":"Ou","given":"Juanjuan"}],"accessed":{"date-parts":[["2026",7,15]]},"issued":{"date-parts":[["2021",11,18]]}}}],"schema":"https://github.com/citation-style-language/schema/raw/master/csl-citation.json"} </w:instrText>
      </w:r>
      <w:r w:rsidR="00DB0B43">
        <w:fldChar w:fldCharType="separate"/>
      </w:r>
      <w:r w:rsidR="00991CA6" w:rsidRPr="00991CA6">
        <w:rPr>
          <w:rFonts w:ascii="Calibri" w:hAnsi="Calibri" w:cs="Calibri"/>
        </w:rPr>
        <w:t>(44)</w:t>
      </w:r>
      <w:r w:rsidR="00DB0B43">
        <w:fldChar w:fldCharType="end"/>
      </w:r>
      <w:r w:rsidR="00DB0B43" w:rsidRPr="00DB0B43">
        <w:t>.</w:t>
      </w:r>
      <w:r w:rsidRPr="006A4177">
        <w:t xml:space="preserve"> </w:t>
      </w:r>
      <w:r w:rsidR="00260264">
        <w:t>Además</w:t>
      </w:r>
      <w:r w:rsidRPr="006A4177">
        <w:t>, en el microambiente estromal, la proteína de activación de fibroblastos (FAP) constituye una diana específica orientada a los fibroblastos asociados al cáncer (</w:t>
      </w:r>
      <w:proofErr w:type="spellStart"/>
      <w:r w:rsidRPr="006A4177">
        <w:t>CAFs</w:t>
      </w:r>
      <w:proofErr w:type="spellEnd"/>
      <w:r w:rsidRPr="006A4177">
        <w:t xml:space="preserve"> </w:t>
      </w:r>
      <m:oMath>
        <m:r>
          <m:rPr>
            <m:sty m:val="p"/>
          </m:rPr>
          <w:rPr>
            <w:rFonts w:ascii="Cambria Math" w:hAnsi="Cambria Math"/>
          </w:rPr>
          <m:t>FA</m:t>
        </m:r>
        <m:sSup>
          <m:sSupPr>
            <m:ctrlPr>
              <w:rPr>
                <w:rFonts w:ascii="Cambria Math" w:hAnsi="Cambria Math"/>
              </w:rPr>
            </m:ctrlPr>
          </m:sSupPr>
          <m:e>
            <m:r>
              <m:rPr>
                <m:sty m:val="p"/>
              </m:rPr>
              <w:rPr>
                <w:rFonts w:ascii="Cambria Math" w:hAnsi="Cambria Math"/>
              </w:rPr>
              <m:t>P</m:t>
            </m:r>
          </m:e>
          <m:sup>
            <m:r>
              <m:rPr>
                <m:sty m:val="p"/>
              </m:rPr>
              <w:rPr>
                <w:rFonts w:ascii="Cambria Math" w:hAnsi="Cambria Math"/>
              </w:rPr>
              <m:t>+</m:t>
            </m:r>
          </m:sup>
        </m:sSup>
      </m:oMath>
      <w:r w:rsidRPr="006A4177">
        <w:t>), los cuales actúan como promotores clave de la desdiferenciación celular y la agresividad del nicho tumoral</w:t>
      </w:r>
      <w:r w:rsidR="00260264">
        <w:fldChar w:fldCharType="begin"/>
      </w:r>
      <w:r w:rsidR="00991CA6">
        <w:instrText xml:space="preserve"> ADDIN ZOTERO_ITEM CSL_CITATION {"citationID":"KirbHnXL","properties":{"unsorted":false,"formattedCitation":"(36)","plainCitation":"(36)","noteIndex":0},"citationItems":[{"id":102,"uris":["http://zotero.org/users/local/sechomLT/items/BAZ7QHFE"],"itemData":{"id":102,"type":"article-journal","abstract":"Tumor microenvironments have a crucial role in cancer initiation and progression, and share many molecular and pathological features with wound healing process. Unless treated, tumors, however, do not heal in contrast to wounds that heal within a limited time framework. Wounds heal in coordination of a myriad of types of cells, particularly endothelial cells, leukocytes, and fibroblasts. Similar sets of cells also contribute to cancer initiation and progression, and as a consequence, anti-cancer treatment strategies have been proposed and tested by targeting endothelial cells and/or leukocytes. Compared with endothelial cells and leukocytes, less attention has been paid to the roles of cancer-associated fibroblasts (CAFs), fibroblasts present in tumor tissues, because their heterogeneity hinders the elucidation on them at cellular and molecular levels. Here, we will discuss the origin of CAFs and their crucial roles in cancer initiation and progression, and the possibility to develop a novel type of anti-cancer treatment by manipulating the migration and functions of CAFs.","container-title":"World Journal of Gastroenterology","DOI":"10.3748/wjg.v22.i23.5301","ISSN":"1007-9327","issue":"23","journalAbbreviation":"World J Gastroenterol","page":"5301-5316","PMID":"27340347","PMCID":"PMC4910652","source":"PubMed Central","title":"Fibroblasts, an inconspicuous but essential player in colon cancer development and progression","URL":"https://pmc.ncbi.nlm.nih.gov/articles/PMC4910652/","volume":"22","author":[{"family":"Mukaida","given":"Naofumi"},{"family":"Sasaki","given":"Soichiro"}],"accessed":{"date-parts":[["2026",7,14]]},"issued":{"date-parts":[["2016",6,21]]}}}],"schema":"https://github.com/citation-style-language/schema/raw/master/csl-citation.json"} </w:instrText>
      </w:r>
      <w:r w:rsidR="00260264">
        <w:fldChar w:fldCharType="separate"/>
      </w:r>
      <w:r w:rsidR="00991CA6" w:rsidRPr="00991CA6">
        <w:rPr>
          <w:rFonts w:ascii="Calibri" w:hAnsi="Calibri" w:cs="Calibri"/>
        </w:rPr>
        <w:t>(36)</w:t>
      </w:r>
      <w:r w:rsidR="00260264">
        <w:fldChar w:fldCharType="end"/>
      </w:r>
      <w:r w:rsidRPr="006A4177">
        <w:t>.</w:t>
      </w:r>
      <w:r w:rsidR="00260264" w:rsidRPr="00260264">
        <w:t xml:space="preserve"> </w:t>
      </w:r>
      <w:r w:rsidR="00302B9F" w:rsidRPr="00302B9F">
        <w:t>No obstante, aunque estos biomarcadores muestran un elevado potencial traslacional, actualmente no existen fármacos aprobados para su uso comercial en esta patología, por lo que las estrategias dirigidas contra estas dianas se encuentran aún en fases de investigación preclínica y clínica</w:t>
      </w:r>
      <w:r w:rsidR="00302B9F">
        <w:fldChar w:fldCharType="begin"/>
      </w:r>
      <w:r w:rsidR="00991CA6">
        <w:instrText xml:space="preserve"> ADDIN ZOTERO_ITEM CSL_CITATION {"citationID":"QafsV7V6","properties":{"unsorted":false,"formattedCitation":"(14,36,44)","plainCitation":"(14,36,44)","noteIndex":0},"citationItems":[{"id":155,"uris":["http://zotero.org/users/local/sechomLT/items/NCHXV8SB"],"itemData":{"id":155,"type":"article-journal","abstract":"Cancer stemness represents a major source of development and progression of colorectal cancer (CRC). c-Met critically contributes to CRC stemness, but how c-Met is activated in CRC remains elusive. We previously identified the lipolytic factor ABHD5 as an important tumour suppressor gene in CRC. Here, we show that loss of ABHD5 promotes c-Met activation to sustain CRC stemness in a non-canonical manner. Mechanistically, we demonstrate that ABHD5 interacts in the cytoplasm with the core subunit of the SET1A methyltransferase complex, DPY30, thereby inhibiting the nuclear translocation of DPY30 and activity of SET1A. In the absence of ABHD5, DPY30 translocates to the nucleus and supports SET1A-mediated methylation of YAP and histone H3, which sequesters YAP in the nucleus and increases chromatin accessibility to synergistically promote YAP-induced transcription of c-Met, thus promoting the stemness of CRC cells. This study reveals a novel role of ABHD5 in regulating histone/non-histone methylation and CRC stemness., This study reveals an unrecognized role of ABHD5 in regulating colon cancer stemness via controlling YAP methylation and nuclear localization, further explaining the molecular mechanism through which ABHD5 functions as a tumour suppressor gene in colon cancer.","container-title":"Nature Communications","DOI":"10.1038/s41467-021-26967-5","ISSN":"2041-1723","journalAbbreviation":"Nat Commun","page":"6711","PMID":"34795238","PMCID":"PMC8602706","source":"PubMed Central","title":"ABHD5 inhibits YAP-induced c-Met overexpression and colon cancer cell stemness via suppressing YAP methylation","URL":"https://pmc.ncbi.nlm.nih.gov/articles/PMC8602706/","volume":"12","author":[{"family":"Gu","given":"Yan"},{"family":"Chen","given":"Yanrong"},{"family":"Wei","given":"Lai"},{"family":"Wu","given":"Shuang"},{"family":"Shen","given":"Kaicheng"},{"family":"Liu","given":"Chengxiang"},{"family":"Dong","given":"Yan"},{"family":"Zhao","given":"Yang"},{"family":"Zhang","given":"Yue"},{"family":"Zhang","given":"Chi"},{"family":"Zheng","given":"Wenling"},{"family":"He","given":"Jiangyi"},{"family":"Wang","given":"Yunlong"},{"family":"Li","given":"Yifei"},{"family":"Zhao","given":"Xiaoxin"},{"family":"Wang","given":"Hongwei"},{"family":"Tan","given":"Jun"},{"family":"Wang","given":"Liting"},{"family":"Zhou","given":"Qi"},{"family":"Xie","given":"Ganfeng"},{"family":"Liang","given":"Houjie"},{"family":"Ou","given":"Juanjuan"}],"accessed":{"date-parts":[["2026",7,15]]},"issued":{"date-parts":[["2021",11,18]]}}},{"id":136,"uris":["http://zotero.org/users/local/sechomLT/items/I8FJEX9X"],"itemData":{"id":136,"type":"article-journal","abstract":"Background:\nThe KIAA1199 transcript is upregulated in colon adenomas and downregulated upon β-catenin knockdown.\n\nMethods:\nTranscript profiling was performed on &gt;500 colon biopsies, methylation profiling data were compared with transcript data. Immunohistochemistry assessed KIAA1199 protein expression in 270 stage II/III tumours (&gt;3 years follow-up). The effects of stable KIAA1199 knockdown in SW480 cells (three different constructs) were studied using transcriptional profiling, proliferation and protein analysis.\n\nResults:\nThe KIAA1199 transcript was strongly upregulated in 95% of adenocarcinomas. Absent expression in normal mucosa correlated with KIAA1199 promotor methylation. Nuclear and cytoplasmic KIAA1199 protein expression was identified in colon adenocarcinomas and other types of cancers. A subpopulation of patients with tumours strongly expressing KIAA1199 in the nucleus showed a better outcome with regard to recurrence as lung or liver metastases. The KIAA1199 knockdown affected the cell cycle and the Wnt-signalling pathway. Reduced cellular proliferation and decreased KI67, phosphorylated retinoblastoma, β-catenin and ASCL2 protein expression supported these findings. Eighteen Wnt-signalling genes differentially expressed upon KIAA1199 knockdown correlated with the KIAA1199 expression profile in clinical specimens.\n\nConclusion:\nThe KIAA1199 knockdown attenuates the effects of the Wnt/β-catenin signalling and it may thus be regarded as a regulatory part of this pathway.","container-title":"British Journal of Cancer","DOI":"10.1038/bjc.2011.268","ISSN":"0007-0920","issue":"4","journalAbbreviation":"Br J Cancer","page":"552-561","PMID":"21772334","PMCID":"PMC3170968","source":"PubMed Central","title":"Repression of KIAA1199 attenuates Wnt-signalling and decreases the proliferation of colon cancer cells","URL":"https://pmc.ncbi.nlm.nih.gov/articles/PMC3170968/","volume":"105","author":[{"family":"Birkenkamp-Demtroder","given":"K"},{"family":"Maghnouj","given":"A"},{"family":"Mansilla","given":"F"},{"family":"Thorsen","given":"K"},{"family":"Andersen","given":"C L"},{"family":"Øster","given":"B"},{"family":"Hahn","given":"S"},{"family":"Ørntoft","given":"T F"}],"accessed":{"date-parts":[["2026",7,15]]},"issued":{"date-parts":[["2011",8,9]]}}},{"id":102,"uris":["http://zotero.org/users/local/sechomLT/items/BAZ7QHFE"],"itemData":{"id":102,"type":"article-journal","abstract":"Tumor microenvironments have a crucial role in cancer initiation and progression, and share many molecular and pathological features with wound healing process. Unless treated, tumors, however, do not heal in contrast to wounds that heal within a limited time framework. Wounds heal in coordination of a myriad of types of cells, particularly endothelial cells, leukocytes, and fibroblasts. Similar sets of cells also contribute to cancer initiation and progression, and as a consequence, anti-cancer treatment strategies have been proposed and tested by targeting endothelial cells and/or leukocytes. Compared with endothelial cells and leukocytes, less attention has been paid to the roles of cancer-associated fibroblasts (CAFs), fibroblasts present in tumor tissues, because their heterogeneity hinders the elucidation on them at cellular and molecular levels. Here, we will discuss the origin of CAFs and their crucial roles in cancer initiation and progression, and the possibility to develop a novel type of anti-cancer treatment by manipulating the migration and functions of CAFs.","container-title":"World Journal of Gastroenterology","DOI":"10.3748/wjg.v22.i23.5301","ISSN":"1007-9327","issue":"23","journalAbbreviation":"World J Gastroenterol","page":"5301-5316","PMID":"27340347","PMCID":"PMC4910652","source":"PubMed Central","title":"Fibroblasts, an inconspicuous but essential player in colon cancer development and progression","URL":"https://pmc.ncbi.nlm.nih.gov/articles/PMC4910652/","volume":"22","author":[{"family":"Mukaida","given":"Naofumi"},{"family":"Sasaki","given":"Soichiro"}],"accessed":{"date-parts":[["2026",7,14]]},"issued":{"date-parts":[["2016",6,21]]}}}],"schema":"https://github.com/citation-style-language/schema/raw/master/csl-citation.json"} </w:instrText>
      </w:r>
      <w:r w:rsidR="00302B9F">
        <w:fldChar w:fldCharType="separate"/>
      </w:r>
      <w:r w:rsidR="00991CA6" w:rsidRPr="00991CA6">
        <w:rPr>
          <w:rFonts w:ascii="Calibri" w:hAnsi="Calibri" w:cs="Calibri"/>
        </w:rPr>
        <w:t>(14,36,44)</w:t>
      </w:r>
      <w:r w:rsidR="00302B9F">
        <w:fldChar w:fldCharType="end"/>
      </w:r>
      <w:r w:rsidR="00302B9F" w:rsidRPr="00302B9F">
        <w:t>.</w:t>
      </w:r>
    </w:p>
    <w:p w14:paraId="7BDEE969" w14:textId="3AA343B9" w:rsidR="00F3241D" w:rsidRDefault="00D44A79" w:rsidP="00F3241D">
      <w:r w:rsidRPr="00D44A79">
        <w:t>Finalmente, en la predicción de respuesta al tratamiento, los biomarcadores CDH3 y MET permiten la selección personalizada de terapias dirigidas e inmunoterapia en el cáncer colorrectal</w:t>
      </w:r>
      <w:r w:rsidR="006D5921">
        <w:fldChar w:fldCharType="begin"/>
      </w:r>
      <w:r w:rsidR="00991CA6">
        <w:instrText xml:space="preserve"> ADDIN ZOTERO_ITEM CSL_CITATION {"citationID":"Nx4Y7yRd","properties":{"unsorted":false,"formattedCitation":"(23,44)","plainCitation":"(23,44)","noteIndex":0},"citationItems":[{"id":155,"uris":["http://zotero.org/users/local/sechomLT/items/NCHXV8SB"],"itemData":{"id":155,"type":"article-journal","abstract":"Cancer stemness represents a major source of development and progression of colorectal cancer (CRC). c-Met critically contributes to CRC stemness, but how c-Met is activated in CRC remains elusive. We previously identified the lipolytic factor ABHD5 as an important tumour suppressor gene in CRC. Here, we show that loss of ABHD5 promotes c-Met activation to sustain CRC stemness in a non-canonical manner. Mechanistically, we demonstrate that ABHD5 interacts in the cytoplasm with the core subunit of the SET1A methyltransferase complex, DPY30, thereby inhibiting the nuclear translocation of DPY30 and activity of SET1A. In the absence of ABHD5, DPY30 translocates to the nucleus and supports SET1A-mediated methylation of YAP and histone H3, which sequesters YAP in the nucleus and increases chromatin accessibility to synergistically promote YAP-induced transcription of c-Met, thus promoting the stemness of CRC cells. This study reveals a novel role of ABHD5 in regulating histone/non-histone methylation and CRC stemness., This study reveals an unrecognized role of ABHD5 in regulating colon cancer stemness via controlling YAP methylation and nuclear localization, further explaining the molecular mechanism through which ABHD5 functions as a tumour suppressor gene in colon cancer.","container-title":"Nature Communications","DOI":"10.1038/s41467-021-26967-5","ISSN":"2041-1723","journalAbbreviation":"Nat Commun","page":"6711","PMID":"34795238","PMCID":"PMC8602706","source":"PubMed Central","title":"ABHD5 inhibits YAP-induced c-Met overexpression and colon cancer cell stemness via suppressing YAP methylation","URL":"https://pmc.ncbi.nlm.nih.gov/articles/PMC8602706/","volume":"12","author":[{"family":"Gu","given":"Yan"},{"family":"Chen","given":"Yanrong"},{"family":"Wei","given":"Lai"},{"family":"Wu","given":"Shuang"},{"family":"Shen","given":"Kaicheng"},{"family":"Liu","given":"Chengxiang"},{"family":"Dong","given":"Yan"},{"family":"Zhao","given":"Yang"},{"family":"Zhang","given":"Yue"},{"family":"Zhang","given":"Chi"},{"family":"Zheng","given":"Wenling"},{"family":"He","given":"Jiangyi"},{"family":"Wang","given":"Yunlong"},{"family":"Li","given":"Yifei"},{"family":"Zhao","given":"Xiaoxin"},{"family":"Wang","given":"Hongwei"},{"family":"Tan","given":"Jun"},{"family":"Wang","given":"Liting"},{"family":"Zhou","given":"Qi"},{"family":"Xie","given":"Ganfeng"},{"family":"Liang","given":"Houjie"},{"family":"Ou","given":"Juanjuan"}],"accessed":{"date-parts":[["2026",7,15]]},"issued":{"date-parts":[["2021",11,18]]}}},{"id":145,"uris":["http://zotero.org/users/local/sechomLT/items/BBUGMZQT"],"itemData":{"id":145,"type":"article-journal","abstract":"Background\nColorectal cancer (CRC) remains a leading cause of cancer-related mortality, particularly due to advanced-stage metastasis. P-cadherin (CDH3), a potential therapeutic target, is highly expressed in CRC tissues and associated with poor prognosis and metastasis. However, the mechanisms underlying its role in CRC progression and its translational potential remain poorly understood.\n\nMaterials and methods\nThis study integrated multiple public databases (TCGA, HCMDB, UALCAN, HPA, UniProt, cBioPortal, and GEO) to evaluate CDH3 expression, construct a prognostic model, and perform functional and translational analyses. Immunohistochemistry was used to validate CDH3 protein expression in clinical samples. Additional analyses included correlations with clinicopathological parameters, immune infiltration (TIDE, TISIDB), functional enrichment (KEGG, GSEA), drug sensitivity (GSCA), and molecular docking (MOE). Single-cell sequencing (CancerSEA, HPA) was also conducted to explore CDH3’s role at the single-cell level.\n\nResults\nCDH3 expression was significantly elevated in CRC tissues and correlated with poor prognosis, recurrence, and metastasis. CDH3 expression was associated with the infiltration of resting immune cells, particularly dendritic cells, and enrichment analysis revealed its critical role in CRC metastasis through extracellular matrix (ECM) and local adhesion pathways. Notably, afatinib emerged as a promising candidate for targeting CDH3 via “drug repositioning,” a process involving the repurposing of existing drugs for new therapeutic applications.\n\nConclusion\nThis study provides novel insights into CDH3’s role in CRC metastasis and its potential as a therapeutic target. The translational potential of CDH3, including its integration with immunotherapy and drug repositioning strategies, offers a promising avenue for the treatment of metastatic CRC.\n\nSupplementary Information\nThe online version contains supplementary material available at 10.1186/s12885-025-13845-2.","container-title":"BMC Cancer","DOI":"10.1186/s12885-025-13845-2","ISSN":"1471-2407","journalAbbreviation":"BMC Cancer","page":"560","PMID":"40155851","PMCID":"PMC11951682","source":"PubMed Central","title":"Synergistic potential of CDH3 in targeting CRC metastasis and enhancing immunotherapy","URL":"https://pmc.ncbi.nlm.nih.gov/articles/PMC11951682/","volume":"25","author":[{"family":"Fu","given":"Chen"},{"family":"Fu","given":"Jia"},{"family":"Liu","given":"Chaoyue"},{"family":"Yu","given":"Zhaojin"}],"accessed":{"date-parts":[["2026",7,15]]},"issued":{"date-parts":[["2025",3,28]]}}}],"schema":"https://github.com/citation-style-language/schema/raw/master/csl-citation.json"} </w:instrText>
      </w:r>
      <w:r w:rsidR="006D5921">
        <w:fldChar w:fldCharType="separate"/>
      </w:r>
      <w:r w:rsidR="00991CA6" w:rsidRPr="00991CA6">
        <w:rPr>
          <w:rFonts w:ascii="Calibri" w:hAnsi="Calibri" w:cs="Calibri"/>
        </w:rPr>
        <w:t>(23,44)</w:t>
      </w:r>
      <w:r w:rsidR="006D5921">
        <w:fldChar w:fldCharType="end"/>
      </w:r>
      <w:r w:rsidRPr="00D44A79">
        <w:t xml:space="preserve">. La sobreexpresión de CDH3 actúa como un indicador de sensibilidad frente a inhibidores de EGFR como </w:t>
      </w:r>
      <w:proofErr w:type="spellStart"/>
      <w:r w:rsidRPr="00D44A79">
        <w:t>afatinib</w:t>
      </w:r>
      <w:proofErr w:type="spellEnd"/>
      <w:r w:rsidR="006D5921">
        <w:fldChar w:fldCharType="begin"/>
      </w:r>
      <w:r w:rsidR="0087411E">
        <w:instrText xml:space="preserve"> ADDIN ZOTERO_ITEM CSL_CITATION {"citationID":"ZbEVOUy3","properties":{"unsorted":false,"formattedCitation":"(23)","plainCitation":"(23)","noteIndex":0},"citationItems":[{"id":145,"uris":["http://zotero.org/users/local/sechomLT/items/BBUGMZQT"],"itemData":{"id":145,"type":"article-journal","abstract":"Background\nColorectal cancer (CRC) remains a leading cause of cancer-related mortality, particularly due to advanced-stage metastasis. P-cadherin (CDH3), a potential therapeutic target, is highly expressed in CRC tissues and associated with poor prognosis and metastasis. However, the mechanisms underlying its role in CRC progression and its translational potential remain poorly understood.\n\nMaterials and methods\nThis study integrated multiple public databases (TCGA, HCMDB, UALCAN, HPA, UniProt, cBioPortal, and GEO) to evaluate CDH3 expression, construct a prognostic model, and perform functional and translational analyses. Immunohistochemistry was used to validate CDH3 protein expression in clinical samples. Additional analyses included correlations with clinicopathological parameters, immune infiltration (TIDE, TISIDB), functional enrichment (KEGG, GSEA), drug sensitivity (GSCA), and molecular docking (MOE). Single-cell sequencing (CancerSEA, HPA) was also conducted to explore CDH3’s role at the single-cell level.\n\nResults\nCDH3 expression was significantly elevated in CRC tissues and correlated with poor prognosis, recurrence, and metastasis. CDH3 expression was associated with the infiltration of resting immune cells, particularly dendritic cells, and enrichment analysis revealed its critical role in CRC metastasis through extracellular matrix (ECM) and local adhesion pathways. Notably, afatinib emerged as a promising candidate for targeting CDH3 via “drug repositioning,” a process involving the repurposing of existing drugs for new therapeutic applications.\n\nConclusion\nThis study provides novel insights into CDH3’s role in CRC metastasis and its potential as a therapeutic target. The translational potential of CDH3, including its integration with immunotherapy and drug repositioning strategies, offers a promising avenue for the treatment of metastatic CRC.\n\nSupplementary Information\nThe online version contains supplementary material available at 10.1186/s12885-025-13845-2.","container-title":"BMC Cancer","DOI":"10.1186/s12885-025-13845-2","ISSN":"1471-2407","journalAbbreviation":"BMC Cancer","page":"560","PMID":"40155851","PMCID":"PMC11951682","source":"PubMed Central","title":"Synergistic potential of CDH3 in targeting CRC metastasis and enhancing immunotherapy","URL":"https://pmc.ncbi.nlm.nih.gov/articles/PMC11951682/","volume":"25","author":[{"family":"Fu","given":"Chen"},{"family":"Fu","given":"Jia"},{"family":"Liu","given":"Chaoyue"},{"family":"Yu","given":"Zhaojin"}],"accessed":{"date-parts":[["2026",7,15]]},"issued":{"date-parts":[["2025",3,28]]}}}],"schema":"https://github.com/citation-style-language/schema/raw/master/csl-citation.json"} </w:instrText>
      </w:r>
      <w:r w:rsidR="006D5921">
        <w:fldChar w:fldCharType="separate"/>
      </w:r>
      <w:r w:rsidR="0087411E" w:rsidRPr="0087411E">
        <w:rPr>
          <w:rFonts w:ascii="Calibri" w:hAnsi="Calibri" w:cs="Calibri"/>
        </w:rPr>
        <w:t>(23)</w:t>
      </w:r>
      <w:r w:rsidR="006D5921">
        <w:fldChar w:fldCharType="end"/>
      </w:r>
      <w:r w:rsidRPr="00D44A79">
        <w:t xml:space="preserve">. Asimismo, su asociación con valores reducidos en el índice TIDE </w:t>
      </w:r>
      <w:r w:rsidR="006D5921">
        <w:t>(</w:t>
      </w:r>
      <w:r w:rsidR="006D5921" w:rsidRPr="006D5921">
        <w:rPr>
          <w:i/>
          <w:iCs/>
        </w:rPr>
        <w:t xml:space="preserve">Tumor </w:t>
      </w:r>
      <w:proofErr w:type="spellStart"/>
      <w:r w:rsidR="006D5921" w:rsidRPr="006D5921">
        <w:rPr>
          <w:i/>
          <w:iCs/>
        </w:rPr>
        <w:t>Immune</w:t>
      </w:r>
      <w:proofErr w:type="spellEnd"/>
      <w:r w:rsidR="006D5921" w:rsidRPr="006D5921">
        <w:rPr>
          <w:i/>
          <w:iCs/>
        </w:rPr>
        <w:t xml:space="preserve"> </w:t>
      </w:r>
      <w:proofErr w:type="spellStart"/>
      <w:r w:rsidR="006D5921" w:rsidRPr="006D5921">
        <w:rPr>
          <w:i/>
          <w:iCs/>
        </w:rPr>
        <w:t>Dysfunction</w:t>
      </w:r>
      <w:proofErr w:type="spellEnd"/>
      <w:r w:rsidR="006D5921" w:rsidRPr="006D5921">
        <w:rPr>
          <w:i/>
          <w:iCs/>
        </w:rPr>
        <w:t xml:space="preserve"> and </w:t>
      </w:r>
      <w:proofErr w:type="spellStart"/>
      <w:r w:rsidR="006D5921" w:rsidRPr="006D5921">
        <w:rPr>
          <w:i/>
          <w:iCs/>
        </w:rPr>
        <w:t>Exclusion</w:t>
      </w:r>
      <w:proofErr w:type="spellEnd"/>
      <w:r w:rsidR="006D5921">
        <w:t xml:space="preserve">) </w:t>
      </w:r>
      <w:r w:rsidRPr="00D44A79">
        <w:t>identifica tumores con menor riesgo de escape inmunitario, lo que favorece la respuesta a agentes anti-PD-1 y anti-CTLA-4</w:t>
      </w:r>
      <w:r w:rsidR="006D5921">
        <w:fldChar w:fldCharType="begin"/>
      </w:r>
      <w:r w:rsidR="0087411E">
        <w:instrText xml:space="preserve"> ADDIN ZOTERO_ITEM CSL_CITATION {"citationID":"SfBpjJpZ","properties":{"unsorted":false,"formattedCitation":"(23)","plainCitation":"(23)","noteIndex":0},"citationItems":[{"id":145,"uris":["http://zotero.org/users/local/sechomLT/items/BBUGMZQT"],"itemData":{"id":145,"type":"article-journal","abstract":"Background\nColorectal cancer (CRC) remains a leading cause of cancer-related mortality, particularly due to advanced-stage metastasis. P-cadherin (CDH3), a potential therapeutic target, is highly expressed in CRC tissues and associated with poor prognosis and metastasis. However, the mechanisms underlying its role in CRC progression and its translational potential remain poorly understood.\n\nMaterials and methods\nThis study integrated multiple public databases (TCGA, HCMDB, UALCAN, HPA, UniProt, cBioPortal, and GEO) to evaluate CDH3 expression, construct a prognostic model, and perform functional and translational analyses. Immunohistochemistry was used to validate CDH3 protein expression in clinical samples. Additional analyses included correlations with clinicopathological parameters, immune infiltration (TIDE, TISIDB), functional enrichment (KEGG, GSEA), drug sensitivity (GSCA), and molecular docking (MOE). Single-cell sequencing (CancerSEA, HPA) was also conducted to explore CDH3’s role at the single-cell level.\n\nResults\nCDH3 expression was significantly elevated in CRC tissues and correlated with poor prognosis, recurrence, and metastasis. CDH3 expression was associated with the infiltration of resting immune cells, particularly dendritic cells, and enrichment analysis revealed its critical role in CRC metastasis through extracellular matrix (ECM) and local adhesion pathways. Notably, afatinib emerged as a promising candidate for targeting CDH3 via “drug repositioning,” a process involving the repurposing of existing drugs for new therapeutic applications.\n\nConclusion\nThis study provides novel insights into CDH3’s role in CRC metastasis and its potential as a therapeutic target. The translational potential of CDH3, including its integration with immunotherapy and drug repositioning strategies, offers a promising avenue for the treatment of metastatic CRC.\n\nSupplementary Information\nThe online version contains supplementary material available at 10.1186/s12885-025-13845-2.","container-title":"BMC Cancer","DOI":"10.1186/s12885-025-13845-2","ISSN":"1471-2407","journalAbbreviation":"BMC Cancer","page":"560","PMID":"40155851","PMCID":"PMC11951682","source":"PubMed Central","title":"Synergistic potential of CDH3 in targeting CRC metastasis and enhancing immunotherapy","URL":"https://pmc.ncbi.nlm.nih.gov/articles/PMC11951682/","volume":"25","author":[{"family":"Fu","given":"Chen"},{"family":"Fu","given":"Jia"},{"family":"Liu","given":"Chaoyue"},{"family":"Yu","given":"Zhaojin"}],"accessed":{"date-parts":[["2026",7,15]]},"issued":{"date-parts":[["2025",3,28]]}}}],"schema":"https://github.com/citation-style-language/schema/raw/master/csl-citation.json"} </w:instrText>
      </w:r>
      <w:r w:rsidR="006D5921">
        <w:fldChar w:fldCharType="separate"/>
      </w:r>
      <w:r w:rsidR="0087411E" w:rsidRPr="0087411E">
        <w:rPr>
          <w:rFonts w:ascii="Calibri" w:hAnsi="Calibri" w:cs="Calibri"/>
        </w:rPr>
        <w:t>(23)</w:t>
      </w:r>
      <w:r w:rsidR="006D5921">
        <w:fldChar w:fldCharType="end"/>
      </w:r>
      <w:r w:rsidRPr="00D44A79">
        <w:t>. En cuanto al receptor MET, su utilidad radica en la capacidad de definir un perfil de letalidad sintética tras la pérdida del supresor ABHD5</w:t>
      </w:r>
      <w:r w:rsidR="006D5921">
        <w:fldChar w:fldCharType="begin"/>
      </w:r>
      <w:r w:rsidR="00991CA6">
        <w:instrText xml:space="preserve"> ADDIN ZOTERO_ITEM CSL_CITATION {"citationID":"Ux1iqH1O","properties":{"unsorted":false,"formattedCitation":"(44)","plainCitation":"(44)","noteIndex":0},"citationItems":[{"id":155,"uris":["http://zotero.org/users/local/sechomLT/items/NCHXV8SB"],"itemData":{"id":155,"type":"article-journal","abstract":"Cancer stemness represents a major source of development and progression of colorectal cancer (CRC). c-Met critically contributes to CRC stemness, but how c-Met is activated in CRC remains elusive. We previously identified the lipolytic factor ABHD5 as an important tumour suppressor gene in CRC. Here, we show that loss of ABHD5 promotes c-Met activation to sustain CRC stemness in a non-canonical manner. Mechanistically, we demonstrate that ABHD5 interacts in the cytoplasm with the core subunit of the SET1A methyltransferase complex, DPY30, thereby inhibiting the nuclear translocation of DPY30 and activity of SET1A. In the absence of ABHD5, DPY30 translocates to the nucleus and supports SET1A-mediated methylation of YAP and histone H3, which sequesters YAP in the nucleus and increases chromatin accessibility to synergistically promote YAP-induced transcription of c-Met, thus promoting the stemness of CRC cells. This study reveals a novel role of ABHD5 in regulating histone/non-histone methylation and CRC stemness., This study reveals an unrecognized role of ABHD5 in regulating colon cancer stemness via controlling YAP methylation and nuclear localization, further explaining the molecular mechanism through which ABHD5 functions as a tumour suppressor gene in colon cancer.","container-title":"Nature Communications","DOI":"10.1038/s41467-021-26967-5","ISSN":"2041-1723","journalAbbreviation":"Nat Commun","page":"6711","PMID":"34795238","PMCID":"PMC8602706","source":"PubMed Central","title":"ABHD5 inhibits YAP-induced c-Met overexpression and colon cancer cell stemness via suppressing YAP methylation","URL":"https://pmc.ncbi.nlm.nih.gov/articles/PMC8602706/","volume":"12","author":[{"family":"Gu","given":"Yan"},{"family":"Chen","given":"Yanrong"},{"family":"Wei","given":"Lai"},{"family":"Wu","given":"Shuang"},{"family":"Shen","given":"Kaicheng"},{"family":"Liu","given":"Chengxiang"},{"family":"Dong","given":"Yan"},{"family":"Zhao","given":"Yang"},{"family":"Zhang","given":"Yue"},{"family":"Zhang","given":"Chi"},{"family":"Zheng","given":"Wenling"},{"family":"He","given":"Jiangyi"},{"family":"Wang","given":"Yunlong"},{"family":"Li","given":"Yifei"},{"family":"Zhao","given":"Xiaoxin"},{"family":"Wang","given":"Hongwei"},{"family":"Tan","given":"Jun"},{"family":"Wang","given":"Liting"},{"family":"Zhou","given":"Qi"},{"family":"Xie","given":"Ganfeng"},{"family":"Liang","given":"Houjie"},{"family":"Ou","given":"Juanjuan"}],"accessed":{"date-parts":[["2026",7,15]]},"issued":{"date-parts":[["2021",11,18]]}}}],"schema":"https://github.com/citation-style-language/schema/raw/master/csl-citation.json"} </w:instrText>
      </w:r>
      <w:r w:rsidR="006D5921">
        <w:fldChar w:fldCharType="separate"/>
      </w:r>
      <w:r w:rsidR="00991CA6" w:rsidRPr="00991CA6">
        <w:rPr>
          <w:rFonts w:ascii="Calibri" w:hAnsi="Calibri" w:cs="Calibri"/>
        </w:rPr>
        <w:t>(44)</w:t>
      </w:r>
      <w:r w:rsidR="006D5921">
        <w:fldChar w:fldCharType="end"/>
      </w:r>
      <w:r w:rsidRPr="00D44A79">
        <w:t xml:space="preserve">. En estos casos específicos, la administración del inhibidor </w:t>
      </w:r>
      <w:proofErr w:type="spellStart"/>
      <w:r w:rsidRPr="00D44A79">
        <w:t>savolitinib</w:t>
      </w:r>
      <w:proofErr w:type="spellEnd"/>
      <w:r w:rsidRPr="00D44A79">
        <w:t xml:space="preserve"> logra bloquear con eficacia la capacidad de autorrenovación tumoral y la diseminación metastásica</w:t>
      </w:r>
      <w:r w:rsidR="006D5921">
        <w:fldChar w:fldCharType="begin"/>
      </w:r>
      <w:r w:rsidR="00991CA6">
        <w:instrText xml:space="preserve"> ADDIN ZOTERO_ITEM CSL_CITATION {"citationID":"ekpU2isX","properties":{"unsorted":false,"formattedCitation":"(44)","plainCitation":"(44)","noteIndex":0},"citationItems":[{"id":155,"uris":["http://zotero.org/users/local/sechomLT/items/NCHXV8SB"],"itemData":{"id":155,"type":"article-journal","abstract":"Cancer stemness represents a major source of development and progression of colorectal cancer (CRC). c-Met critically contributes to CRC stemness, but how c-Met is activated in CRC remains elusive. We previously identified the lipolytic factor ABHD5 as an important tumour suppressor gene in CRC. Here, we show that loss of ABHD5 promotes c-Met activation to sustain CRC stemness in a non-canonical manner. Mechanistically, we demonstrate that ABHD5 interacts in the cytoplasm with the core subunit of the SET1A methyltransferase complex, DPY30, thereby inhibiting the nuclear translocation of DPY30 and activity of SET1A. In the absence of ABHD5, DPY30 translocates to the nucleus and supports SET1A-mediated methylation of YAP and histone H3, which sequesters YAP in the nucleus and increases chromatin accessibility to synergistically promote YAP-induced transcription of c-Met, thus promoting the stemness of CRC cells. This study reveals a novel role of ABHD5 in regulating histone/non-histone methylation and CRC stemness., This study reveals an unrecognized role of ABHD5 in regulating colon cancer stemness via controlling YAP methylation and nuclear localization, further explaining the molecular mechanism through which ABHD5 functions as a tumour suppressor gene in colon cancer.","container-title":"Nature Communications","DOI":"10.1038/s41467-021-26967-5","ISSN":"2041-1723","journalAbbreviation":"Nat Commun","page":"6711","PMID":"34795238","PMCID":"PMC8602706","source":"PubMed Central","title":"ABHD5 inhibits YAP-induced c-Met overexpression and colon cancer cell stemness via suppressing YAP methylation","URL":"https://pmc.ncbi.nlm.nih.gov/articles/PMC8602706/","volume":"12","author":[{"family":"Gu","given":"Yan"},{"family":"Chen","given":"Yanrong"},{"family":"Wei","given":"Lai"},{"family":"Wu","given":"Shuang"},{"family":"Shen","given":"Kaicheng"},{"family":"Liu","given":"Chengxiang"},{"family":"Dong","given":"Yan"},{"family":"Zhao","given":"Yang"},{"family":"Zhang","given":"Yue"},{"family":"Zhang","given":"Chi"},{"family":"Zheng","given":"Wenling"},{"family":"He","given":"Jiangyi"},{"family":"Wang","given":"Yunlong"},{"family":"Li","given":"Yifei"},{"family":"Zhao","given":"Xiaoxin"},{"family":"Wang","given":"Hongwei"},{"family":"Tan","given":"Jun"},{"family":"Wang","given":"Liting"},{"family":"Zhou","given":"Qi"},{"family":"Xie","given":"Ganfeng"},{"family":"Liang","given":"Houjie"},{"family":"Ou","given":"Juanjuan"}],"accessed":{"date-parts":[["2026",7,15]]},"issued":{"date-parts":[["2021",11,18]]}}}],"schema":"https://github.com/citation-style-language/schema/raw/master/csl-citation.json"} </w:instrText>
      </w:r>
      <w:r w:rsidR="006D5921">
        <w:fldChar w:fldCharType="separate"/>
      </w:r>
      <w:r w:rsidR="00991CA6" w:rsidRPr="00991CA6">
        <w:rPr>
          <w:rFonts w:ascii="Calibri" w:hAnsi="Calibri" w:cs="Calibri"/>
        </w:rPr>
        <w:t>(44)</w:t>
      </w:r>
      <w:r w:rsidR="006D5921">
        <w:fldChar w:fldCharType="end"/>
      </w:r>
      <w:r w:rsidRPr="00D44A79">
        <w:t xml:space="preserve">. Sin embargo, es necesario señalar que ambas estrategias continúan en fase de investigación, </w:t>
      </w:r>
      <w:r w:rsidR="006D5921">
        <w:t>requiriendo</w:t>
      </w:r>
      <w:r w:rsidRPr="00D44A79">
        <w:t xml:space="preserve"> validación en cohortes prospectivas antes de su implantación en hospitales</w:t>
      </w:r>
      <w:r w:rsidR="006D5921">
        <w:fldChar w:fldCharType="begin"/>
      </w:r>
      <w:r w:rsidR="00991CA6">
        <w:instrText xml:space="preserve"> ADDIN ZOTERO_ITEM CSL_CITATION {"citationID":"uPinYcFG","properties":{"unsorted":false,"formattedCitation":"(23,44)","plainCitation":"(23,44)","noteIndex":0},"citationItems":[{"id":155,"uris":["http://zotero.org/users/local/sechomLT/items/NCHXV8SB"],"itemData":{"id":155,"type":"article-journal","abstract":"Cancer stemness represents a major source of development and progression of colorectal cancer (CRC). c-Met critically contributes to CRC stemness, but how c-Met is activated in CRC remains elusive. We previously identified the lipolytic factor ABHD5 as an important tumour suppressor gene in CRC. Here, we show that loss of ABHD5 promotes c-Met activation to sustain CRC stemness in a non-canonical manner. Mechanistically, we demonstrate that ABHD5 interacts in the cytoplasm with the core subunit of the SET1A methyltransferase complex, DPY30, thereby inhibiting the nuclear translocation of DPY30 and activity of SET1A. In the absence of ABHD5, DPY30 translocates to the nucleus and supports SET1A-mediated methylation of YAP and histone H3, which sequesters YAP in the nucleus and increases chromatin accessibility to synergistically promote YAP-induced transcription of c-Met, thus promoting the stemness of CRC cells. This study reveals a novel role of ABHD5 in regulating histone/non-histone methylation and CRC stemness., This study reveals an unrecognized role of ABHD5 in regulating colon cancer stemness via controlling YAP methylation and nuclear localization, further explaining the molecular mechanism through which ABHD5 functions as a tumour suppressor gene in colon cancer.","container-title":"Nature Communications","DOI":"10.1038/s41467-021-26967-5","ISSN":"2041-1723","journalAbbreviation":"Nat Commun","page":"6711","PMID":"34795238","PMCID":"PMC8602706","source":"PubMed Central","title":"ABHD5 inhibits YAP-induced c-Met overexpression and colon cancer cell stemness via suppressing YAP methylation","URL":"https://pmc.ncbi.nlm.nih.gov/articles/PMC8602706/","volume":"12","author":[{"family":"Gu","given":"Yan"},{"family":"Chen","given":"Yanrong"},{"family":"Wei","given":"Lai"},{"family":"Wu","given":"Shuang"},{"family":"Shen","given":"Kaicheng"},{"family":"Liu","given":"Chengxiang"},{"family":"Dong","given":"Yan"},{"family":"Zhao","given":"Yang"},{"family":"Zhang","given":"Yue"},{"family":"Zhang","given":"Chi"},{"family":"Zheng","given":"Wenling"},{"family":"He","given":"Jiangyi"},{"family":"Wang","given":"Yunlong"},{"family":"Li","given":"Yifei"},{"family":"Zhao","given":"Xiaoxin"},{"family":"Wang","given":"Hongwei"},{"family":"Tan","given":"Jun"},{"family":"Wang","given":"Liting"},{"family":"Zhou","given":"Qi"},{"family":"Xie","given":"Ganfeng"},{"family":"Liang","given":"Houjie"},{"family":"Ou","given":"Juanjuan"}],"accessed":{"date-parts":[["2026",7,15]]},"issued":{"date-parts":[["2021",11,18]]}}},{"id":145,"uris":["http://zotero.org/users/local/sechomLT/items/BBUGMZQT"],"itemData":{"id":145,"type":"article-journal","abstract":"Background\nColorectal cancer (CRC) remains a leading cause of cancer-related mortality, particularly due to advanced-stage metastasis. P-cadherin (CDH3), a potential therapeutic target, is highly expressed in CRC tissues and associated with poor prognosis and metastasis. However, the mechanisms underlying its role in CRC progression and its translational potential remain poorly understood.\n\nMaterials and methods\nThis study integrated multiple public databases (TCGA, HCMDB, UALCAN, HPA, UniProt, cBioPortal, and GEO) to evaluate CDH3 expression, construct a prognostic model, and perform functional and translational analyses. Immunohistochemistry was used to validate CDH3 protein expression in clinical samples. Additional analyses included correlations with clinicopathological parameters, immune infiltration (TIDE, TISIDB), functional enrichment (KEGG, GSEA), drug sensitivity (GSCA), and molecular docking (MOE). Single-cell sequencing (CancerSEA, HPA) was also conducted to explore CDH3’s role at the single-cell level.\n\nResults\nCDH3 expression was significantly elevated in CRC tissues and correlated with poor prognosis, recurrence, and metastasis. CDH3 expression was associated with the infiltration of resting immune cells, particularly dendritic cells, and enrichment analysis revealed its critical role in CRC metastasis through extracellular matrix (ECM) and local adhesion pathways. Notably, afatinib emerged as a promising candidate for targeting CDH3 via “drug repositioning,” a process involving the repurposing of existing drugs for new therapeutic applications.\n\nConclusion\nThis study provides novel insights into CDH3’s role in CRC metastasis and its potential as a therapeutic target. The translational potential of CDH3, including its integration with immunotherapy and drug repositioning strategies, offers a promising avenue for the treatment of metastatic CRC.\n\nSupplementary Information\nThe online version contains supplementary material available at 10.1186/s12885-025-13845-2.","container-title":"BMC Cancer","DOI":"10.1186/s12885-025-13845-2","ISSN":"1471-2407","journalAbbreviation":"BMC Cancer","page":"560","PMID":"40155851","PMCID":"PMC11951682","source":"PubMed Central","title":"Synergistic potential of CDH3 in targeting CRC metastasis and enhancing immunotherapy","URL":"https://pmc.ncbi.nlm.nih.gov/articles/PMC11951682/","volume":"25","author":[{"family":"Fu","given":"Chen"},{"family":"Fu","given":"Jia"},{"family":"Liu","given":"Chaoyue"},{"family":"Yu","given":"Zhaojin"}],"accessed":{"date-parts":[["2026",7,15]]},"issued":{"date-parts":[["2025",3,28]]}}}],"schema":"https://github.com/citation-style-language/schema/raw/master/csl-citation.json"} </w:instrText>
      </w:r>
      <w:r w:rsidR="006D5921">
        <w:fldChar w:fldCharType="separate"/>
      </w:r>
      <w:r w:rsidR="00991CA6" w:rsidRPr="00991CA6">
        <w:rPr>
          <w:rFonts w:ascii="Calibri" w:hAnsi="Calibri" w:cs="Calibri"/>
        </w:rPr>
        <w:t>(23,44)</w:t>
      </w:r>
      <w:r w:rsidR="006D5921">
        <w:fldChar w:fldCharType="end"/>
      </w:r>
      <w:r w:rsidRPr="00D44A79">
        <w:t>.</w:t>
      </w:r>
    </w:p>
    <w:p w14:paraId="7544A520" w14:textId="6A326C27" w:rsidR="00E44A1B" w:rsidRDefault="00E44A1B" w:rsidP="00E44A1B">
      <w:pPr>
        <w:pStyle w:val="Ttulo2"/>
        <w:rPr>
          <w:caps w:val="0"/>
        </w:rPr>
      </w:pPr>
      <w:bookmarkStart w:id="62" w:name="_Toc239417059"/>
      <w:r w:rsidRPr="00E44A1B">
        <w:rPr>
          <w:caps w:val="0"/>
        </w:rPr>
        <w:lastRenderedPageBreak/>
        <w:t xml:space="preserve">Validez </w:t>
      </w:r>
      <w:r w:rsidR="00554595">
        <w:rPr>
          <w:caps w:val="0"/>
        </w:rPr>
        <w:t>E</w:t>
      </w:r>
      <w:r w:rsidRPr="00E44A1B">
        <w:rPr>
          <w:caps w:val="0"/>
        </w:rPr>
        <w:t xml:space="preserve">xterna de la </w:t>
      </w:r>
      <w:r w:rsidR="00554595">
        <w:rPr>
          <w:caps w:val="0"/>
        </w:rPr>
        <w:t>F</w:t>
      </w:r>
      <w:r w:rsidRPr="00E44A1B">
        <w:rPr>
          <w:caps w:val="0"/>
        </w:rPr>
        <w:t>irma</w:t>
      </w:r>
      <w:r w:rsidR="00554595">
        <w:rPr>
          <w:caps w:val="0"/>
        </w:rPr>
        <w:t xml:space="preserve"> C</w:t>
      </w:r>
      <w:r w:rsidRPr="00E44A1B">
        <w:rPr>
          <w:caps w:val="0"/>
        </w:rPr>
        <w:t xml:space="preserve">onsenso y </w:t>
      </w:r>
      <w:r w:rsidR="00554595">
        <w:rPr>
          <w:caps w:val="0"/>
        </w:rPr>
        <w:t>H</w:t>
      </w:r>
      <w:r w:rsidRPr="00E44A1B">
        <w:rPr>
          <w:caps w:val="0"/>
        </w:rPr>
        <w:t xml:space="preserve">eterogeneidad </w:t>
      </w:r>
      <w:proofErr w:type="spellStart"/>
      <w:r w:rsidR="00554595">
        <w:rPr>
          <w:caps w:val="0"/>
        </w:rPr>
        <w:t>I</w:t>
      </w:r>
      <w:r w:rsidRPr="00E44A1B">
        <w:rPr>
          <w:caps w:val="0"/>
        </w:rPr>
        <w:t>nter-cohorte</w:t>
      </w:r>
      <w:bookmarkEnd w:id="62"/>
      <w:proofErr w:type="spellEnd"/>
    </w:p>
    <w:p w14:paraId="62FC1313" w14:textId="2051682F" w:rsidR="00BC5CEC" w:rsidRDefault="006663E8" w:rsidP="00F67F0D">
      <w:r w:rsidRPr="006663E8">
        <w:t xml:space="preserve">Para determinar la relevancia de los datos obtenidos, resulta fundamental situar la firma consenso en el contexto de la literatura científica previa. En este sentido, los principales biomarcadores analizados en los apartados anteriores cuentan con un amplio respaldo en la </w:t>
      </w:r>
      <w:r w:rsidR="00ED0619">
        <w:t>investigación publicada</w:t>
      </w:r>
      <w:r w:rsidRPr="006663E8">
        <w:t xml:space="preserve"> sobre </w:t>
      </w:r>
      <w:r w:rsidR="00481F58">
        <w:t>CRC</w:t>
      </w:r>
      <w:r w:rsidRPr="006663E8">
        <w:t xml:space="preserve">. En el eje de activación, genes como MMP7, CDH3 y CEMIP </w:t>
      </w:r>
      <w:r w:rsidR="00625DF3" w:rsidRPr="00C46D86">
        <w:t xml:space="preserve">aparecen de forma </w:t>
      </w:r>
      <w:r w:rsidR="00625DF3">
        <w:t>constante</w:t>
      </w:r>
      <w:r w:rsidR="00625DF3" w:rsidRPr="00C46D86">
        <w:t xml:space="preserve"> en estudios previos como promotores de la progresión tumoral</w:t>
      </w:r>
      <w:r w:rsidR="00C47CA8">
        <w:fldChar w:fldCharType="begin"/>
      </w:r>
      <w:r w:rsidR="0087411E">
        <w:instrText xml:space="preserve"> ADDIN ZOTERO_ITEM CSL_CITATION {"citationID":"4CVqm0jH","properties":{"unsorted":false,"formattedCitation":"(12\\uc0\\u8211{}14,23)","plainCitation":"(12–14,23)","noteIndex":0},"citationItems":[{"id":85,"uris":["http://zotero.org/users/local/sechomLT/items/SAPVJ6JV"],"itemData":{"id":85,"type":"article-journal","abstract":"Colon cancer is one of the most common cancers in the world. To identify the candidate genes in the carcinogenesis and progression of colon cancer, the microarray datasets GSE10950, GSE44861 and GSE74602 were downloaded from the Gene Expression Omnibus (GEO) database. The differentially expressed genes (DEGs) were identified, and functional enrichment analyses were performed. A total of 176 DEGs were identified, consisting of 55 genes upregulated and 121 genes downregulated in colon cancer tissues compared to non-cancerous tissues. The DEGs were mainly enriched in mineral absorption, nitrogen metabolism and complement and coagulation cascades. By using STRING database analysis, we constructed a coexpression network composed of 140 nodes and 280 edges for the DEGs with a combined score &gt;0.4 and a significant interaction relation. Thirteen hub genes were identified, and poor OS of patients was only associated with high expression of Matrix Metallopeptidase 7 (MMP7), which may be involved in the carcinogenesis, invasion or recurrence of colon cancer. In conclusion, we propose that the DEGs and hub genes identified in the present study may be regarded as diagnostic biomarkers for colon cancer. Moreover, the overexpression of MMP7 may correlate with poor prognosis.","container-title":"Medicine","DOI":"10.1097/MD.0000000000024953","ISSN":"0025-7974","issue":"9","journalAbbreviation":"Medicine (Baltimore)","page":"e24953","PMID":"33655961","PMCID":"PMC7939218","source":"PubMed Central","title":"MMP7 as a potential biomarker of colon cancer and its prognostic value by bioinformatics analysis","URL":"https://pmc.ncbi.nlm.nih.gov/articles/PMC7939218/","volume":"100","author":[{"family":"Chen","given":"Li"},{"family":"Ke","given":"Xueying"}],"accessed":{"date-parts":[["2026",7,14]]},"issued":{"date-parts":[["2021",3,5]]}}},{"id":136,"uris":["http://zotero.org/users/local/sechomLT/items/I8FJEX9X"],"itemData":{"id":136,"type":"article-journal","abstract":"Background:\nThe KIAA1199 transcript is upregulated in colon adenomas and downregulated upon β-catenin knockdown.\n\nMethods:\nTranscript profiling was performed on &gt;500 colon biopsies, methylation profiling data were compared with transcript data. Immunohistochemistry assessed KIAA1199 protein expression in 270 stage II/III tumours (&gt;3 years follow-up). The effects of stable KIAA1199 knockdown in SW480 cells (three different constructs) were studied using transcriptional profiling, proliferation and protein analysis.\n\nResults:\nThe KIAA1199 transcript was strongly upregulated in 95% of adenocarcinomas. Absent expression in normal mucosa correlated with KIAA1199 promotor methylation. Nuclear and cytoplasmic KIAA1199 protein expression was identified in colon adenocarcinomas and other types of cancers. A subpopulation of patients with tumours strongly expressing KIAA1199 in the nucleus showed a better outcome with regard to recurrence as lung or liver metastases. The KIAA1199 knockdown affected the cell cycle and the Wnt-signalling pathway. Reduced cellular proliferation and decreased KI67, phosphorylated retinoblastoma, β-catenin and ASCL2 protein expression supported these findings. Eighteen Wnt-signalling genes differentially expressed upon KIAA1199 knockdown correlated with the KIAA1199 expression profile in clinical specimens.\n\nConclusion:\nThe KIAA1199 knockdown attenuates the effects of the Wnt/β-catenin signalling and it may thus be regarded as a regulatory part of this pathway.","container-title":"British Journal of Cancer","DOI":"10.1038/bjc.2011.268","ISSN":"0007-0920","issue":"4","journalAbbreviation":"Br J Cancer","page":"552-561","PMID":"21772334","PMCID":"PMC3170968","source":"PubMed Central","title":"Repression of KIAA1199 attenuates Wnt-signalling and decreases the proliferation of colon cancer cells","URL":"https://pmc.ncbi.nlm.nih.gov/articles/PMC3170968/","volume":"105","author":[{"family":"Birkenkamp-Demtroder","given":"K"},{"family":"Maghnouj","given":"A"},{"family":"Mansilla","given":"F"},{"family":"Thorsen","given":"K"},{"family":"Andersen","given":"C L"},{"family":"Øster","given":"B"},{"family":"Hahn","given":"S"},{"family":"Ørntoft","given":"T F"}],"accessed":{"date-parts":[["2026",7,15]]},"issued":{"date-parts":[["2011",8,9]]}}},{"id":130,"uris":["http://zotero.org/users/local/sechomLT/items/U9P9CPXJ"],"itemData":{"id":130,"type":"article-journal","abstract":"Colorectal cancer (CRC) is a heterogeneous disease with changes in the genetic and epigenetic levels of various genes. The molecular assessment of CRC is gaining increasing attention, and furthermore, there is an increase in biomarker use for disease prognostication. Therefore, the identification of different gene biomarkers through messenger RNA (mRNA) abundance levels may be useful for capturing the complex effects of CRC. In this study, we demonstrate that the high mRNA levels of 10 upregulated genes (DPEP1, KRT80, FABP6, NKD2, FOXQ1, CEMIP, ETV4, TESC, FUT1, and GAS2) are observed in CRC cell lines and public CRC datasets. Moreover, we find that a high mRNA expression of DPEP1, NKD2, CEMIP, ETV4, TESC, or FUT1 is significantly correlated with a worse prognosis in CRC patients. Further investigation reveals that CTNNB1 is the key factor in the interaction of the canonical Wnt signaling pathway with 10 upregulated CRC-associated genes. In particular, we identify NKD2, FOXQ1, and CEMIP as three CTNNB1-regulated genes. Moreover, individual inhibition of the expression of three CTNNB1-regulated genes can cause the growth inhibition of CRC cells. This study reveals efficient biomarkers for the prognosis of CRC and provides a new molecular interaction network for CRC.","container-title":"Biomedicines","DOI":"10.3390/biomedicines9101331","ISSN":"2227-9059","issue":"10","journalAbbreviation":"Biomedicines","page":"1331","PMID":"34680448","PMCID":"PMC8533439","source":"PubMed Central","title":"Expression Profile and Prognostic Value of Wnt Signaling Pathway Molecules in Colorectal Cancer","URL":"https://pmc.ncbi.nlm.nih.gov/articles/PMC8533439/","volume":"9","author":[{"family":"Wu","given":"Yung-Fu"},{"family":"Wang","given":"Chih-Yang"},{"family":"Tang","given":"Wan-Chun"},{"family":"Lee","given":"Yu-Cheng"},{"family":"Ta","given":"Hoang Dang Khoa"},{"family":"Lin","given":"Li-Chia"},{"family":"Pan","given":"Syu-Ruei"},{"family":"Ni","given":"Yi-Chun"},{"family":"Anuraga","given":"Gangga"},{"family":"Lee","given":"Kuen-Haur"}],"accessed":{"date-parts":[["2026",7,15]]},"issued":{"date-parts":[["2021",9,27]]}}},{"id":145,"uris":["http://zotero.org/users/local/sechomLT/items/BBUGMZQT"],"itemData":{"id":145,"type":"article-journal","abstract":"Background\nColorectal cancer (CRC) remains a leading cause of cancer-related mortality, particularly due to advanced-stage metastasis. P-cadherin (CDH3), a potential therapeutic target, is highly expressed in CRC tissues and associated with poor prognosis and metastasis. However, the mechanisms underlying its role in CRC progression and its translational potential remain poorly understood.\n\nMaterials and methods\nThis study integrated multiple public databases (TCGA, HCMDB, UALCAN, HPA, UniProt, cBioPortal, and GEO) to evaluate CDH3 expression, construct a prognostic model, and perform functional and translational analyses. Immunohistochemistry was used to validate CDH3 protein expression in clinical samples. Additional analyses included correlations with clinicopathological parameters, immune infiltration (TIDE, TISIDB), functional enrichment (KEGG, GSEA), drug sensitivity (GSCA), and molecular docking (MOE). Single-cell sequencing (CancerSEA, HPA) was also conducted to explore CDH3’s role at the single-cell level.\n\nResults\nCDH3 expression was significantly elevated in CRC tissues and correlated with poor prognosis, recurrence, and metastasis. CDH3 expression was associated with the infiltration of resting immune cells, particularly dendritic cells, and enrichment analysis revealed its critical role in CRC metastasis through extracellular matrix (ECM) and local adhesion pathways. Notably, afatinib emerged as a promising candidate for targeting CDH3 via “drug repositioning,” a process involving the repurposing of existing drugs for new therapeutic applications.\n\nConclusion\nThis study provides novel insights into CDH3’s role in CRC metastasis and its potential as a therapeutic target. The translational potential of CDH3, including its integration with immunotherapy and drug repositioning strategies, offers a promising avenue for the treatment of metastatic CRC.\n\nSupplementary Information\nThe online version contains supplementary material available at 10.1186/s12885-025-13845-2.","container-title":"BMC Cancer","DOI":"10.1186/s12885-025-13845-2","ISSN":"1471-2407","journalAbbreviation":"BMC Cancer","page":"560","PMID":"40155851","PMCID":"PMC11951682","source":"PubMed Central","title":"Synergistic potential of CDH3 in targeting CRC metastasis and enhancing immunotherapy","URL":"https://pmc.ncbi.nlm.nih.gov/articles/PMC11951682/","volume":"25","author":[{"family":"Fu","given":"Chen"},{"family":"Fu","given":"Jia"},{"family":"Liu","given":"Chaoyue"},{"family":"Yu","given":"Zhaojin"}],"accessed":{"date-parts":[["2026",7,15]]},"issued":{"date-parts":[["2025",3,28]]}}}],"schema":"https://github.com/citation-style-language/schema/raw/master/csl-citation.json"} </w:instrText>
      </w:r>
      <w:r w:rsidR="00C47CA8">
        <w:fldChar w:fldCharType="separate"/>
      </w:r>
      <w:r w:rsidR="0087411E" w:rsidRPr="0087411E">
        <w:rPr>
          <w:rFonts w:ascii="Calibri" w:hAnsi="Calibri" w:cs="Calibri"/>
        </w:rPr>
        <w:t>(12–14,23)</w:t>
      </w:r>
      <w:r w:rsidR="00C47CA8">
        <w:fldChar w:fldCharType="end"/>
      </w:r>
      <w:r w:rsidRPr="006663E8">
        <w:t xml:space="preserve">. Por su parte, en el eje de represión se confirma la pérdida de transcritos </w:t>
      </w:r>
      <w:r w:rsidR="00625DF3">
        <w:t>esenciales</w:t>
      </w:r>
      <w:r w:rsidRPr="006663E8">
        <w:t xml:space="preserve"> para la función epitelial, como GUCA2A, GUCA2B, CA7 y SFRP1</w:t>
      </w:r>
      <w:r w:rsidR="00C47CA8">
        <w:fldChar w:fldCharType="begin"/>
      </w:r>
      <w:r w:rsidR="00991CA6">
        <w:instrText xml:space="preserve"> ADDIN ZOTERO_ITEM CSL_CITATION {"citationID":"Hz1Hqkj5","properties":{"unsorted":false,"formattedCitation":"(4,46,49)","plainCitation":"(4,46,49)","noteIndex":0},"citationItems":[{"id":172,"uris":["http://zotero.org/users/local/sechomLT/items/X7NUKCD5"],"itemData":{"id":172,"type":"article-journal","abstract":"Background\nCarbonic anhydrases (CAs) have been implicated in the pathogenesis of human cancers. Carbonic anhydrase VII (CA7), a member of the CA gene family, was recently demonstrated to be expressed in several human tissues including colon. Nevertheless, the expression and clinical relevance of CA7 in colorectal carcinoma (CRC) has not been investigated.\n\nMethods\nReal-time PCR, western blot, and immunohistochemistry analyses were used to determine CA7 expression in CRC clinical samples. The correlation of CA7 expression with clinicopathologic features was assessed in 228 patients from Luoyang, China (training cohort) and validated in 151 patients from Shanghai, China (validation cohort). Kaplan-Meier and Cox proportional regression analyses were used to estimate the association between CA7 expression and patients’ survival.\n\nResults\nCA7 expression was frequently downregulated in CRC tissues at both the mRNA and protein levels. Reduced expression of CA7 was significantly correlated with poor differentiation, positive lymph node metastasis, advanced TNM stage and unfavorable clinical outcome not only in the training cohort but also in the validation set. Survival analysis indicated that patients with lower CA7 expression had a significantly shorter disease-specific survival (DSS) than those with higher CA7 expression. Importantly, further stage-based analyses revealed that decreased CA7 expression significantly predicted poor DSS and was an independent adverse prognostic indicator for patients with early stage tumors in both cohorts.\n\nConclusions\nOur results indicate that decreased expression of CA7 correlates with disease progression and predicts poor prognosis in CRC, especially for patients with early stage tumors.\n\nElectronic supplementary material\nThe online version of this article (doi:10.1186/s12885-015-1216-y) contains supplementary material, which is available to authorized users.","container-title":"BMC Cancer","DOI":"10.1186/s12885-015-1216-y","ISSN":"1471-2407","journalAbbreviation":"BMC Cancer","page":"209","PMID":"25885898","PMCID":"PMC4406128","source":"PubMed Central","title":"Prognostic value of carbonic anhydrase VII expression in colorectal carcinoma","URL":"https://pmc.ncbi.nlm.nih.gov/articles/PMC4406128/","volume":"15","author":[{"family":"Yang","given":"Guang-Zhen"},{"family":"Hu","given":"Liang"},{"family":"Cai","given":"Jian"},{"family":"Chen","given":"Hai-Yang"},{"family":"Zhang","given":"Yu"},{"family":"Feng","given":"Dan"},{"family":"Qi","given":"Chen-Ye"},{"family":"Zhai","given":"Yan-Xia"},{"family":"Gong","given":"Hui"},{"family":"Fu","given":"Hao"},{"family":"Cai","given":"Qing-Ping"},{"family":"Gao","given":"Chun-Fang"}],"accessed":{"date-parts":[["2026",7,19]]},"issued":{"date-parts":[["2015",4,1]]}}},{"id":191,"uris":["http://zotero.org/users/local/sechomLT/items/6L7ALCV7"],"itemData":{"id":191,"type":"article-journal","abstract":"Colorectal cancer (CRC) is the third most common cancer in men and the second most common cancer in women worldwide. CRC is the second leading cause of cancer-related deaths. Although some progress in the treatment of CRC has been achieved, the molecular mechanism of CRC is still unclear. In this study, alcohol dehydrogenase 1C(ADH1C) was first identified as a target gene closely associated with the development of CRC by the comprehensive application of transcriptomics, proteomics, metabonomics and in silico analysis. The ADH1C mRNA and protein expression in CRC cell lines and tumor tissues was lower than that in normal intestinal epithelial cell lines and healthy tissues. Overexpression of ADH1C inhibited the growth, migration, invasion and colony formation of CRC cell lines and prevented the growth of xenograft tumors in nude mice. The inhibitory effects of ADH1C on CRC cells in vitro were exerted by reducing the expression of PHGDH/PSAT1 and the serine level. This inhibition could be partially reversed by adding serine to the culture medium. These results showed that ADH1C is a potential drug target in CRC.,","container-title":"Acta Pharmacologica Sinica","DOI":"10.1038/s41401-022-00894-7","ISSN":"1671-4083","issue":"10","journalAbbreviation":"Acta Pharmacol Sin","page":"2709-2722","PMID":"35354963","PMCID":"PMC9525271","source":"PubMed Central","title":"ADH1C inhibits progression of colorectal cancer through the ADH1C/PHGDH /PSAT1/serine metabolic pathway","URL":"https://pmc.ncbi.nlm.nih.gov/articles/PMC9525271/","volume":"43","author":[{"family":"Li","given":"Sha"},{"family":"Yang","given":"Hong"},{"family":"Li","given":"Wan"},{"family":"Liu","given":"Jin-yi"},{"family":"Ren","given":"Li-wen"},{"family":"Yang","given":"Yi-hui"},{"family":"Ge","given":"Bin-bin"},{"family":"Zhang","given":"Yi-zhi"},{"family":"Fu","given":"Wei-qi"},{"family":"Zheng","given":"Xiang-jin"},{"family":"Du","given":"Guan-hua"},{"family":"Wang","given":"Jin-Hua"}],"accessed":{"date-parts":[["2026",7,20]]},"issued":{"date-parts":[["2022",10]]}}},{"id":197,"uris":["http://zotero.org/users/local/sechomLT/items/PWF4H83B"],"itemData":{"id":197,"type":"article-journal","abstract":"DNA methylation is an epigenetic mechanism regulating gene expression. Changes in DNA methylation were suggested to be useful biomarkers for diagnosis, and for the determination of prognosis and treatment response. Here, we provide an overview of methylation-based biomarkers in colorectal cancer. First, we start with the two methylation-based diagnostic biomarkers already approved for colorectal cancer, SEPT9 and the combination of NDRG4 and BMP3. Then, we provide a list-based overview of new biomarker candidates depending on the sample source including plasma, stool, urine, and surgically removed tumor tissues. The most often identified markers like SDC2, VIM, APC, MGMT, SFRP1, SFRP2, and NDRG4 have distinct functions previously linked to tumor progression. Although numerous studies have identified tumor-specific methylation changes, most of these alterations were observed in a single study only. The lack of validation in independent samples means low reproducibility and is a major limitation. The genome-wide determination of methylation status (methylome) can provide data to solve these issues. In the third section of the review, methylome studies focusing on different aspects related to CRC, including precancerous lesions, CRC-specific changes, molecular subtypes, aging, and chemotherapy response are summarized. Notably, techniques simultaneously analyzing a large set of regions can also uncover epigenetic regulation of genes which have not yet been associated with tumorigenesis previously. A remaining constraint of studies published to date is the low patient number utilized in these preventing the identification of clinically valuable biomarker candidates. Either future large-scale studies or the integration of already available methylome-level data will be necessary to uncover biomarkers sufficiently robust for clinical application.","container-title":"Biochimica et Biophysica Acta (BBA) - Reviews on Cancer","DOI":"10.1016/j.bbcan.2022.188722","ISSN":"0304-419X","issue":"3","journalAbbreviation":"Biochimica et Biophysica Acta (BBA) - Reviews on Cancer","page":"188722","source":"ScienceDirect","title":"DNA methylation-based diagnostic, prognostic, and predictive biomarkers in colorectal cancer","URL":"https://www.sciencedirect.com/science/article/pii/S0304419X22000476","volume":"1877","author":[{"family":"Müller","given":"Dalma"},{"family":"Győrffy","given":"Balázs"}],"accessed":{"date-parts":[["2026",7,22]]},"issued":{"date-parts":[["2022",5,1]]}}}],"schema":"https://github.com/citation-style-language/schema/raw/master/csl-citation.json"} </w:instrText>
      </w:r>
      <w:r w:rsidR="00C47CA8">
        <w:fldChar w:fldCharType="separate"/>
      </w:r>
      <w:r w:rsidR="00991CA6" w:rsidRPr="00991CA6">
        <w:rPr>
          <w:rFonts w:ascii="Calibri" w:hAnsi="Calibri" w:cs="Calibri"/>
        </w:rPr>
        <w:t>(4,46,49)</w:t>
      </w:r>
      <w:r w:rsidR="00C47CA8">
        <w:fldChar w:fldCharType="end"/>
      </w:r>
      <w:r w:rsidRPr="006663E8">
        <w:t xml:space="preserve">. </w:t>
      </w:r>
      <w:r w:rsidR="00625DF3">
        <w:t>Adicionalmente</w:t>
      </w:r>
      <w:r w:rsidR="00625DF3" w:rsidRPr="00625DF3">
        <w:t xml:space="preserve">, resulta relevante la presencia en </w:t>
      </w:r>
      <w:r w:rsidR="00BC5CEC">
        <w:t>la</w:t>
      </w:r>
      <w:r w:rsidR="00625DF3" w:rsidRPr="00625DF3">
        <w:t xml:space="preserve"> firma de cuatro biomarcadores (MYC, COL11A1, PMAIP1 y PLCD1) que coinciden con los </w:t>
      </w:r>
      <w:r w:rsidR="00BC5CEC">
        <w:t>resultados</w:t>
      </w:r>
      <w:r w:rsidR="00625DF3" w:rsidRPr="00625DF3">
        <w:t xml:space="preserve"> de trabajos independientes centrados en firmas </w:t>
      </w:r>
      <w:r w:rsidR="00E77925">
        <w:t xml:space="preserve">transcriptómicas </w:t>
      </w:r>
      <w:r w:rsidR="00625DF3" w:rsidRPr="00625DF3">
        <w:t>consenso en adenocarcinoma de colon</w:t>
      </w:r>
      <w:r w:rsidR="00C47CA8">
        <w:fldChar w:fldCharType="begin"/>
      </w:r>
      <w:r w:rsidR="00991CA6">
        <w:instrText xml:space="preserve"> ADDIN ZOTERO_ITEM CSL_CITATION {"citationID":"3RgM98dP","properties":{"unsorted":false,"formattedCitation":"(10,51,52)","plainCitation":"(10,51,52)","noteIndex":0},"citationItems":[{"id":223,"uris":["http://zotero.org/users/local/sechomLT/items/JPLDDVL5"],"itemData":{"id":223,"type":"article-journal","abstract":"Colorectal cancer (CRC) is the most common malignant tumor of digestive system. The aim of this study was to identify gene signatures during CRC and uncover their potential mechanisms. The gene expression profiles of GSE21815 were downloaded from GEO database. The GSE21815 dataset contained 141 samples, including 132 CRC and 9 normal colon epitheliums. The gene ontology (GO) and Kyoto Encyclopedia of Genes and Genomes pathway (KEGG) enrichment analyses were performed, and protein–protein interaction (PPI) network of the differentially expressed genes (DEGs) was constructed by Cytoscape software. In total, 3500 DEGs were identified in CRC, including 1370 up-regulated genes and 2130 down-regulated genes. GO analysis results showed that up-regulated DEGs were significantly enriched in biological processes (BP), including cell cycle, cell division, and cell proliferation; the down-regulated DEGs were significantly enriched in biological processes, including immune response, intracellular signaling cascade and defense response. KEGG pathway analysis showed the up-regulated DEGs were enriched in cell cycle and DNA replication, while the down-regulated DEGs were enriched in drug metabolism, metabolism of xenobiotics by cytochrome P450, and retinol metabolism pathways. The top 10 hub genes, GNG2, AGT, SAA1, ADCY5, LPAR1, NMU, IL8, CXCL12, GNAI1, and CCR2 were identified from the PPI network, and sub-networks revealed these genes were involved in significant pathways, including G protein-coupled receptors signaling pathway, gastrin-CREB signaling pathway via PKC and MAPK, and extracellular matrix organization. In conclusion, the present study indicated that the identified DEGs and hub genes promote our understanding of the molecular mechanisms underlying the development of CRC, and might be used as molecular targets and diagnostic biomarkers for the treatment of CRC.","container-title":"Medical Oncology","DOI":"10.1007/s12032-016-0829-6","ISSN":"1559-131X","issue":"10","journalAbbreviation":"Med Oncol","language":"en","page":"111","source":"Springer Link","title":"Identification of key pathways and genes in colorectal cancer using bioinformatics analysis","URL":"https://doi.org/10.1007/s12032-016-0829-6","volume":"33","author":[{"family":"Liang","given":"Bin"},{"family":"Li","given":"Chunning"},{"family":"Zhao","given":"Jianying"}],"accessed":{"date-parts":[["2026",7,26]]},"issued":{"date-parts":[["2016",8,31]]}}},{"id":228,"uris":["http://zotero.org/users/local/sechomLT/items/RBTP8LWH"],"itemData":{"id":228,"type":"article-journal","abstract":"Colorectal cancer (CRC) ranks as one of the most common malignant tumors worldwide. Its mortality rate has remained high in recent years. Therefore, the aim of this study was to identify significant differentially expressed genes (DEGs) involved in its pathogenesis, which may be used as novel biomarkers or potential therapeutic targets for CRC. The gene expression profiles of GSE21510, GSE32323, GSE89076, and GSE113513 were downloaded from the Gene Expression Omnibus (GEO) database. After screening DEGs in each GEO data set, we further used the robust rank aggregation method to identify 494 significant DEGs including 212 upregulated and 282 downregulated genes. Gene Ontology (GO) and Kyoto Encyclopedia of Genes and Genomes (KEGG) pathway enrichment analyses were performed by DAVID and the KOBAS online database, respectively. These DEGs were shown to be significantly enriched in different cancer-related functions and pathways. Then, the STRING database was used to construct the protein–protein interaction network. The module analysis was performed by the MCODE plug-in of Cytoscape based on the whole network. We finally filtered out seven hub genes by the cytoHubba plug-in, including PPBP, CCL28, CXCL12, INSL5, CXCL3, CXCL10, and CXCL11. The expression validation and survival analysis of these hub genes were analyzed based on The Cancer Genome Atlas database. In conclusion, the robust DEGs associated with the carcinogenesis of CRC were screened through the GEO database, and integrated bioinformatics analysis was conducted. Our study provides reliable molecular biomarkers for screening and diagnosis, prognosis as well as novel therapeutic targets for CRC.","container-title":"Journal of Cellular Physiology","DOI":"10.1002/jcp.28163","ISSN":"1097-4652","issue":"9","language":"en","note":"_eprint: https://onlinelibrary.wiley.com/doi/pdf/10.1002/jcp.28163","page":"15215-15224","source":"Wiley Online Library","title":"Identification of differentially expressed genes and biological characteristics of colorectal cancer by integrated bioinformatics analysis","URL":"https://onlinelibrary.wiley.com/doi/abs/10.1002/jcp.28163","volume":"234","author":[{"family":"Sun","given":"Guangwei"},{"family":"Li","given":"Yalun"},{"family":"Peng","given":"Yangjie"},{"family":"Lu","given":"Dapeng"},{"family":"Zhang","given":"Fuqiang"},{"family":"Cui","given":"Xueyang"},{"family":"Zhang","given":"Qingyue"},{"family":"Li","given":"Zhuang"}],"accessed":{"date-parts":[["2026",7,26]]},"issued":{"date-parts":[["2019"]]}}},{"id":231,"uris":["http://zotero.org/users/local/sechomLT/items/SX3EXBZZ"],"itemData":{"id":231,"type":"article-journal","abstract":"Colorectal cancer is driven by complex genetic and molecular alterations, necessitating reliable targets for diagnosis and therapy. Single-omics studies offer limited insight. We performed a systematic in silico multi-omics integration using four public databases: GEO (differential expression), cBioPortal (genomic alterations), DisGeNET (gene–disease associations), and GeneCards (annotated/predicted CRC genes). Genes identified in ≥ 2 independent sources were curated into a high-confidence panel comprising 996 CRC-associated genes. Functional enrichment analysis of this panel revealed significant over-representation of pathways critical to CRC pathogenesis, including cell cycle regulation, apoptosis, DNA repair, and canonical signalling cascades (Wnt, MAPK, PI3K–AKT). PPI network analysis in Cytoscape using the Maximal Clique Centrality algorithm identified ten high-centrality hub genes: AKT1, STAT3, TP53, CTNNB1, BCL2, MYC, CCND1, PTEN, ESR1, and JUN. Eight of these are established CRC drivers, confirming the credibility of the approach, whereas ESR1 and JUN emerged as potentially under-investigated candidates. Hub gene relevance was independently confirmed via cBioPortal (alterations and correlations), TCGA/GEPIA2 (tumour–normal and stage-specific expression), the Human Protein Atlas (protein abundance), and TIMER2.0 (immune infiltration). This in silico multi-omics research work prioritises high-confidence therapeutic targets in CRC using publicly available data and nominates ESR1 and JUN for further investigation, while highlighting the need for experimental validation. The framework demonstrates the power of cross-platform evidence for biomarker discovery in complex diseases and is readily adaptable to other malignancies.","container-title":"Network Modeling Analysis in Health Informatics and Bioinformatics","DOI":"10.1007/s13721-025-00696-x","ISSN":"2192-6670","issue":"1","journalAbbreviation":"Netw Model Anal Health Inform Bioinforma","language":"en","page":"10","source":"Springer Link","title":"Multi-omics integration and network analysis identify therapeutic hub genes in colorectal cancer","URL":"https://doi.org/10.1007/s13721-025-00696-x","volume":"15","author":[{"family":"Mathew","given":"Emi"},{"family":"Thomas","given":"Philip Litto"},{"family":"Mathew","given":"Linu"}],"accessed":{"date-parts":[["2026",7,26]]},"issued":{"date-parts":[["2025",12,19]]}}}],"schema":"https://github.com/citation-style-language/schema/raw/master/csl-citation.json"} </w:instrText>
      </w:r>
      <w:r w:rsidR="00C47CA8">
        <w:fldChar w:fldCharType="separate"/>
      </w:r>
      <w:r w:rsidR="00991CA6" w:rsidRPr="00991CA6">
        <w:rPr>
          <w:rFonts w:ascii="Calibri" w:hAnsi="Calibri" w:cs="Calibri"/>
        </w:rPr>
        <w:t>(10,51,52)</w:t>
      </w:r>
      <w:r w:rsidR="00C47CA8">
        <w:fldChar w:fldCharType="end"/>
      </w:r>
      <w:r w:rsidR="00625DF3" w:rsidRPr="00625DF3">
        <w:t xml:space="preserve">. Por un lado, reguladores del ciclo celular y del remodelado estromal como MYC y COL11A1, ya analizados en los apartados anteriores, </w:t>
      </w:r>
      <w:r w:rsidR="004E0C6F">
        <w:t>destacan</w:t>
      </w:r>
      <w:r w:rsidR="00625DF3" w:rsidRPr="00625DF3">
        <w:t xml:space="preserve"> como genes </w:t>
      </w:r>
      <w:proofErr w:type="spellStart"/>
      <w:r w:rsidR="00625DF3" w:rsidRPr="00625DF3">
        <w:rPr>
          <w:i/>
          <w:iCs/>
        </w:rPr>
        <w:t>hub</w:t>
      </w:r>
      <w:proofErr w:type="spellEnd"/>
      <w:r w:rsidR="00625DF3" w:rsidRPr="00625DF3">
        <w:t xml:space="preserve"> de máxima centralidad en publicaciones independientes</w:t>
      </w:r>
      <w:r w:rsidR="00C47CA8">
        <w:fldChar w:fldCharType="begin"/>
      </w:r>
      <w:r w:rsidR="00991CA6">
        <w:instrText xml:space="preserve"> ADDIN ZOTERO_ITEM CSL_CITATION {"citationID":"LhOJtXxB","properties":{"unsorted":true,"formattedCitation":"(51,52,10)","plainCitation":"(51,52,10)","noteIndex":0},"citationItems":[{"id":223,"uris":["http://zotero.org/users/local/sechomLT/items/JPLDDVL5"],"itemData":{"id":223,"type":"article-journal","abstract":"Colorectal cancer (CRC) is the most common malignant tumor of digestive system. The aim of this study was to identify gene signatures during CRC and uncover their potential mechanisms. The gene expression profiles of GSE21815 were downloaded from GEO database. The GSE21815 dataset contained 141 samples, including 132 CRC and 9 normal colon epitheliums. The gene ontology (GO) and Kyoto Encyclopedia of Genes and Genomes pathway (KEGG) enrichment analyses were performed, and protein–protein interaction (PPI) network of the differentially expressed genes (DEGs) was constructed by Cytoscape software. In total, 3500 DEGs were identified in CRC, including 1370 up-regulated genes and 2130 down-regulated genes. GO analysis results showed that up-regulated DEGs were significantly enriched in biological processes (BP), including cell cycle, cell division, and cell proliferation; the down-regulated DEGs were significantly enriched in biological processes, including immune response, intracellular signaling cascade and defense response. KEGG pathway analysis showed the up-regulated DEGs were enriched in cell cycle and DNA replication, while the down-regulated DEGs were enriched in drug metabolism, metabolism of xenobiotics by cytochrome P450, and retinol metabolism pathways. The top 10 hub genes, GNG2, AGT, SAA1, ADCY5, LPAR1, NMU, IL8, CXCL12, GNAI1, and CCR2 were identified from the PPI network, and sub-networks revealed these genes were involved in significant pathways, including G protein-coupled receptors signaling pathway, gastrin-CREB signaling pathway via PKC and MAPK, and extracellular matrix organization. In conclusion, the present study indicated that the identified DEGs and hub genes promote our understanding of the molecular mechanisms underlying the development of CRC, and might be used as molecular targets and diagnostic biomarkers for the treatment of CRC.","container-title":"Medical Oncology","DOI":"10.1007/s12032-016-0829-6","ISSN":"1559-131X","issue":"10","journalAbbreviation":"Med Oncol","language":"en","page":"111","source":"Springer Link","title":"Identification of key pathways and genes in colorectal cancer using bioinformatics analysis","URL":"https://doi.org/10.1007/s12032-016-0829-6","volume":"33","author":[{"family":"Liang","given":"Bin"},{"family":"Li","given":"Chunning"},{"family":"Zhao","given":"Jianying"}],"accessed":{"date-parts":[["2026",7,26]]},"issued":{"date-parts":[["2016",8,31]]}}},{"id":228,"uris":["http://zotero.org/users/local/sechomLT/items/RBTP8LWH"],"itemData":{"id":228,"type":"article-journal","abstract":"Colorectal cancer (CRC) ranks as one of the most common malignant tumors worldwide. Its mortality rate has remained high in recent years. Therefore, the aim of this study was to identify significant differentially expressed genes (DEGs) involved in its pathogenesis, which may be used as novel biomarkers or potential therapeutic targets for CRC. The gene expression profiles of GSE21510, GSE32323, GSE89076, and GSE113513 were downloaded from the Gene Expression Omnibus (GEO) database. After screening DEGs in each GEO data set, we further used the robust rank aggregation method to identify 494 significant DEGs including 212 upregulated and 282 downregulated genes. Gene Ontology (GO) and Kyoto Encyclopedia of Genes and Genomes (KEGG) pathway enrichment analyses were performed by DAVID and the KOBAS online database, respectively. These DEGs were shown to be significantly enriched in different cancer-related functions and pathways. Then, the STRING database was used to construct the protein–protein interaction network. The module analysis was performed by the MCODE plug-in of Cytoscape based on the whole network. We finally filtered out seven hub genes by the cytoHubba plug-in, including PPBP, CCL28, CXCL12, INSL5, CXCL3, CXCL10, and CXCL11. The expression validation and survival analysis of these hub genes were analyzed based on The Cancer Genome Atlas database. In conclusion, the robust DEGs associated with the carcinogenesis of CRC were screened through the GEO database, and integrated bioinformatics analysis was conducted. Our study provides reliable molecular biomarkers for screening and diagnosis, prognosis as well as novel therapeutic targets for CRC.","container-title":"Journal of Cellular Physiology","DOI":"10.1002/jcp.28163","ISSN":"1097-4652","issue":"9","language":"en","note":"_eprint: https://onlinelibrary.wiley.com/doi/pdf/10.1002/jcp.28163","page":"15215-15224","source":"Wiley Online Library","title":"Identification of differentially expressed genes and biological characteristics of colorectal cancer by integrated bioinformatics analysis","URL":"https://onlinelibrary.wiley.com/doi/abs/10.1002/jcp.28163","volume":"234","author":[{"family":"Sun","given":"Guangwei"},{"family":"Li","given":"Yalun"},{"family":"Peng","given":"Yangjie"},{"family":"Lu","given":"Dapeng"},{"family":"Zhang","given":"Fuqiang"},{"family":"Cui","given":"Xueyang"},{"family":"Zhang","given":"Qingyue"},{"family":"Li","given":"Zhuang"}],"accessed":{"date-parts":[["2026",7,26]]},"issued":{"date-parts":[["2019"]]}}},{"id":231,"uris":["http://zotero.org/users/local/sechomLT/items/SX3EXBZZ"],"itemData":{"id":231,"type":"article-journal","abstract":"Colorectal cancer is driven by complex genetic and molecular alterations, necessitating reliable targets for diagnosis and therapy. Single-omics studies offer limited insight. We performed a systematic in silico multi-omics integration using four public databases: GEO (differential expression), cBioPortal (genomic alterations), DisGeNET (gene–disease associations), and GeneCards (annotated/predicted CRC genes). Genes identified in ≥ 2 independent sources were curated into a high-confidence panel comprising 996 CRC-associated genes. Functional enrichment analysis of this panel revealed significant over-representation of pathways critical to CRC pathogenesis, including cell cycle regulation, apoptosis, DNA repair, and canonical signalling cascades (Wnt, MAPK, PI3K–AKT). PPI network analysis in Cytoscape using the Maximal Clique Centrality algorithm identified ten high-centrality hub genes: AKT1, STAT3, TP53, CTNNB1, BCL2, MYC, CCND1, PTEN, ESR1, and JUN. Eight of these are established CRC drivers, confirming the credibility of the approach, whereas ESR1 and JUN emerged as potentially under-investigated candidates. Hub gene relevance was independently confirmed via cBioPortal (alterations and correlations), TCGA/GEPIA2 (tumour–normal and stage-specific expression), the Human Protein Atlas (protein abundance), and TIMER2.0 (immune infiltration). This in silico multi-omics research work prioritises high-confidence therapeutic targets in CRC using publicly available data and nominates ESR1 and JUN for further investigation, while highlighting the need for experimental validation. The framework demonstrates the power of cross-platform evidence for biomarker discovery in complex diseases and is readily adaptable to other malignancies.","container-title":"Network Modeling Analysis in Health Informatics and Bioinformatics","DOI":"10.1007/s13721-025-00696-x","ISSN":"2192-6670","issue":"1","journalAbbreviation":"Netw Model Anal Health Inform Bioinforma","language":"en","page":"10","source":"Springer Link","title":"Multi-omics integration and network analysis identify therapeutic hub genes in colorectal cancer","URL":"https://doi.org/10.1007/s13721-025-00696-x","volume":"15","author":[{"family":"Mathew","given":"Emi"},{"family":"Thomas","given":"Philip Litto"},{"family":"Mathew","given":"Linu"}],"accessed":{"date-parts":[["2026",7,26]]},"issued":{"date-parts":[["2025",12,19]]}}}],"schema":"https://github.com/citation-style-language/schema/raw/master/csl-citation.json"} </w:instrText>
      </w:r>
      <w:r w:rsidR="00C47CA8">
        <w:fldChar w:fldCharType="separate"/>
      </w:r>
      <w:r w:rsidR="00991CA6" w:rsidRPr="00991CA6">
        <w:rPr>
          <w:rFonts w:ascii="Calibri" w:hAnsi="Calibri" w:cs="Calibri"/>
        </w:rPr>
        <w:t>(51,52,10)</w:t>
      </w:r>
      <w:r w:rsidR="00C47CA8">
        <w:fldChar w:fldCharType="end"/>
      </w:r>
      <w:r w:rsidR="00625DF3" w:rsidRPr="00625DF3">
        <w:t>.</w:t>
      </w:r>
      <w:r w:rsidR="00BC5CEC">
        <w:t xml:space="preserve"> </w:t>
      </w:r>
      <w:r w:rsidR="00BC5CEC" w:rsidRPr="00625DF3">
        <w:t>Por otro lado, la firma se completa con efectores clave de rutas de señalización y metabolismo: PMAIP1</w:t>
      </w:r>
      <w:r w:rsidR="00711745">
        <w:fldChar w:fldCharType="begin"/>
      </w:r>
      <w:r w:rsidR="00991CA6">
        <w:instrText xml:space="preserve"> ADDIN ZOTERO_ITEM CSL_CITATION {"citationID":"52b1Nl6o","properties":{"unsorted":false,"formattedCitation":"(51,52)","plainCitation":"(51,52)","noteIndex":0},"citationItems":[{"id":228,"uris":["http://zotero.org/users/local/sechomLT/items/RBTP8LWH"],"itemData":{"id":228,"type":"article-journal","abstract":"Colorectal cancer (CRC) ranks as one of the most common malignant tumors worldwide. Its mortality rate has remained high in recent years. Therefore, the aim of this study was to identify significant differentially expressed genes (DEGs) involved in its pathogenesis, which may be used as novel biomarkers or potential therapeutic targets for CRC. The gene expression profiles of GSE21510, GSE32323, GSE89076, and GSE113513 were downloaded from the Gene Expression Omnibus (GEO) database. After screening DEGs in each GEO data set, we further used the robust rank aggregation method to identify 494 significant DEGs including 212 upregulated and 282 downregulated genes. Gene Ontology (GO) and Kyoto Encyclopedia of Genes and Genomes (KEGG) pathway enrichment analyses were performed by DAVID and the KOBAS online database, respectively. These DEGs were shown to be significantly enriched in different cancer-related functions and pathways. Then, the STRING database was used to construct the protein–protein interaction network. The module analysis was performed by the MCODE plug-in of Cytoscape based on the whole network. We finally filtered out seven hub genes by the cytoHubba plug-in, including PPBP, CCL28, CXCL12, INSL5, CXCL3, CXCL10, and CXCL11. The expression validation and survival analysis of these hub genes were analyzed based on The Cancer Genome Atlas database. In conclusion, the robust DEGs associated with the carcinogenesis of CRC were screened through the GEO database, and integrated bioinformatics analysis was conducted. Our study provides reliable molecular biomarkers for screening and diagnosis, prognosis as well as novel therapeutic targets for CRC.","container-title":"Journal of Cellular Physiology","DOI":"10.1002/jcp.28163","ISSN":"1097-4652","issue":"9","language":"en","note":"_eprint: https://onlinelibrary.wiley.com/doi/pdf/10.1002/jcp.28163","page":"15215-15224","source":"Wiley Online Library","title":"Identification of differentially expressed genes and biological characteristics of colorectal cancer by integrated bioinformatics analysis","URL":"https://onlinelibrary.wiley.com/doi/abs/10.1002/jcp.28163","volume":"234","author":[{"family":"Sun","given":"Guangwei"},{"family":"Li","given":"Yalun"},{"family":"Peng","given":"Yangjie"},{"family":"Lu","given":"Dapeng"},{"family":"Zhang","given":"Fuqiang"},{"family":"Cui","given":"Xueyang"},{"family":"Zhang","given":"Qingyue"},{"family":"Li","given":"Zhuang"}],"accessed":{"date-parts":[["2026",7,26]]},"issued":{"date-parts":[["2019"]]}}},{"id":223,"uris":["http://zotero.org/users/local/sechomLT/items/JPLDDVL5"],"itemData":{"id":223,"type":"article-journal","abstract":"Colorectal cancer (CRC) is the most common malignant tumor of digestive system. The aim of this study was to identify gene signatures during CRC and uncover their potential mechanisms. The gene expression profiles of GSE21815 were downloaded from GEO database. The GSE21815 dataset contained 141 samples, including 132 CRC and 9 normal colon epitheliums. The gene ontology (GO) and Kyoto Encyclopedia of Genes and Genomes pathway (KEGG) enrichment analyses were performed, and protein–protein interaction (PPI) network of the differentially expressed genes (DEGs) was constructed by Cytoscape software. In total, 3500 DEGs were identified in CRC, including 1370 up-regulated genes and 2130 down-regulated genes. GO analysis results showed that up-regulated DEGs were significantly enriched in biological processes (BP), including cell cycle, cell division, and cell proliferation; the down-regulated DEGs were significantly enriched in biological processes, including immune response, intracellular signaling cascade and defense response. KEGG pathway analysis showed the up-regulated DEGs were enriched in cell cycle and DNA replication, while the down-regulated DEGs were enriched in drug metabolism, metabolism of xenobiotics by cytochrome P450, and retinol metabolism pathways. The top 10 hub genes, GNG2, AGT, SAA1, ADCY5, LPAR1, NMU, IL8, CXCL12, GNAI1, and CCR2 were identified from the PPI network, and sub-networks revealed these genes were involved in significant pathways, including G protein-coupled receptors signaling pathway, gastrin-CREB signaling pathway via PKC and MAPK, and extracellular matrix organization. In conclusion, the present study indicated that the identified DEGs and hub genes promote our understanding of the molecular mechanisms underlying the development of CRC, and might be used as molecular targets and diagnostic biomarkers for the treatment of CRC.","container-title":"Medical Oncology","DOI":"10.1007/s12032-016-0829-6","ISSN":"1559-131X","issue":"10","journalAbbreviation":"Med Oncol","language":"en","page":"111","source":"Springer Link","title":"Identification of key pathways and genes in colorectal cancer using bioinformatics analysis","URL":"https://doi.org/10.1007/s12032-016-0829-6","volume":"33","author":[{"family":"Liang","given":"Bin"},{"family":"Li","given":"Chunning"},{"family":"Zhao","given":"Jianying"}],"accessed":{"date-parts":[["2026",7,26]]},"issued":{"date-parts":[["2016",8,31]]}}}],"schema":"https://github.com/citation-style-language/schema/raw/master/csl-citation.json"} </w:instrText>
      </w:r>
      <w:r w:rsidR="00711745">
        <w:fldChar w:fldCharType="separate"/>
      </w:r>
      <w:r w:rsidR="00991CA6" w:rsidRPr="00991CA6">
        <w:rPr>
          <w:rFonts w:ascii="Calibri" w:hAnsi="Calibri" w:cs="Calibri"/>
        </w:rPr>
        <w:t>(51,52)</w:t>
      </w:r>
      <w:r w:rsidR="00711745">
        <w:fldChar w:fldCharType="end"/>
      </w:r>
      <w:r w:rsidR="00BC5CEC" w:rsidRPr="00625DF3">
        <w:t>,</w:t>
      </w:r>
      <w:r w:rsidR="00711745">
        <w:t xml:space="preserve"> </w:t>
      </w:r>
      <w:r w:rsidR="00711745" w:rsidRPr="00711745">
        <w:t xml:space="preserve">proteína </w:t>
      </w:r>
      <w:proofErr w:type="spellStart"/>
      <w:r w:rsidR="00711745" w:rsidRPr="00711745">
        <w:t>proapoptótica</w:t>
      </w:r>
      <w:proofErr w:type="spellEnd"/>
      <w:r w:rsidR="00711745" w:rsidRPr="00711745">
        <w:t xml:space="preserve"> de la familia BCL-2, y PLCD1</w:t>
      </w:r>
      <w:r w:rsidR="00711745">
        <w:fldChar w:fldCharType="begin"/>
      </w:r>
      <w:r w:rsidR="00991CA6">
        <w:instrText xml:space="preserve"> ADDIN ZOTERO_ITEM CSL_CITATION {"citationID":"CukcSJff","properties":{"unsorted":false,"formattedCitation":"(51,52)","plainCitation":"(51,52)","noteIndex":0},"citationItems":[{"id":228,"uris":["http://zotero.org/users/local/sechomLT/items/RBTP8LWH"],"itemData":{"id":228,"type":"article-journal","abstract":"Colorectal cancer (CRC) ranks as one of the most common malignant tumors worldwide. Its mortality rate has remained high in recent years. Therefore, the aim of this study was to identify significant differentially expressed genes (DEGs) involved in its pathogenesis, which may be used as novel biomarkers or potential therapeutic targets for CRC. The gene expression profiles of GSE21510, GSE32323, GSE89076, and GSE113513 were downloaded from the Gene Expression Omnibus (GEO) database. After screening DEGs in each GEO data set, we further used the robust rank aggregation method to identify 494 significant DEGs including 212 upregulated and 282 downregulated genes. Gene Ontology (GO) and Kyoto Encyclopedia of Genes and Genomes (KEGG) pathway enrichment analyses were performed by DAVID and the KOBAS online database, respectively. These DEGs were shown to be significantly enriched in different cancer-related functions and pathways. Then, the STRING database was used to construct the protein–protein interaction network. The module analysis was performed by the MCODE plug-in of Cytoscape based on the whole network. We finally filtered out seven hub genes by the cytoHubba plug-in, including PPBP, CCL28, CXCL12, INSL5, CXCL3, CXCL10, and CXCL11. The expression validation and survival analysis of these hub genes were analyzed based on The Cancer Genome Atlas database. In conclusion, the robust DEGs associated with the carcinogenesis of CRC were screened through the GEO database, and integrated bioinformatics analysis was conducted. Our study provides reliable molecular biomarkers for screening and diagnosis, prognosis as well as novel therapeutic targets for CRC.","container-title":"Journal of Cellular Physiology","DOI":"10.1002/jcp.28163","ISSN":"1097-4652","issue":"9","language":"en","note":"_eprint: https://onlinelibrary.wiley.com/doi/pdf/10.1002/jcp.28163","page":"15215-15224","source":"Wiley Online Library","title":"Identification of differentially expressed genes and biological characteristics of colorectal cancer by integrated bioinformatics analysis","URL":"https://onlinelibrary.wiley.com/doi/abs/10.1002/jcp.28163","volume":"234","author":[{"family":"Sun","given":"Guangwei"},{"family":"Li","given":"Yalun"},{"family":"Peng","given":"Yangjie"},{"family":"Lu","given":"Dapeng"},{"family":"Zhang","given":"Fuqiang"},{"family":"Cui","given":"Xueyang"},{"family":"Zhang","given":"Qingyue"},{"family":"Li","given":"Zhuang"}],"accessed":{"date-parts":[["2026",7,26]]},"issued":{"date-parts":[["2019"]]}}},{"id":223,"uris":["http://zotero.org/users/local/sechomLT/items/JPLDDVL5"],"itemData":{"id":223,"type":"article-journal","abstract":"Colorectal cancer (CRC) is the most common malignant tumor of digestive system. The aim of this study was to identify gene signatures during CRC and uncover their potential mechanisms. The gene expression profiles of GSE21815 were downloaded from GEO database. The GSE21815 dataset contained 141 samples, including 132 CRC and 9 normal colon epitheliums. The gene ontology (GO) and Kyoto Encyclopedia of Genes and Genomes pathway (KEGG) enrichment analyses were performed, and protein–protein interaction (PPI) network of the differentially expressed genes (DEGs) was constructed by Cytoscape software. In total, 3500 DEGs were identified in CRC, including 1370 up-regulated genes and 2130 down-regulated genes. GO analysis results showed that up-regulated DEGs were significantly enriched in biological processes (BP), including cell cycle, cell division, and cell proliferation; the down-regulated DEGs were significantly enriched in biological processes, including immune response, intracellular signaling cascade and defense response. KEGG pathway analysis showed the up-regulated DEGs were enriched in cell cycle and DNA replication, while the down-regulated DEGs were enriched in drug metabolism, metabolism of xenobiotics by cytochrome P450, and retinol metabolism pathways. The top 10 hub genes, GNG2, AGT, SAA1, ADCY5, LPAR1, NMU, IL8, CXCL12, GNAI1, and CCR2 were identified from the PPI network, and sub-networks revealed these genes were involved in significant pathways, including G protein-coupled receptors signaling pathway, gastrin-CREB signaling pathway via PKC and MAPK, and extracellular matrix organization. In conclusion, the present study indicated that the identified DEGs and hub genes promote our understanding of the molecular mechanisms underlying the development of CRC, and might be used as molecular targets and diagnostic biomarkers for the treatment of CRC.","container-title":"Medical Oncology","DOI":"10.1007/s12032-016-0829-6","ISSN":"1559-131X","issue":"10","journalAbbreviation":"Med Oncol","language":"en","page":"111","source":"Springer Link","title":"Identification of key pathways and genes in colorectal cancer using bioinformatics analysis","URL":"https://doi.org/10.1007/s12032-016-0829-6","volume":"33","author":[{"family":"Liang","given":"Bin"},{"family":"Li","given":"Chunning"},{"family":"Zhao","given":"Jianying"}],"accessed":{"date-parts":[["2026",7,26]]},"issued":{"date-parts":[["2016",8,31]]}}}],"schema":"https://github.com/citation-style-language/schema/raw/master/csl-citation.json"} </w:instrText>
      </w:r>
      <w:r w:rsidR="00711745">
        <w:fldChar w:fldCharType="separate"/>
      </w:r>
      <w:r w:rsidR="00991CA6" w:rsidRPr="00991CA6">
        <w:rPr>
          <w:rFonts w:ascii="Calibri" w:hAnsi="Calibri" w:cs="Calibri"/>
        </w:rPr>
        <w:t>(51,52)</w:t>
      </w:r>
      <w:r w:rsidR="00711745">
        <w:fldChar w:fldCharType="end"/>
      </w:r>
      <w:r w:rsidR="00711745" w:rsidRPr="00711745">
        <w:t>, supresor tumoral perteneciente a la familia de las fosfolipasas C</w:t>
      </w:r>
      <w:r w:rsidR="00BC5CEC" w:rsidRPr="00625DF3">
        <w:t>.</w:t>
      </w:r>
      <w:r w:rsidR="00BC5CEC">
        <w:t xml:space="preserve"> </w:t>
      </w:r>
      <w:r w:rsidR="00156CF0" w:rsidRPr="00625DF3">
        <w:t xml:space="preserve">Esta concordancia con publicaciones previas </w:t>
      </w:r>
      <w:r w:rsidR="00156CF0" w:rsidRPr="006663E8">
        <w:t>refuerza la va</w:t>
      </w:r>
      <w:r w:rsidR="00156CF0" w:rsidRPr="00F67F0D">
        <w:t>lidez externa de los resultados, confirmando que el pipeline utilizado identifica alteraciones biológicas reales y reproducibles.</w:t>
      </w:r>
    </w:p>
    <w:p w14:paraId="2E74DB79" w14:textId="10AB2302" w:rsidR="00D05E47" w:rsidRDefault="00C46D86" w:rsidP="00D05E47">
      <w:r w:rsidRPr="00C46D86">
        <w:t xml:space="preserve">Sin embargo, el análisis comparativo también revela la ausencia en la firma consenso de biomarcadores ampliamente </w:t>
      </w:r>
      <w:r w:rsidR="00D21C07" w:rsidRPr="004E0C6F">
        <w:t xml:space="preserve">descritos </w:t>
      </w:r>
      <w:r w:rsidR="00D21C07">
        <w:t xml:space="preserve">en </w:t>
      </w:r>
      <w:r w:rsidRPr="00C46D86">
        <w:t>la oncogénesis colorrectal, como TP53, KRAS, CXCL12, NMU o LPAR1</w:t>
      </w:r>
      <w:r w:rsidR="00156CF0">
        <w:t xml:space="preserve"> </w:t>
      </w:r>
      <w:r w:rsidR="00156CF0">
        <w:fldChar w:fldCharType="begin"/>
      </w:r>
      <w:r w:rsidR="00991CA6">
        <w:instrText xml:space="preserve"> ADDIN ZOTERO_ITEM CSL_CITATION {"citationID":"Tn11YgaS","properties":{"unsorted":false,"formattedCitation":"(3,6,8\\uc0\\u8211{}10,13,14,22,36,41,47,51,52)","plainCitation":"(3,6,8–10,13,14,22,36,41,47,51,52)","noteIndex":0},"citationItems":[{"id":35,"uris":["http://zotero.org/users/local/sechomLT/items/BQ8KHV3Z"],"itemData":{"id":35,"type":"article-journal","abstract":"Colorectal cancer (CRC) constitutes a prominent global health burden, being the third most frequently diagnosed malignancy in terms of incidence and the second leading cause of cancer-associated death across the globe. Malignant transformation of colonic epithelial cells stems from the intricate dysregulation of intracellular signal transduction networks. Although targeted therapies have substantially improved patient survival relative to traditional treatments, the complexity of the molecular networks driving carcinogenesis continues to limit the overall prognosis. This review delineates the core signaling cascades governing CRC initiation and progression, with emphasis on the molecular hallmarks of the disease. Drawing on a growing body of high-quality preclinical and clinical evidence, we summarize currently available targeted agents and critically evaluate their underlying mechanisms of action and clinical curative effects, and inherent limitations within the contemporary therapeutic landscape. In addition, we discuss how recent advances in immune checkpoint inhibitors (ICIs) along with a deeper understanding of the tumor microenvironment are shaping global clinical guidelines and revealing promising new targets and combinatorial strategies. In summary, expanding insights into oncogenic signaling pathways are guiding the development of novel treatments and enabling the identification of key elements amenable to pharmacological intervention. Ultimately, this review aims to support the rational design of precise and personalized therapeutic strategies to improve CRC prognosis.","container-title":"Molecular Biomedicine","DOI":"10.1186/s43556-026-00433-4","ISSN":"2662-8651","journalAbbreviation":"Mol Biomed","page":"32","PMID":"41826571","PMCID":"PMC12988139","source":"PubMed Central","title":"Colorectal cancer pathogenesis, oncogenic signaling networks and targeted therapeutic advances","URL":"https://pmc.ncbi.nlm.nih.gov/articles/PMC12988139/","volume":"7","author":[{"family":"Chen","given":"Yue"},{"family":"Zhang","given":"Jiaqi"},{"family":"Ding","given":"Yi"},{"family":"Zhu","given":"Fang"},{"family":"Chen","given":"Yinnan"}],"accessed":{"date-parts":[["2026",5,11]]},"issued":{"date-parts":[["2026",3,14]]}}},{"id":10,"uris":["http://zotero.org/users/local/sechomLT/items/PUDVKYZ9"],"itemData":{"id":10,"type":"article-journal","abstract":"Colorectal cancer (CRC) is a diverse disease entity and a leading cause of cancer-related mortality worldwide. CRC results from the accumulation of multiple genetic and epigenetic alterations. This heterogeneity of CRC underscores the significance of understanding its molecular landscape, as variations in tumor genetics can greatly influence both patient prognosis and therapeutic response. The molecular complexity of CRC is defined by three major carcinogenesis pathways: chromosomal instability (CIN), microsatellite instability (MSI), and the CpG island methylator phenotype (CIMP). These pathways contribute to the onset and progression of CRC through mutations, epigenetic modifications, and dysregulated cellular signalling networks. The heterogeneous nature of CRC continues to pose challenges in identifying universally effective treatments, highlighting the need for personalized approaches. Hence, the present review aims at unravelling the molecular complexity of CRC that is essential for improving diagnosis, prognostication, and treatment. We detail on the current understanding of the molecular framework of CRC, central signalling pathways of CRC associated with its initiation to a malignant phenotype, further invasion, progression, metastases, and response to therapy. Continued research into CRC’s pathways and biomarkers will pave the way for the development of more precise and effective therapeutic strategies, ultimately improving patient outcomes.","container-title":"Cancer Management and Research","DOI":"10.2147/CMAR.S481656","ISSN":"1179-1322","journalAbbreviation":"Cancer Manag Res","page":"1389-1403","PMID":"39403607","PMCID":"PMC11472760","source":"PubMed Central","title":"Molecular Complexity of Colorectal Cancer: Pathways, Biomarkers, and Therapeutic Strategies","title-short":"Molecular Complexity of Colorectal Cancer","URL":"https://pmc.ncbi.nlm.nih.gov/articles/PMC11472760/","volume":"16","author":[{"family":"Yang","given":"Zhengdong"},{"family":"Wang","given":"Xinyang"},{"family":"Zhou","given":"Huiying"},{"family":"Jiang","given":"Minghan"},{"family":"Wang","given":"Jinghui"},{"family":"Sui","given":"Bowen"}],"accessed":{"date-parts":[["2026",5,11]]},"issued":{"date-parts":[["2024",10,10]]}}},{"id":185,"uris":["http://zotero.org/users/local/sechomLT/items/3LBCITJV"],"itemData":{"id":185,"type":"article-journal","abstract":"Colorectal cancer (CRC) is a heterogeneous disease resulting from the combined influence of many genetic factors. This complexity has caused the molecular characterization of CRC to remain uncharacterized, with a lack of clear gene markers associated with CRC and the prognosis of this disease. Thus, highly sensitive tumor markers for the detection of CRC are the most essential determinants of survival. In this study, we examined the simultaneous downregulation of the mRNA levels of six metallothionein (MT) genes in CRC cell lines and public CRC datasets for the first time. In addition, we detected downregulation of these six MT mRNAs’ levels in 30 pairs of tumor (T) and adjacent non-tumor (N) CRC specimens. In order to understand the potential prognostic relevance of these six MT genes and CRC, we presented a four-gene signature to evaluate the prognosis of CRC patients. Further discovery suggested that the four-gene signature (MT1F, MT1G, MT1L, and MT1X) predicted survival better than any combination of two-, three-, four-, five-, or six-gene models. In conclusion, this study is the first to report that simultaneous downregulation of six MT mRNAs’ levels in CRC patients, and their aberrant expression together, accurately predicted CRC patients’ outcomes.","container-title":"International Journal of Molecular Sciences","DOI":"10.3390/ijms20163849","ISSN":"1422-0067","issue":"16","journalAbbreviation":"Int J Mol Sci","page":"3849","PMID":"31394742","PMCID":"PMC6721156","source":"PubMed Central","title":"The Expression Profile and Prognostic Significance of Metallothionein Genes in Colorectal Cancer","URL":"https://pmc.ncbi.nlm.nih.gov/articles/PMC6721156/","volume":"20","author":[{"family":"Hung","given":"Kuo-Chen"},{"family":"Huang","given":"Tsui-Chin"},{"family":"Cheng","given":"Chia-Hsiung"},{"family":"Cheng","given":"Ya-Wen"},{"family":"Lin","given":"Ding-Yen"},{"family":"Fan","given":"Jhen-Jia"},{"family":"Lee","given":"Kuen-Haur"}],"accessed":{"date-parts":[["2026",7,19]]},"issued":{"date-parts":[["2019",8,7]]}}},{"id":219,"uris":["http://zotero.org/users/local/sechomLT/items/Q3YBI9XD"],"itemData":{"id":219,"type":"article-journal","abstract":"Colorectal cancer (CRC) is a frequently lethal disease with heterogeneous outcomes and drug responses. To resolve inconsistencies among the reported gene expression–based CRC classifications and facilitate clinical translation, we formed an international consortium dedicated to large-scale data sharing and analytics across expert groups. We show marked interconnectivity between six independent classification systems coalescing into four consensus molecular subtypes (CMS) with distinguishing features: CMS1 (MSI Immune, 14%), hypermutated, microsatellite unstable, strong immune activation; CMS2 (Canonical, 37%), epithelial, chromosomally unstable, marked WNT and MYC signaling activation; CMS3 (Metabolic, 13%), epithelial, evident metabolic dysregulation; and CMS4 (Mesenchymal, 23%), prominent transforming growth factor β activation, stromal invasion, and angiogenesis. Samples with mixed features (13%) possibly represent a transition phenotype or intra-tumoral heterogeneity. We consider the CMS groups the most robust classification system currently available for CRC – with clear biological interpretability – and the basis for future clinical stratification and subtype–based targeted interventions.","container-title":"Nature medicine","DOI":"10.1038/nm.3967","ISSN":"1078-8956","issue":"11","journalAbbreviation":"Nat Med","page":"1350-1356","PMID":"26457759","PMCID":"PMC4636487","source":"PubMed Central","title":"The Consensus Molecular Subtypes of Colorectal Cancer","URL":"https://pmc.ncbi.nlm.nih.gov/articles/PMC4636487/","volume":"21","author":[{"family":"Guinney","given":"Justin"},{"family":"Dienstmann","given":"Rodrigo"},{"family":"Wang","given":"Xin"},{"family":"Reyniès","given":"Aurélien","non-dropping-particle":"de"},{"family":"Schlicker","given":"Andreas"},{"family":"Soneson","given":"Charlotte"},{"family":"Marisa","given":"Laetitia"},{"family":"Roepman","given":"Paul"},{"family":"Nyamundanda","given":"Gift"},{"family":"Angelino","given":"Paolo"},{"family":"Bot","given":"Brian M."},{"family":"Morris","given":"Jeffrey S."},{"family":"Simon","given":"Iris M."},{"family":"Gerster","given":"Sarah"},{"family":"Fessler","given":"Evelyn"},{"family":"Sousa e Melo","given":"Felipe","non-dropping-particle":"de"},{"family":"Missiaglia","given":"Edoardo"},{"family":"Ramay","given":"Hena"},{"family":"Barras","given":"David"},{"family":"Homicsko","given":"Krisztian"},{"family":"Maru","given":"Dipen"},{"family":"Manyam","given":"Ganiraju C."},{"family":"Broom","given":"Bradley"},{"family":"Boige","given":"Valerie"},{"family":"Perez-Villamil","given":"Beatriz"},{"family":"Laderas","given":"Ted"},{"family":"Salazar","given":"Ramon"},{"family":"Gray","given":"Joe W."},{"family":"Hanahan","given":"Douglas"},{"family":"Tabernero","given":"Josep"},{"family":"Bernards","given":"Rene"},{"family":"Friend","given":"Stephen H."},{"family":"Laurent-Puig","given":"Pierre"},{"family":"Medema","given":"Jan Paul"},{"family":"Sadanandam","given":"Anguraj"},{"family":"Wessels","given":"Lodewyk"},{"family":"Delorenzi","given":"Mauro"},{"family":"Kopetz","given":"Scott"},{"family":"Vermeulen","given":"Louis"},{"family":"Tejpar","given":"Sabine"}],"accessed":{"date-parts":[["2026",7,26]]},"issued":{"date-parts":[["2015",11]]}}},{"id":231,"uris":["http://zotero.org/users/local/sechomLT/items/SX3EXBZZ"],"itemData":{"id":231,"type":"article-journal","abstract":"Colorectal cancer is driven by complex genetic and molecular alterations, necessitating reliable targets for diagnosis and therapy. Single-omics studies offer limited insight. We performed a systematic in silico multi-omics integration using four public databases: GEO (differential expression), cBioPortal (genomic alterations), DisGeNET (gene–disease associations), and GeneCards (annotated/predicted CRC genes). Genes identified in ≥ 2 independent sources were curated into a high-confidence panel comprising 996 CRC-associated genes. Functional enrichment analysis of this panel revealed significant over-representation of pathways critical to CRC pathogenesis, including cell cycle regulation, apoptosis, DNA repair, and canonical signalling cascades (Wnt, MAPK, PI3K–AKT). PPI network analysis in Cytoscape using the Maximal Clique Centrality algorithm identified ten high-centrality hub genes: AKT1, STAT3, TP53, CTNNB1, BCL2, MYC, CCND1, PTEN, ESR1, and JUN. Eight of these are established CRC drivers, confirming the credibility of the approach, whereas ESR1 and JUN emerged as potentially under-investigated candidates. Hub gene relevance was independently confirmed via cBioPortal (alterations and correlations), TCGA/GEPIA2 (tumour–normal and stage-specific expression), the Human Protein Atlas (protein abundance), and TIMER2.0 (immune infiltration). This in silico multi-omics research work prioritises high-confidence therapeutic targets in CRC using publicly available data and nominates ESR1 and JUN for further investigation, while highlighting the need for experimental validation. The framework demonstrates the power of cross-platform evidence for biomarker discovery in complex diseases and is readily adaptable to other malignancies.","container-title":"Network Modeling Analysis in Health Informatics and Bioinformatics","DOI":"10.1007/s13721-025-00696-x","ISSN":"2192-6670","issue":"1","journalAbbreviation":"Netw Model Anal Health Inform Bioinforma","language":"en","page":"10","source":"Springer Link","title":"Multi-omics integration and network analysis identify therapeutic hub genes in colorectal cancer","URL":"https://doi.org/10.1007/s13721-025-00696-x","volume":"15","author":[{"family":"Mathew","given":"Emi"},{"family":"Thomas","given":"Philip Litto"},{"family":"Mathew","given":"Linu"}],"accessed":{"date-parts":[["2026",7,26]]},"issued":{"date-parts":[["2025",12,19]]}}},{"id":85,"uris":["http://zotero.org/users/local/sechomLT/items/SAPVJ6JV"],"itemData":{"id":85,"type":"article-journal","abstract":"Colon cancer is one of the most common cancers in the world. To identify the candidate genes in the carcinogenesis and progression of colon cancer, the microarray datasets GSE10950, GSE44861 and GSE74602 were downloaded from the Gene Expression Omnibus (GEO) database. The differentially expressed genes (DEGs) were identified, and functional enrichment analyses were performed. A total of 176 DEGs were identified, consisting of 55 genes upregulated and 121 genes downregulated in colon cancer tissues compared to non-cancerous tissues. The DEGs were mainly enriched in mineral absorption, nitrogen metabolism and complement and coagulation cascades. By using STRING database analysis, we constructed a coexpression network composed of 140 nodes and 280 edges for the DEGs with a combined score &gt;0.4 and a significant interaction relation. Thirteen hub genes were identified, and poor OS of patients was only associated with high expression of Matrix Metallopeptidase 7 (MMP7), which may be involved in the carcinogenesis, invasion or recurrence of colon cancer. In conclusion, we propose that the DEGs and hub genes identified in the present study may be regarded as diagnostic biomarkers for colon cancer. Moreover, the overexpression of MMP7 may correlate with poor prognosis.","container-title":"Medicine","DOI":"10.1097/MD.0000000000024953","ISSN":"0025-7974","issue":"9","journalAbbreviation":"Medicine (Baltimore)","page":"e24953","PMID":"33655961","PMCID":"PMC7939218","source":"PubMed Central","title":"MMP7 as a potential biomarker of colon cancer and its prognostic value by bioinformatics analysis","URL":"https://pmc.ncbi.nlm.nih.gov/articles/PMC7939218/","volume":"100","author":[{"family":"Chen","given":"Li"},{"family":"Ke","given":"Xueying"}],"accessed":{"date-parts":[["2026",7,14]]},"issued":{"date-parts":[["2021",3,5]]}}},{"id":207,"uris":["http://zotero.org/users/local/sechomLT/items/6FIITV8S"],"itemData":{"id":207,"type":"article-journal","abstract":"Background\nColorectal cancer (CRC) is a common malignant tumor with high incidence and mortality worldwide. The aim of this study was to evaluate the association between differentially expressed genes (DEGs), which may function as biomarkers for CRC prognosis and therapies, and the clinical outcome in patients with CRC.\n\nMaterial/Methods\nA total of 116 normal mucous tissue and 930 CRC tissue datasets were downloaded from the Gene Expression Omnibus database (GEO) and The Cancer Genome Atlas (TCGA). After screening DEGs based on limma package in R. Gene Ontology (GO) and KEGG enrichment analysis as well as the protein-protein interaction (PPI) networks were performed to predict the function of these DEGs. Meanwhile, Cox proportional hazards regression was used to build a prognostic model of these DEGs. Then, Kaplan-Meier risk analysis was used to test the model in TCGA datasets and validation datasets.\n\nResults\nIn the present study, 300 DEGs with 100 upregulated genes and 200 downregulated genes were identified. The PPI networks including 162 DEGs and 256 nodes were constructed and 2 modules with high degree were selected. Moreover, 5 genes (MMP1, ACSL6, SMPD1, PPARGC1A, and HEPACAM2) were identified using the Cox proportional hazards stepwise regression. Kaplan-Meier risk curve in the TCGA and validation cohorts showed that high-risk group had significantly poor overall survival than the low-risk group.\n\nConclusions\nOur study provided insights into the mechanisms of CRC formation and found 5 prognostic genes, which could potentially inform further studies and clinical therapies.","container-title":"Medical Science Monitor : International Medical Journal of Experimental and Clinical Research","DOI":"10.12659/MSM.907224","ISSN":"1234-1010","journalAbbreviation":"Med Sci Monit","page":"4625-4633","PMID":"29973580","PMCID":"PMC6065283","source":"PubMed Central","title":"Identification of Critical Genes and Five Prognostic Biomarkers Associated with Colorectal Cancer","URL":"https://pmc.ncbi.nlm.nih.gov/articles/PMC6065283/","volume":"24","author":[{"family":"Huang","given":"Zuoliang"},{"family":"Yang","given":"Qin"},{"family":"Huang","given":"Zezhi"}],"accessed":{"date-parts":[["2026",7,22]]},"issued":{"date-parts":[["2018",7,5]]}}},{"id":102,"uris":["http://zotero.org/users/local/sechomLT/items/BAZ7QHFE"],"itemData":{"id":102,"type":"article-journal","abstract":"Tumor microenvironments have a crucial role in cancer initiation and progression, and share many molecular and pathological features with wound healing process. Unless treated, tumors, however, do not heal in contrast to wounds that heal within a limited time framework. Wounds heal in coordination of a myriad of types of cells, particularly endothelial cells, leukocytes, and fibroblasts. Similar sets of cells also contribute to cancer initiation and progression, and as a consequence, anti-cancer treatment strategies have been proposed and tested by targeting endothelial cells and/or leukocytes. Compared with endothelial cells and leukocytes, less attention has been paid to the roles of cancer-associated fibroblasts (CAFs), fibroblasts present in tumor tissues, because their heterogeneity hinders the elucidation on them at cellular and molecular levels. Here, we will discuss the origin of CAFs and their crucial roles in cancer initiation and progression, and the possibility to develop a novel type of anti-cancer treatment by manipulating the migration and functions of CAFs.","container-title":"World Journal of Gastroenterology","DOI":"10.3748/wjg.v22.i23.5301","ISSN":"1007-9327","issue":"23","journalAbbreviation":"World J Gastroenterol","page":"5301-5316","PMID":"27340347","PMCID":"PMC4910652","source":"PubMed Central","title":"Fibroblasts, an inconspicuous but essential player in colon cancer development and progression","URL":"https://pmc.ncbi.nlm.nih.gov/articles/PMC4910652/","volume":"22","author":[{"family":"Mukaida","given":"Naofumi"},{"family":"Sasaki","given":"Soichiro"}],"accessed":{"date-parts":[["2026",7,14]]},"issued":{"date-parts":[["2016",6,21]]}}},{"id":136,"uris":["http://zotero.org/users/local/sechomLT/items/I8FJEX9X"],"itemData":{"id":136,"type":"article-journal","abstract":"Background:\nThe KIAA1199 transcript is upregulated in colon adenomas and downregulated upon β-catenin knockdown.\n\nMethods:\nTranscript profiling was performed on &gt;500 colon biopsies, methylation profiling data were compared with transcript data. Immunohistochemistry assessed KIAA1199 protein expression in 270 stage II/III tumours (&gt;3 years follow-up). The effects of stable KIAA1199 knockdown in SW480 cells (three different constructs) were studied using transcriptional profiling, proliferation and protein analysis.\n\nResults:\nThe KIAA1199 transcript was strongly upregulated in 95% of adenocarcinomas. Absent expression in normal mucosa correlated with KIAA1199 promotor methylation. Nuclear and cytoplasmic KIAA1199 protein expression was identified in colon adenocarcinomas and other types of cancers. A subpopulation of patients with tumours strongly expressing KIAA1199 in the nucleus showed a better outcome with regard to recurrence as lung or liver metastases. The KIAA1199 knockdown affected the cell cycle and the Wnt-signalling pathway. Reduced cellular proliferation and decreased KI67, phosphorylated retinoblastoma, β-catenin and ASCL2 protein expression supported these findings. Eighteen Wnt-signalling genes differentially expressed upon KIAA1199 knockdown correlated with the KIAA1199 expression profile in clinical specimens.\n\nConclusion:\nThe KIAA1199 knockdown attenuates the effects of the Wnt/β-catenin signalling and it may thus be regarded as a regulatory part of this pathway.","container-title":"British Journal of Cancer","DOI":"10.1038/bjc.2011.268","ISSN":"0007-0920","issue":"4","journalAbbreviation":"Br J Cancer","page":"552-561","PMID":"21772334","PMCID":"PMC3170968","source":"PubMed Central","title":"Repression of KIAA1199 attenuates Wnt-signalling and decreases the proliferation of colon cancer cells","URL":"https://pmc.ncbi.nlm.nih.gov/articles/PMC3170968/","volume":"105","author":[{"family":"Birkenkamp-Demtroder","given":"K"},{"family":"Maghnouj","given":"A"},{"family":"Mansilla","given":"F"},{"family":"Thorsen","given":"K"},{"family":"Andersen","given":"C L"},{"family":"Øster","given":"B"},{"family":"Hahn","given":"S"},{"family":"Ørntoft","given":"T F"}],"accessed":{"date-parts":[["2026",7,15]]},"issued":{"date-parts":[["2011",8,9]]}}},{"id":139,"uris":["http://zotero.org/users/local/sechomLT/items/3ATEL9YM"],"itemData":{"id":139,"type":"article-journal","abstract":"Background\nThe Wnt signaling pathway is a complex network of protein interactions that functions most commonly in embryonic development and cancer, but is also involved in normal physiological processes in adults. The canonical Wnt signaling pathway regulates cell pluripotency and determines the differentiation fate of cells during development. The canonical Wnt signaling pathway (also known as the Wnt/β-catenin signaling pathway) is a recognized driver of colon cancer and one of the most representative signaling pathways. As a functional effector molecule of Wnt signaling, the modification and degradation of β-catenin are key events in the Wnt signaling pathway and the development and progression of colon cancer. Therefore, the Wnt signaling pathway plays an important role in the pathogenesis of diseases, especially the pathogenesis of colorectal cancer (CRC).\n\nObjective\nInhibit the Wnt signaling pathway to explore the therapeutic targets of colorectal cancer.\n\nMethods\nBased on studying the Wnt pathway, master the biochemical processes related to the Wnt pathway, and analyze the relevant targets when drugs or inhibitors act on the Wnt pathway, to clarify the medication ideas of drugs or inhibitors for the treatment of diseases, especially colorectal cancer.\n\nResults\nWnt signaling pathways include: Wnt/β-catenin or canonical Wnt signaling pathway, planar cell polarity (Wnt-PCP) pathway and Wnt-Ca2+ signaling pathway. The Wnt signaling pathway is closely related to cancer cell proliferation, stemness, apoptosis, autophagy, metabolism, inflammation and immunization, microenvironment, resistance, ion channel, heterogeneity, EMT/migration/invasion/metastasis. Drugs/phytochemicals and molecular preparations for the Wnt pathway of CRC treatment have now been developed. Wnt inhibitors are also commonly used clinically for the treatment of CRC.\n\nConclusion\nThe development of drugs/phytochemicals and molecular inhibitors targeting the Wnt pathway can effectively treat colorectal cancer clinically.","container-title":"Molecular Cancer","DOI":"10.1186/s12943-022-01616-7","ISSN":"1476-4598","journalAbbreviation":"Mol Cancer","page":"144","PMID":"35836256","PMCID":"PMC9281132","source":"PubMed Central","title":"Wnt signaling in colorectal cancer: pathogenic role and therapeutic target","title-short":"Wnt signaling in colorectal cancer","URL":"https://pmc.ncbi.nlm.nih.gov/articles/PMC9281132/","volume":"21","author":[{"family":"Zhao","given":"Hui"},{"family":"Ming","given":"Tianqi"},{"family":"Tang","given":"Shun"},{"family":"Ren","given":"Shan"},{"family":"Yang","given":"Han"},{"family":"Liu","given":"Maolun"},{"family":"Tao","given":"Qiu"},{"family":"Xu","given":"Haibo"}],"accessed":{"date-parts":[["2026",7,15]]},"issued":{"date-parts":[["2022",7,14]]}}},{"id":179,"uris":["http://zotero.org/users/local/sechomLT/items/6FB4I3WB"],"itemData":{"id":179,"type":"article-journal","abstract":"Colorectal cancer (CRC) is the third most commonly diagnosed malignancy worldwide and remains a major public health issue. Therefore, further investigation is required to delineate the cellular and molecular mechanisms underlying colorectal tumorigenesis. Using CRC data taken from The Cancer Genome Atlas, we determined that the expression of otopetrin 2 (OTOP2) is highly correlated with malignancy grade and rate of patient survival. Here, we report that OTOP2 is down‐regulated in cancerous tissues and that elevated OTOP2 effectively suppresses tumor proliferation in vitro. We demonstrate that wild‐type p53 (wtp53), but not mutant p53 (mtp53), can regulate the transcription of otop2 in CRC cells. Subsequently, we investigate the chromatin architecture of the otop2 promoter, whereby we discover alterations in p53‐dependent DNA loop organization and CCCTC‐binding factor (CTCF) binding between cells with wtp53 and mtp53. In conclusion, our study promotes an in‐depth understanding of tumorigenesis, which may also lead to the development of therapeutic applications targeting human malignancy.","container-title":"FEBS Open Bio","DOI":"10.1002/2211-5463.12554","ISSN":"2211-5463","issue":"1","journalAbbreviation":"FEBS Open Bio","page":"26-34","PMID":"30652071","PMCID":"PMC6325572","source":"PubMed Central","title":"Wild‐type p53 regulates OTOP2 transcription through DNA loop alteration of the promoter in colorectal cancer","URL":"https://pmc.ncbi.nlm.nih.gov/articles/PMC6325572/","volume":"9","author":[{"family":"Qu","given":"Huajun"},{"family":"Su","given":"Yi"},{"family":"Yu","given":"Lianzhi"},{"family":"Zhao","given":"Hongchao"},{"family":"Xin","given":"Chunxia"}],"accessed":{"date-parts":[["2026",7,19]]},"issued":{"date-parts":[["2018",12,20]]}}},{"id":223,"uris":["http://zotero.org/users/local/sechomLT/items/JPLDDVL5"],"itemData":{"id":223,"type":"article-journal","abstract":"Colorectal cancer (CRC) is the most common malignant tumor of digestive system. The aim of this study was to identify gene signatures during CRC and uncover their potential mechanisms. The gene expression profiles of GSE21815 were downloaded from GEO database. The GSE21815 dataset contained 141 samples, including 132 CRC and 9 normal colon epitheliums. The gene ontology (GO) and Kyoto Encyclopedia of Genes and Genomes pathway (KEGG) enrichment analyses were performed, and protein–protein interaction (PPI) network of the differentially expressed genes (DEGs) was constructed by Cytoscape software. In total, 3500 DEGs were identified in CRC, including 1370 up-regulated genes and 2130 down-regulated genes. GO analysis results showed that up-regulated DEGs were significantly enriched in biological processes (BP), including cell cycle, cell division, and cell proliferation; the down-regulated DEGs were significantly enriched in biological processes, including immune response, intracellular signaling cascade and defense response. KEGG pathway analysis showed the up-regulated DEGs were enriched in cell cycle and DNA replication, while the down-regulated DEGs were enriched in drug metabolism, metabolism of xenobiotics by cytochrome P450, and retinol metabolism pathways. The top 10 hub genes, GNG2, AGT, SAA1, ADCY5, LPAR1, NMU, IL8, CXCL12, GNAI1, and CCR2 were identified from the PPI network, and sub-networks revealed these genes were involved in significant pathways, including G protein-coupled receptors signaling pathway, gastrin-CREB signaling pathway via PKC and MAPK, and extracellular matrix organization. In conclusion, the present study indicated that the identified DEGs and hub genes promote our understanding of the molecular mechanisms underlying the development of CRC, and might be used as molecular targets and diagnostic biomarkers for the treatment of CRC.","container-title":"Medical Oncology","DOI":"10.1007/s12032-016-0829-6","ISSN":"1559-131X","issue":"10","journalAbbreviation":"Med Oncol","language":"en","page":"111","source":"Springer Link","title":"Identification of key pathways and genes in colorectal cancer using bioinformatics analysis","URL":"https://doi.org/10.1007/s12032-016-0829-6","volume":"33","author":[{"family":"Liang","given":"Bin"},{"family":"Li","given":"Chunning"},{"family":"Zhao","given":"Jianying"}],"accessed":{"date-parts":[["2026",7,26]]},"issued":{"date-parts":[["2016",8,31]]}}},{"id":228,"uris":["http://zotero.org/users/local/sechomLT/items/RBTP8LWH"],"itemData":{"id":228,"type":"article-journal","abstract":"Colorectal cancer (CRC) ranks as one of the most common malignant tumors worldwide. Its mortality rate has remained high in recent years. Therefore, the aim of this study was to identify significant differentially expressed genes (DEGs) involved in its pathogenesis, which may be used as novel biomarkers or potential therapeutic targets for CRC. The gene expression profiles of GSE21510, GSE32323, GSE89076, and GSE113513 were downloaded from the Gene Expression Omnibus (GEO) database. After screening DEGs in each GEO data set, we further used the robust rank aggregation method to identify 494 significant DEGs including 212 upregulated and 282 downregulated genes. Gene Ontology (GO) and Kyoto Encyclopedia of Genes and Genomes (KEGG) pathway enrichment analyses were performed by DAVID and the KOBAS online database, respectively. These DEGs were shown to be significantly enriched in different cancer-related functions and pathways. Then, the STRING database was used to construct the protein–protein interaction network. The module analysis was performed by the MCODE plug-in of Cytoscape based on the whole network. We finally filtered out seven hub genes by the cytoHubba plug-in, including PPBP, CCL28, CXCL12, INSL5, CXCL3, CXCL10, and CXCL11. The expression validation and survival analysis of these hub genes were analyzed based on The Cancer Genome Atlas database. In conclusion, the robust DEGs associated with the carcinogenesis of CRC were screened through the GEO database, and integrated bioinformatics analysis was conducted. Our study provides reliable molecular biomarkers for screening and diagnosis, prognosis as well as novel therapeutic targets for CRC.","container-title":"Journal of Cellular Physiology","DOI":"10.1002/jcp.28163","ISSN":"1097-4652","issue":"9","language":"en","note":"_eprint: https://onlinelibrary.wiley.com/doi/pdf/10.1002/jcp.28163","page":"15215-15224","source":"Wiley Online Library","title":"Identification of differentially expressed genes and biological characteristics of colorectal cancer by integrated bioinformatics analysis","URL":"https://onlinelibrary.wiley.com/doi/abs/10.1002/jcp.28163","volume":"234","author":[{"family":"Sun","given":"Guangwei"},{"family":"Li","given":"Yalun"},{"family":"Peng","given":"Yangjie"},{"family":"Lu","given":"Dapeng"},{"family":"Zhang","given":"Fuqiang"},{"family":"Cui","given":"Xueyang"},{"family":"Zhang","given":"Qingyue"},{"family":"Li","given":"Zhuang"}],"accessed":{"date-parts":[["2026",7,26]]},"issued":{"date-parts":[["2019"]]}}}],"schema":"https://github.com/citation-style-language/schema/raw/master/csl-citation.json"} </w:instrText>
      </w:r>
      <w:r w:rsidR="00156CF0">
        <w:fldChar w:fldCharType="separate"/>
      </w:r>
      <w:r w:rsidR="00991CA6" w:rsidRPr="00991CA6">
        <w:rPr>
          <w:rFonts w:ascii="Calibri" w:hAnsi="Calibri" w:cs="Calibri"/>
        </w:rPr>
        <w:t>(3,6,8–10,13,14,22,36,41,47,51,52)</w:t>
      </w:r>
      <w:r w:rsidR="00156CF0">
        <w:fldChar w:fldCharType="end"/>
      </w:r>
      <w:r w:rsidRPr="00C46D86">
        <w:t xml:space="preserve">. La exclusión de estos </w:t>
      </w:r>
      <w:r w:rsidR="00D21C07">
        <w:t>biomarcadores</w:t>
      </w:r>
      <w:r w:rsidRPr="00C46D86">
        <w:t xml:space="preserve"> no implica una falta de relevancia biológica, sino que responde al comportamiento heterogéneo de su expresión en l</w:t>
      </w:r>
      <w:r w:rsidR="00D21C07">
        <w:t>o</w:t>
      </w:r>
      <w:r w:rsidRPr="00C46D86">
        <w:t>s distint</w:t>
      </w:r>
      <w:r w:rsidR="00D21C07">
        <w:t>os datasets</w:t>
      </w:r>
      <w:r w:rsidRPr="00C46D86">
        <w:t xml:space="preserve">. </w:t>
      </w:r>
      <w:r w:rsidRPr="002B16E2">
        <w:t xml:space="preserve">En el caso de genes como TP53 o KRAS, su papel patogénico </w:t>
      </w:r>
      <w:r w:rsidR="00D21C07" w:rsidRPr="002B16E2">
        <w:t xml:space="preserve">se manifiesta a través de mutaciones somáticas puntuales que no siempre </w:t>
      </w:r>
      <w:r w:rsidRPr="002B16E2">
        <w:t>se traducen en cambios transcriptómicos homogéneos o de gran magnitud en todas las cohortes</w:t>
      </w:r>
      <w:r w:rsidR="002B16E2">
        <w:fldChar w:fldCharType="begin"/>
      </w:r>
      <w:r w:rsidR="00991CA6">
        <w:instrText xml:space="preserve"> ADDIN ZOTERO_ITEM CSL_CITATION {"citationID":"6xrwleeN","properties":{"unsorted":false,"formattedCitation":"(8\\uc0\\u8211{}10,13,22,47,51)","plainCitation":"(8–10,13,22,47,51)","noteIndex":0},"citationItems":[{"id":223,"uris":["http://zotero.org/users/local/sechomLT/items/JPLDDVL5"],"itemData":{"id":223,"type":"article-journal","abstract":"Colorectal cancer (CRC) is the most common malignant tumor of digestive system. The aim of this study was to identify gene signatures during CRC and uncover their potential mechanisms. The gene expression profiles of GSE21815 were downloaded from GEO database. The GSE21815 dataset contained 141 samples, including 132 CRC and 9 normal colon epitheliums. The gene ontology (GO) and Kyoto Encyclopedia of Genes and Genomes pathway (KEGG) enrichment analyses were performed, and protein–protein interaction (PPI) network of the differentially expressed genes (DEGs) was constructed by Cytoscape software. In total, 3500 DEGs were identified in CRC, including 1370 up-regulated genes and 2130 down-regulated genes. GO analysis results showed that up-regulated DEGs were significantly enriched in biological processes (BP), including cell cycle, cell division, and cell proliferation; the down-regulated DEGs were significantly enriched in biological processes, including immune response, intracellular signaling cascade and defense response. KEGG pathway analysis showed the up-regulated DEGs were enriched in cell cycle and DNA replication, while the down-regulated DEGs were enriched in drug metabolism, metabolism of xenobiotics by cytochrome P450, and retinol metabolism pathways. The top 10 hub genes, GNG2, AGT, SAA1, ADCY5, LPAR1, NMU, IL8, CXCL12, GNAI1, and CCR2 were identified from the PPI network, and sub-networks revealed these genes were involved in significant pathways, including G protein-coupled receptors signaling pathway, gastrin-CREB signaling pathway via PKC and MAPK, and extracellular matrix organization. In conclusion, the present study indicated that the identified DEGs and hub genes promote our understanding of the molecular mechanisms underlying the development of CRC, and might be used as molecular targets and diagnostic biomarkers for the treatment of CRC.","container-title":"Medical Oncology","DOI":"10.1007/s12032-016-0829-6","ISSN":"1559-131X","issue":"10","journalAbbreviation":"Med Oncol","language":"en","page":"111","source":"Springer Link","title":"Identification of key pathways and genes in colorectal cancer using bioinformatics analysis","URL":"https://doi.org/10.1007/s12032-016-0829-6","volume":"33","author":[{"family":"Liang","given":"Bin"},{"family":"Li","given":"Chunning"},{"family":"Zhao","given":"Jianying"}],"accessed":{"date-parts":[["2026",7,26]]},"issued":{"date-parts":[["2016",8,31]]}}},{"id":231,"uris":["http://zotero.org/users/local/sechomLT/items/SX3EXBZZ"],"itemData":{"id":231,"type":"article-journal","abstract":"Colorectal cancer is driven by complex genetic and molecular alterations, necessitating reliable targets for diagnosis and therapy. Single-omics studies offer limited insight. We performed a systematic in silico multi-omics integration using four public databases: GEO (differential expression), cBioPortal (genomic alterations), DisGeNET (gene–disease associations), and GeneCards (annotated/predicted CRC genes). Genes identified in ≥ 2 independent sources were curated into a high-confidence panel comprising 996 CRC-associated genes. Functional enrichment analysis of this panel revealed significant over-representation of pathways critical to CRC pathogenesis, including cell cycle regulation, apoptosis, DNA repair, and canonical signalling cascades (Wnt, MAPK, PI3K–AKT). PPI network analysis in Cytoscape using the Maximal Clique Centrality algorithm identified ten high-centrality hub genes: AKT1, STAT3, TP53, CTNNB1, BCL2, MYC, CCND1, PTEN, ESR1, and JUN. Eight of these are established CRC drivers, confirming the credibility of the approach, whereas ESR1 and JUN emerged as potentially under-investigated candidates. Hub gene relevance was independently confirmed via cBioPortal (alterations and correlations), TCGA/GEPIA2 (tumour–normal and stage-specific expression), the Human Protein Atlas (protein abundance), and TIMER2.0 (immune infiltration). This in silico multi-omics research work prioritises high-confidence therapeutic targets in CRC using publicly available data and nominates ESR1 and JUN for further investigation, while highlighting the need for experimental validation. The framework demonstrates the power of cross-platform evidence for biomarker discovery in complex diseases and is readily adaptable to other malignancies.","container-title":"Network Modeling Analysis in Health Informatics and Bioinformatics","DOI":"10.1007/s13721-025-00696-x","ISSN":"2192-6670","issue":"1","journalAbbreviation":"Netw Model Anal Health Inform Bioinforma","language":"en","page":"10","source":"Springer Link","title":"Multi-omics integration and network analysis identify therapeutic hub genes in colorectal cancer","URL":"https://doi.org/10.1007/s13721-025-00696-x","volume":"15","author":[{"family":"Mathew","given":"Emi"},{"family":"Thomas","given":"Philip Litto"},{"family":"Mathew","given":"Linu"}],"accessed":{"date-parts":[["2026",7,26]]},"issued":{"date-parts":[["2025",12,19]]}}},{"id":85,"uris":["http://zotero.org/users/local/sechomLT/items/SAPVJ6JV"],"itemData":{"id":85,"type":"article-journal","abstract":"Colon cancer is one of the most common cancers in the world. To identify the candidate genes in the carcinogenesis and progression of colon cancer, the microarray datasets GSE10950, GSE44861 and GSE74602 were downloaded from the Gene Expression Omnibus (GEO) database. The differentially expressed genes (DEGs) were identified, and functional enrichment analyses were performed. A total of 176 DEGs were identified, consisting of 55 genes upregulated and 121 genes downregulated in colon cancer tissues compared to non-cancerous tissues. The DEGs were mainly enriched in mineral absorption, nitrogen metabolism and complement and coagulation cascades. By using STRING database analysis, we constructed a coexpression network composed of 140 nodes and 280 edges for the DEGs with a combined score &gt;0.4 and a significant interaction relation. Thirteen hub genes were identified, and poor OS of patients was only associated with high expression of Matrix Metallopeptidase 7 (MMP7), which may be involved in the carcinogenesis, invasion or recurrence of colon cancer. In conclusion, we propose that the DEGs and hub genes identified in the present study may be regarded as diagnostic biomarkers for colon cancer. Moreover, the overexpression of MMP7 may correlate with poor prognosis.","container-title":"Medicine","DOI":"10.1097/MD.0000000000024953","ISSN":"0025-7974","issue":"9","journalAbbreviation":"Medicine (Baltimore)","page":"e24953","PMID":"33655961","PMCID":"PMC7939218","source":"PubMed Central","title":"MMP7 as a potential biomarker of colon cancer and its prognostic value by bioinformatics analysis","URL":"https://pmc.ncbi.nlm.nih.gov/articles/PMC7939218/","volume":"100","author":[{"family":"Chen","given":"Li"},{"family":"Ke","given":"Xueying"}],"accessed":{"date-parts":[["2026",7,14]]},"issued":{"date-parts":[["2021",3,5]]}}},{"id":179,"uris":["http://zotero.org/users/local/sechomLT/items/6FB4I3WB"],"itemData":{"id":179,"type":"article-journal","abstract":"Colorectal cancer (CRC) is the third most commonly diagnosed malignancy worldwide and remains a major public health issue. Therefore, further investigation is required to delineate the cellular and molecular mechanisms underlying colorectal tumorigenesis. Using CRC data taken from The Cancer Genome Atlas, we determined that the expression of otopetrin 2 (OTOP2) is highly correlated with malignancy grade and rate of patient survival. Here, we report that OTOP2 is down‐regulated in cancerous tissues and that elevated OTOP2 effectively suppresses tumor proliferation in vitro. We demonstrate that wild‐type p53 (wtp53), but not mutant p53 (mtp53), can regulate the transcription of otop2 in CRC cells. Subsequently, we investigate the chromatin architecture of the otop2 promoter, whereby we discover alterations in p53‐dependent DNA loop organization and CCCTC‐binding factor (CTCF) binding between cells with wtp53 and mtp53. In conclusion, our study promotes an in‐depth understanding of tumorigenesis, which may also lead to the development of therapeutic applications targeting human malignancy.","container-title":"FEBS Open Bio","DOI":"10.1002/2211-5463.12554","ISSN":"2211-5463","issue":"1","journalAbbreviation":"FEBS Open Bio","page":"26-34","PMID":"30652071","PMCID":"PMC6325572","source":"PubMed Central","title":"Wild‐type p53 regulates OTOP2 transcription through DNA loop alteration of the promoter in colorectal cancer","URL":"https://pmc.ncbi.nlm.nih.gov/articles/PMC6325572/","volume":"9","author":[{"family":"Qu","given":"Huajun"},{"family":"Su","given":"Yi"},{"family":"Yu","given":"Lianzhi"},{"family":"Zhao","given":"Hongchao"},{"family":"Xin","given":"Chunxia"}],"accessed":{"date-parts":[["2026",7,19]]},"issued":{"date-parts":[["2018",12,20]]}}},{"id":219,"uris":["http://zotero.org/users/local/sechomLT/items/Q3YBI9XD"],"itemData":{"id":219,"type":"article-journal","abstract":"Colorectal cancer (CRC) is a frequently lethal disease with heterogeneous outcomes and drug responses. To resolve inconsistencies among the reported gene expression–based CRC classifications and facilitate clinical translation, we formed an international consortium dedicated to large-scale data sharing and analytics across expert groups. We show marked interconnectivity between six independent classification systems coalescing into four consensus molecular subtypes (CMS) with distinguishing features: CMS1 (MSI Immune, 14%), hypermutated, microsatellite unstable, strong immune activation; CMS2 (Canonical, 37%), epithelial, chromosomally unstable, marked WNT and MYC signaling activation; CMS3 (Metabolic, 13%), epithelial, evident metabolic dysregulation; and CMS4 (Mesenchymal, 23%), prominent transforming growth factor β activation, stromal invasion, and angiogenesis. Samples with mixed features (13%) possibly represent a transition phenotype or intra-tumoral heterogeneity. We consider the CMS groups the most robust classification system currently available for CRC – with clear biological interpretability – and the basis for future clinical stratification and subtype–based targeted interventions.","container-title":"Nature medicine","DOI":"10.1038/nm.3967","ISSN":"1078-8956","issue":"11","journalAbbreviation":"Nat Med","page":"1350-1356","PMID":"26457759","PMCID":"PMC4636487","source":"PubMed Central","title":"The Consensus Molecular Subtypes of Colorectal Cancer","URL":"https://pmc.ncbi.nlm.nih.gov/articles/PMC4636487/","volume":"21","author":[{"family":"Guinney","given":"Justin"},{"family":"Dienstmann","given":"Rodrigo"},{"family":"Wang","given":"Xin"},{"family":"Reyniès","given":"Aurélien","non-dropping-particle":"de"},{"family":"Schlicker","given":"Andreas"},{"family":"Soneson","given":"Charlotte"},{"family":"Marisa","given":"Laetitia"},{"family":"Roepman","given":"Paul"},{"family":"Nyamundanda","given":"Gift"},{"family":"Angelino","given":"Paolo"},{"family":"Bot","given":"Brian M."},{"family":"Morris","given":"Jeffrey S."},{"family":"Simon","given":"Iris M."},{"family":"Gerster","given":"Sarah"},{"family":"Fessler","given":"Evelyn"},{"family":"Sousa e Melo","given":"Felipe","non-dropping-particle":"de"},{"family":"Missiaglia","given":"Edoardo"},{"family":"Ramay","given":"Hena"},{"family":"Barras","given":"David"},{"family":"Homicsko","given":"Krisztian"},{"family":"Maru","given":"Dipen"},{"family":"Manyam","given":"Ganiraju C."},{"family":"Broom","given":"Bradley"},{"family":"Boige","given":"Valerie"},{"family":"Perez-Villamil","given":"Beatriz"},{"family":"Laderas","given":"Ted"},{"family":"Salazar","given":"Ramon"},{"family":"Gray","given":"Joe W."},{"family":"Hanahan","given":"Douglas"},{"family":"Tabernero","given":"Josep"},{"family":"Bernards","given":"Rene"},{"family":"Friend","given":"Stephen H."},{"family":"Laurent-Puig","given":"Pierre"},{"family":"Medema","given":"Jan Paul"},{"family":"Sadanandam","given":"Anguraj"},{"family":"Wessels","given":"Lodewyk"},{"family":"Delorenzi","given":"Mauro"},{"family":"Kopetz","given":"Scott"},{"family":"Vermeulen","given":"Louis"},{"family":"Tejpar","given":"Sabine"}],"accessed":{"date-parts":[["2026",7,26]]},"issued":{"date-parts":[["2015",11]]}}},{"id":185,"uris":["http://zotero.org/users/local/sechomLT/items/3LBCITJV"],"itemData":{"id":185,"type":"article-journal","abstract":"Colorectal cancer (CRC) is a heterogeneous disease resulting from the combined influence of many genetic factors. This complexity has caused the molecular characterization of CRC to remain uncharacterized, with a lack of clear gene markers associated with CRC and the prognosis of this disease. Thus, highly sensitive tumor markers for the detection of CRC are the most essential determinants of survival. In this study, we examined the simultaneous downregulation of the mRNA levels of six metallothionein (MT) genes in CRC cell lines and public CRC datasets for the first time. In addition, we detected downregulation of these six MT mRNAs’ levels in 30 pairs of tumor (T) and adjacent non-tumor (N) CRC specimens. In order to understand the potential prognostic relevance of these six MT genes and CRC, we presented a four-gene signature to evaluate the prognosis of CRC patients. Further discovery suggested that the four-gene signature (MT1F, MT1G, MT1L, and MT1X) predicted survival better than any combination of two-, three-, four-, five-, or six-gene models. In conclusion, this study is the first to report that simultaneous downregulation of six MT mRNAs’ levels in CRC patients, and their aberrant expression together, accurately predicted CRC patients’ outcomes.","container-title":"International Journal of Molecular Sciences","DOI":"10.3390/ijms20163849","ISSN":"1422-0067","issue":"16","journalAbbreviation":"Int J Mol Sci","page":"3849","PMID":"31394742","PMCID":"PMC6721156","source":"PubMed Central","title":"The Expression Profile and Prognostic Significance of Metallothionein Genes in Colorectal Cancer","URL":"https://pmc.ncbi.nlm.nih.gov/articles/PMC6721156/","volume":"20","author":[{"family":"Hung","given":"Kuo-Chen"},{"family":"Huang","given":"Tsui-Chin"},{"family":"Cheng","given":"Chia-Hsiung"},{"family":"Cheng","given":"Ya-Wen"},{"family":"Lin","given":"Ding-Yen"},{"family":"Fan","given":"Jhen-Jia"},{"family":"Lee","given":"Kuen-Haur"}],"accessed":{"date-parts":[["2026",7,19]]},"issued":{"date-parts":[["2019",8,7]]}}},{"id":207,"uris":["http://zotero.org/users/local/sechomLT/items/6FIITV8S"],"itemData":{"id":207,"type":"article-journal","abstract":"Background\nColorectal cancer (CRC) is a common malignant tumor with high incidence and mortality worldwide. The aim of this study was to evaluate the association between differentially expressed genes (DEGs), which may function as biomarkers for CRC prognosis and therapies, and the clinical outcome in patients with CRC.\n\nMaterial/Methods\nA total of 116 normal mucous tissue and 930 CRC tissue datasets were downloaded from the Gene Expression Omnibus database (GEO) and The Cancer Genome Atlas (TCGA). After screening DEGs based on limma package in R. Gene Ontology (GO) and KEGG enrichment analysis as well as the protein-protein interaction (PPI) networks were performed to predict the function of these DEGs. Meanwhile, Cox proportional hazards regression was used to build a prognostic model of these DEGs. Then, Kaplan-Meier risk analysis was used to test the model in TCGA datasets and validation datasets.\n\nResults\nIn the present study, 300 DEGs with 100 upregulated genes and 200 downregulated genes were identified. The PPI networks including 162 DEGs and 256 nodes were constructed and 2 modules with high degree were selected. Moreover, 5 genes (MMP1, ACSL6, SMPD1, PPARGC1A, and HEPACAM2) were identified using the Cox proportional hazards stepwise regression. Kaplan-Meier risk curve in the TCGA and validation cohorts showed that high-risk group had significantly poor overall survival than the low-risk group.\n\nConclusions\nOur study provided insights into the mechanisms of CRC formation and found 5 prognostic genes, which could potentially inform further studies and clinical therapies.","container-title":"Medical Science Monitor : International Medical Journal of Experimental and Clinical Research","DOI":"10.12659/MSM.907224","ISSN":"1234-1010","journalAbbreviation":"Med Sci Monit","page":"4625-4633","PMID":"29973580","PMCID":"PMC6065283","source":"PubMed Central","title":"Identification of Critical Genes and Five Prognostic Biomarkers Associated with Colorectal Cancer","URL":"https://pmc.ncbi.nlm.nih.gov/articles/PMC6065283/","volume":"24","author":[{"family":"Huang","given":"Zuoliang"},{"family":"Yang","given":"Qin"},{"family":"Huang","given":"Zezhi"}],"accessed":{"date-parts":[["2026",7,22]]},"issued":{"date-parts":[["2018",7,5]]}}}],"schema":"https://github.com/citation-style-language/schema/raw/master/csl-citation.json"} </w:instrText>
      </w:r>
      <w:r w:rsidR="002B16E2">
        <w:fldChar w:fldCharType="separate"/>
      </w:r>
      <w:r w:rsidR="00991CA6" w:rsidRPr="00991CA6">
        <w:rPr>
          <w:rFonts w:ascii="Calibri" w:hAnsi="Calibri" w:cs="Calibri"/>
        </w:rPr>
        <w:t>(8–10,13,22,47,51)</w:t>
      </w:r>
      <w:r w:rsidR="002B16E2">
        <w:fldChar w:fldCharType="end"/>
      </w:r>
      <w:r w:rsidRPr="002B16E2">
        <w:t xml:space="preserve">. </w:t>
      </w:r>
      <w:r w:rsidR="00156CF0" w:rsidRPr="002B16E2">
        <w:t>Por su parte, factores como CXCL12, NMU o LPAR1 presentan una marcada variabilidad asociada al grado de infiltración estromal o a las características clínicas específicas del tejido en cada estudio</w:t>
      </w:r>
      <w:r w:rsidR="00E62CEB">
        <w:fldChar w:fldCharType="begin"/>
      </w:r>
      <w:r w:rsidR="00991CA6">
        <w:instrText xml:space="preserve"> ADDIN ZOTERO_ITEM CSL_CITATION {"citationID":"ugRkpkdF","properties":{"unsorted":false,"formattedCitation":"(9,36,51,52)","plainCitation":"(9,36,51,52)","noteIndex":0},"citationItems":[{"id":102,"uris":["http://zotero.org/users/local/sechomLT/items/BAZ7QHFE"],"itemData":{"id":102,"type":"article-journal","abstract":"Tumor microenvironments have a crucial role in cancer initiation and progression, and share many molecular and pathological features with wound healing process. Unless treated, tumors, however, do not heal in contrast to wounds that heal within a limited time framework. Wounds heal in coordination of a myriad of types of cells, particularly endothelial cells, leukocytes, and fibroblasts. Similar sets of cells also contribute to cancer initiation and progression, and as a consequence, anti-cancer treatment strategies have been proposed and tested by targeting endothelial cells and/or leukocytes. Compared with endothelial cells and leukocytes, less attention has been paid to the roles of cancer-associated fibroblasts (CAFs), fibroblasts present in tumor tissues, because their heterogeneity hinders the elucidation on them at cellular and molecular levels. Here, we will discuss the origin of CAFs and their crucial roles in cancer initiation and progression, and the possibility to develop a novel type of anti-cancer treatment by manipulating the migration and functions of CAFs.","container-title":"World Journal of Gastroenterology","DOI":"10.3748/wjg.v22.i23.5301","ISSN":"1007-9327","issue":"23","journalAbbreviation":"World J Gastroenterol","page":"5301-5316","PMID":"27340347","PMCID":"PMC4910652","source":"PubMed Central","title":"Fibroblasts, an inconspicuous but essential player in colon cancer development and progression","URL":"https://pmc.ncbi.nlm.nih.gov/articles/PMC4910652/","volume":"22","author":[{"family":"Mukaida","given":"Naofumi"},{"family":"Sasaki","given":"Soichiro"}],"accessed":{"date-parts":[["2026",7,14]]},"issued":{"date-parts":[["2016",6,21]]}}},{"id":223,"uris":["http://zotero.org/users/local/sechomLT/items/JPLDDVL5"],"itemData":{"id":223,"type":"article-journal","abstract":"Colorectal cancer (CRC) is the most common malignant tumor of digestive system. The aim of this study was to identify gene signatures during CRC and uncover their potential mechanisms. The gene expression profiles of GSE21815 were downloaded from GEO database. The GSE21815 dataset contained 141 samples, including 132 CRC and 9 normal colon epitheliums. The gene ontology (GO) and Kyoto Encyclopedia of Genes and Genomes pathway (KEGG) enrichment analyses were performed, and protein–protein interaction (PPI) network of the differentially expressed genes (DEGs) was constructed by Cytoscape software. In total, 3500 DEGs were identified in CRC, including 1370 up-regulated genes and 2130 down-regulated genes. GO analysis results showed that up-regulated DEGs were significantly enriched in biological processes (BP), including cell cycle, cell division, and cell proliferation; the down-regulated DEGs were significantly enriched in biological processes, including immune response, intracellular signaling cascade and defense response. KEGG pathway analysis showed the up-regulated DEGs were enriched in cell cycle and DNA replication, while the down-regulated DEGs were enriched in drug metabolism, metabolism of xenobiotics by cytochrome P450, and retinol metabolism pathways. The top 10 hub genes, GNG2, AGT, SAA1, ADCY5, LPAR1, NMU, IL8, CXCL12, GNAI1, and CCR2 were identified from the PPI network, and sub-networks revealed these genes were involved in significant pathways, including G protein-coupled receptors signaling pathway, gastrin-CREB signaling pathway via PKC and MAPK, and extracellular matrix organization. In conclusion, the present study indicated that the identified DEGs and hub genes promote our understanding of the molecular mechanisms underlying the development of CRC, and might be used as molecular targets and diagnostic biomarkers for the treatment of CRC.","container-title":"Medical Oncology","DOI":"10.1007/s12032-016-0829-6","ISSN":"1559-131X","issue":"10","journalAbbreviation":"Med Oncol","language":"en","page":"111","source":"Springer Link","title":"Identification of key pathways and genes in colorectal cancer using bioinformatics analysis","URL":"https://doi.org/10.1007/s12032-016-0829-6","volume":"33","author":[{"family":"Liang","given":"Bin"},{"family":"Li","given":"Chunning"},{"family":"Zhao","given":"Jianying"}],"accessed":{"date-parts":[["2026",7,26]]},"issued":{"date-parts":[["2016",8,31]]}}},{"id":228,"uris":["http://zotero.org/users/local/sechomLT/items/RBTP8LWH"],"itemData":{"id":228,"type":"article-journal","abstract":"Colorectal cancer (CRC) ranks as one of the most common malignant tumors worldwide. Its mortality rate has remained high in recent years. Therefore, the aim of this study was to identify significant differentially expressed genes (DEGs) involved in its pathogenesis, which may be used as novel biomarkers or potential therapeutic targets for CRC. The gene expression profiles of GSE21510, GSE32323, GSE89076, and GSE113513 were downloaded from the Gene Expression Omnibus (GEO) database. After screening DEGs in each GEO data set, we further used the robust rank aggregation method to identify 494 significant DEGs including 212 upregulated and 282 downregulated genes. Gene Ontology (GO) and Kyoto Encyclopedia of Genes and Genomes (KEGG) pathway enrichment analyses were performed by DAVID and the KOBAS online database, respectively. These DEGs were shown to be significantly enriched in different cancer-related functions and pathways. Then, the STRING database was used to construct the protein–protein interaction network. The module analysis was performed by the MCODE plug-in of Cytoscape based on the whole network. We finally filtered out seven hub genes by the cytoHubba plug-in, including PPBP, CCL28, CXCL12, INSL5, CXCL3, CXCL10, and CXCL11. The expression validation and survival analysis of these hub genes were analyzed based on The Cancer Genome Atlas database. In conclusion, the robust DEGs associated with the carcinogenesis of CRC were screened through the GEO database, and integrated bioinformatics analysis was conducted. Our study provides reliable molecular biomarkers for screening and diagnosis, prognosis as well as novel therapeutic targets for CRC.","container-title":"Journal of Cellular Physiology","DOI":"10.1002/jcp.28163","ISSN":"1097-4652","issue":"9","language":"en","note":"_eprint: https://onlinelibrary.wiley.com/doi/pdf/10.1002/jcp.28163","page":"15215-15224","source":"Wiley Online Library","title":"Identification of differentially expressed genes and biological characteristics of colorectal cancer by integrated bioinformatics analysis","URL":"https://onlinelibrary.wiley.com/doi/abs/10.1002/jcp.28163","volume":"234","author":[{"family":"Sun","given":"Guangwei"},{"family":"Li","given":"Yalun"},{"family":"Peng","given":"Yangjie"},{"family":"Lu","given":"Dapeng"},{"family":"Zhang","given":"Fuqiang"},{"family":"Cui","given":"Xueyang"},{"family":"Zhang","given":"Qingyue"},{"family":"Li","given":"Zhuang"}],"accessed":{"date-parts":[["2026",7,26]]},"issued":{"date-parts":[["2019"]]}}},{"id":219,"uris":["http://zotero.org/users/local/sechomLT/items/Q3YBI9XD"],"itemData":{"id":219,"type":"article-journal","abstract":"Colorectal cancer (CRC) is a frequently lethal disease with heterogeneous outcomes and drug responses. To resolve inconsistencies among the reported gene expression–based CRC classifications and facilitate clinical translation, we formed an international consortium dedicated to large-scale data sharing and analytics across expert groups. We show marked interconnectivity between six independent classification systems coalescing into four consensus molecular subtypes (CMS) with distinguishing features: CMS1 (MSI Immune, 14%), hypermutated, microsatellite unstable, strong immune activation; CMS2 (Canonical, 37%), epithelial, chromosomally unstable, marked WNT and MYC signaling activation; CMS3 (Metabolic, 13%), epithelial, evident metabolic dysregulation; and CMS4 (Mesenchymal, 23%), prominent transforming growth factor β activation, stromal invasion, and angiogenesis. Samples with mixed features (13%) possibly represent a transition phenotype or intra-tumoral heterogeneity. We consider the CMS groups the most robust classification system currently available for CRC – with clear biological interpretability – and the basis for future clinical stratification and subtype–based targeted interventions.","container-title":"Nature medicine","DOI":"10.1038/nm.3967","ISSN":"1078-8956","issue":"11","journalAbbreviation":"Nat Med","page":"1350-1356","PMID":"26457759","PMCID":"PMC4636487","source":"PubMed Central","title":"The Consensus Molecular Subtypes of Colorectal Cancer","URL":"https://pmc.ncbi.nlm.nih.gov/articles/PMC4636487/","volume":"21","author":[{"family":"Guinney","given":"Justin"},{"family":"Dienstmann","given":"Rodrigo"},{"family":"Wang","given":"Xin"},{"family":"Reyniès","given":"Aurélien","non-dropping-particle":"de"},{"family":"Schlicker","given":"Andreas"},{"family":"Soneson","given":"Charlotte"},{"family":"Marisa","given":"Laetitia"},{"family":"Roepman","given":"Paul"},{"family":"Nyamundanda","given":"Gift"},{"family":"Angelino","given":"Paolo"},{"family":"Bot","given":"Brian M."},{"family":"Morris","given":"Jeffrey S."},{"family":"Simon","given":"Iris M."},{"family":"Gerster","given":"Sarah"},{"family":"Fessler","given":"Evelyn"},{"family":"Sousa e Melo","given":"Felipe","non-dropping-particle":"de"},{"family":"Missiaglia","given":"Edoardo"},{"family":"Ramay","given":"Hena"},{"family":"Barras","given":"David"},{"family":"Homicsko","given":"Krisztian"},{"family":"Maru","given":"Dipen"},{"family":"Manyam","given":"Ganiraju C."},{"family":"Broom","given":"Bradley"},{"family":"Boige","given":"Valerie"},{"family":"Perez-Villamil","given":"Beatriz"},{"family":"Laderas","given":"Ted"},{"family":"Salazar","given":"Ramon"},{"family":"Gray","given":"Joe W."},{"family":"Hanahan","given":"Douglas"},{"family":"Tabernero","given":"Josep"},{"family":"Bernards","given":"Rene"},{"family":"Friend","given":"Stephen H."},{"family":"Laurent-Puig","given":"Pierre"},{"family":"Medema","given":"Jan Paul"},{"family":"Sadanandam","given":"Anguraj"},{"family":"Wessels","given":"Lodewyk"},{"family":"Delorenzi","given":"Mauro"},{"family":"Kopetz","given":"Scott"},{"family":"Vermeulen","given":"Louis"},{"family":"Tejpar","given":"Sabine"}],"accessed":{"date-parts":[["2026",7,26]]},"issued":{"date-parts":[["2015",11]]}}}],"schema":"https://github.com/citation-style-language/schema/raw/master/csl-citation.json"} </w:instrText>
      </w:r>
      <w:r w:rsidR="00E62CEB">
        <w:fldChar w:fldCharType="separate"/>
      </w:r>
      <w:r w:rsidR="00991CA6" w:rsidRPr="00991CA6">
        <w:rPr>
          <w:rFonts w:ascii="Calibri" w:hAnsi="Calibri" w:cs="Calibri"/>
        </w:rPr>
        <w:t>(9,36,51,52)</w:t>
      </w:r>
      <w:r w:rsidR="00E62CEB">
        <w:fldChar w:fldCharType="end"/>
      </w:r>
      <w:r w:rsidR="00156CF0" w:rsidRPr="002B16E2">
        <w:t>.</w:t>
      </w:r>
      <w:r w:rsidR="00D21C07" w:rsidRPr="002B16E2">
        <w:t xml:space="preserve"> </w:t>
      </w:r>
      <w:r w:rsidR="00156CF0" w:rsidRPr="002B16E2">
        <w:t>Como se aborda a continuación, esta pérdida de sensibilidad en genes concretos constituye el coste asumido para asegurar la máxima especificidad en la firma consenso final.</w:t>
      </w:r>
    </w:p>
    <w:p w14:paraId="188245A6" w14:textId="6B489784" w:rsidR="00C46D86" w:rsidRDefault="00D05E47" w:rsidP="00C46D86">
      <w:r w:rsidRPr="00D05E47">
        <w:lastRenderedPageBreak/>
        <w:t xml:space="preserve">Dicha variabilidad en la detección de marcadores canónicos se explica por la marcada heterogeneidad </w:t>
      </w:r>
      <w:proofErr w:type="spellStart"/>
      <w:r w:rsidRPr="00D05E47">
        <w:t>intercohorte</w:t>
      </w:r>
      <w:proofErr w:type="spellEnd"/>
      <w:r w:rsidRPr="00D05E47">
        <w:t xml:space="preserve"> que revelan los diagramas de intersección tipo </w:t>
      </w:r>
      <w:proofErr w:type="spellStart"/>
      <w:r w:rsidRPr="00D05E47">
        <w:t>UpSet</w:t>
      </w:r>
      <w:proofErr w:type="spellEnd"/>
      <w:r>
        <w:t xml:space="preserve"> (</w:t>
      </w:r>
      <w:r w:rsidRPr="00481F58">
        <w:t>Figura 11 y 12</w:t>
      </w:r>
      <w:r>
        <w:t>)</w:t>
      </w:r>
      <w:r w:rsidRPr="00D05E47">
        <w:t>. Aunque l</w:t>
      </w:r>
      <w:r>
        <w:t>a</w:t>
      </w:r>
      <w:r w:rsidRPr="00D05E47">
        <w:t xml:space="preserve">s seis series comparten un núcleo común de 325 genes, cada </w:t>
      </w:r>
      <w:r>
        <w:t>dataset</w:t>
      </w:r>
      <w:r w:rsidRPr="00D05E47">
        <w:t xml:space="preserve"> aporta un volumen considerable de </w:t>
      </w:r>
      <w:r>
        <w:t>genes</w:t>
      </w:r>
      <w:r w:rsidRPr="00D05E47">
        <w:t xml:space="preserve"> alterados de forma exclusiva. Esta dispersión </w:t>
      </w:r>
      <w:r>
        <w:t>se puede observar con claridad</w:t>
      </w:r>
      <w:r w:rsidRPr="00D05E47">
        <w:t xml:space="preserve"> en la cohorte masiva TCGA-COAD, que registra 1856 genes sobreexpresados y 777 subexpresados únicos, así como en la serie GSE156451 con 818 y 972 </w:t>
      </w:r>
      <w:r>
        <w:t>DEGs</w:t>
      </w:r>
      <w:r w:rsidRPr="00D05E47">
        <w:t xml:space="preserve"> en cada dirección respectivamente. Esta disparidad </w:t>
      </w:r>
      <w:r w:rsidRPr="00C46D86">
        <w:t xml:space="preserve">refleja diferencias técnicas y metodológicas inherentes a las fuentes de datos, incluyendo la escala muestral (desde N=10 en GSE164541 hasta N=514 en TCGA-COAD), las plataformas de secuenciación y la diversidad en las muestras biológicas. </w:t>
      </w:r>
    </w:p>
    <w:p w14:paraId="75BC20B0" w14:textId="71BE9AAF" w:rsidR="0095562A" w:rsidRPr="00E44A1B" w:rsidRDefault="003B057C" w:rsidP="00E44A1B">
      <w:r w:rsidRPr="00D57C89">
        <w:t xml:space="preserve">En este escenario de alta variabilidad, los resultados justifican la decisión metodológica de aplicar una intersección estricta frente a la alternativa de fusionar las matrices de conteos. La </w:t>
      </w:r>
      <w:r w:rsidRPr="003B057C">
        <w:t xml:space="preserve">integración de datos procedentes de fuentes tan dispares habría requerido correcciones </w:t>
      </w:r>
      <w:r>
        <w:t>contundentes</w:t>
      </w:r>
      <w:r w:rsidRPr="00D57C89">
        <w:t xml:space="preserve"> del efecto lote</w:t>
      </w:r>
      <w:r>
        <w:t xml:space="preserve">. Esto, a su vez, podría suponer un riesgo </w:t>
      </w:r>
      <w:r w:rsidR="00A75FFF">
        <w:t>para</w:t>
      </w:r>
      <w:r>
        <w:t xml:space="preserve"> la investigación al</w:t>
      </w:r>
      <w:r w:rsidRPr="003B057C">
        <w:t xml:space="preserve"> distorsionar las magnitudes de expresión </w:t>
      </w:r>
      <w:r>
        <w:t>e</w:t>
      </w:r>
      <w:r w:rsidRPr="003B057C">
        <w:t xml:space="preserve"> introducir falsos positivos</w:t>
      </w:r>
      <w:r>
        <w:t xml:space="preserve">. </w:t>
      </w:r>
      <w:r w:rsidRPr="00D57C89">
        <w:t xml:space="preserve">En cambio, la intersección actúa como un filtro de máxima especificidad. Aunque esta estrategia descarta genes relevantes como </w:t>
      </w:r>
      <w:r>
        <w:t>TP53 o CXCL12</w:t>
      </w:r>
      <w:r w:rsidRPr="00D57C89">
        <w:t xml:space="preserve"> por no alcanzar la significación </w:t>
      </w:r>
      <w:r>
        <w:t>en todas las cohortes</w:t>
      </w:r>
      <w:r w:rsidRPr="00D57C89">
        <w:t>, garantiza que la firma final retenga únicamente aquellos</w:t>
      </w:r>
      <w:r>
        <w:t xml:space="preserve"> DEGs</w:t>
      </w:r>
      <w:r w:rsidRPr="00D57C89">
        <w:t xml:space="preserve"> con un comportamiento molecular verdaderamente consistente y universal en el </w:t>
      </w:r>
      <w:r w:rsidR="00A75FFF">
        <w:t>cáncer</w:t>
      </w:r>
      <w:r w:rsidRPr="00D57C89">
        <w:t xml:space="preserve"> de colon</w:t>
      </w:r>
      <w:r>
        <w:t>.</w:t>
      </w:r>
      <w:r w:rsidR="00C46D86" w:rsidRPr="00C46D86">
        <w:t xml:space="preserve"> </w:t>
      </w:r>
    </w:p>
    <w:p w14:paraId="3519C71D" w14:textId="7AC1BB8A" w:rsidR="00E44A1B" w:rsidRPr="00E44A1B" w:rsidRDefault="00E44A1B" w:rsidP="00E44A1B">
      <w:pPr>
        <w:pStyle w:val="Ttulo2"/>
        <w:rPr>
          <w:caps w:val="0"/>
        </w:rPr>
      </w:pPr>
      <w:bookmarkStart w:id="63" w:name="_Toc239417060"/>
      <w:r w:rsidRPr="00E44A1B">
        <w:rPr>
          <w:caps w:val="0"/>
        </w:rPr>
        <w:t>Limitaciones del Estudio, Prospectiva y Trabajo Futuro</w:t>
      </w:r>
      <w:bookmarkEnd w:id="63"/>
    </w:p>
    <w:p w14:paraId="3A77E2C7" w14:textId="1409F746" w:rsidR="00AA4C7B" w:rsidRPr="00AA4C7B" w:rsidRDefault="00AA4C7B" w:rsidP="00AA4C7B">
      <w:r>
        <w:t>A pesar de la consistencia de los resultados obtenidos, es necesario reconocer una serie de limitaciones técnicas y metodológicas inherentes al diseño del estudio. En primer lugar, la utilización de datos procedentes de secuenciación masiva de A</w:t>
      </w:r>
      <w:r w:rsidR="00CC424F">
        <w:t>R</w:t>
      </w:r>
      <w:r>
        <w:t>N (</w:t>
      </w:r>
      <w:proofErr w:type="spellStart"/>
      <w:r w:rsidRPr="00AA4C7B">
        <w:rPr>
          <w:i/>
          <w:iCs/>
        </w:rPr>
        <w:t>bulk</w:t>
      </w:r>
      <w:proofErr w:type="spellEnd"/>
      <w:r w:rsidRPr="00AA4C7B">
        <w:rPr>
          <w:i/>
          <w:iCs/>
        </w:rPr>
        <w:t xml:space="preserve"> RNA-</w:t>
      </w:r>
      <w:proofErr w:type="spellStart"/>
      <w:r w:rsidRPr="00AA4C7B">
        <w:rPr>
          <w:i/>
          <w:iCs/>
        </w:rPr>
        <w:t>seq</w:t>
      </w:r>
      <w:proofErr w:type="spellEnd"/>
      <w:r>
        <w:t>) implica que los niveles de expresión analizados representan un promedio de todas las poblaciones celulares presentes en la biopsia</w:t>
      </w:r>
      <w:r w:rsidR="00F329D3">
        <w:fldChar w:fldCharType="begin"/>
      </w:r>
      <w:r w:rsidR="00991CA6">
        <w:instrText xml:space="preserve"> ADDIN ZOTERO_ITEM CSL_CITATION {"citationID":"oWWRhiiw","properties":{"unsorted":false,"formattedCitation":"(7,36,39)","plainCitation":"(7,36,39)","noteIndex":0},"citationItems":[{"id":102,"uris":["http://zotero.org/users/local/sechomLT/items/BAZ7QHFE"],"itemData":{"id":102,"type":"article-journal","abstract":"Tumor microenvironments have a crucial role in cancer initiation and progression, and share many molecular and pathological features with wound healing process. Unless treated, tumors, however, do not heal in contrast to wounds that heal within a limited time framework. Wounds heal in coordination of a myriad of types of cells, particularly endothelial cells, leukocytes, and fibroblasts. Similar sets of cells also contribute to cancer initiation and progression, and as a consequence, anti-cancer treatment strategies have been proposed and tested by targeting endothelial cells and/or leukocytes. Compared with endothelial cells and leukocytes, less attention has been paid to the roles of cancer-associated fibroblasts (CAFs), fibroblasts present in tumor tissues, because their heterogeneity hinders the elucidation on them at cellular and molecular levels. Here, we will discuss the origin of CAFs and their crucial roles in cancer initiation and progression, and the possibility to develop a novel type of anti-cancer treatment by manipulating the migration and functions of CAFs.","container-title":"World Journal of Gastroenterology","DOI":"10.3748/wjg.v22.i23.5301","ISSN":"1007-9327","issue":"23","journalAbbreviation":"World J Gastroenterol","page":"5301-5316","PMID":"27340347","PMCID":"PMC4910652","source":"PubMed Central","title":"Fibroblasts, an inconspicuous but essential player in colon cancer development and progression","URL":"https://pmc.ncbi.nlm.nih.gov/articles/PMC4910652/","volume":"22","author":[{"family":"Mukaida","given":"Naofumi"},{"family":"Sasaki","given":"Soichiro"}],"accessed":{"date-parts":[["2026",7,14]]},"issued":{"date-parts":[["2016",6,21]]}}},{"id":78,"uris":["http://zotero.org/users/local/sechomLT/items/736SCXWW"],"itemData":{"id":78,"type":"article-journal","abstract":"Collagen remodeling in the extracellular matrix drives alterations in the physical, mechanical, and optical properties of tissues, representing a fundamental biophysical hallmark of colorectal cancer (CRC) progression. These changes, reflected in variations in collagen composition, molecular orientation, and cross-linking density, transform tissue stiffness, elasticity, and anisotropy, directly influencing cancer cell behavior and mechanotransduction. Understanding these structural and physical transitions requires analytical methods capable of probing the molecular origins of biomechanical alteration in situ. Spectroscopic and optical methodologies provide high-resolution, label-free detection of the vibrational, optical, and mechanical alteration associated with collagen remodeling. These techniques capture the shifts in molecular vibrational modes, nonlinear optical responses, and scattering anisotropy that arise from collagen fibril alignment, structural disorder, and cross-link formation, thereby connecting molecular architecture to measurable macroscale biomechanics. The integration of multimodal spectroscopy and incorporation of machine learning algorithms further enhance diagnostic performance by resolving complex tissue heterogeneity and improving tumor margin detection. Overall, this review demonstrates how spectroscopic techniques can be applied in the biomedical field for cancer detection by analyzing collagen remodeling and structural alterations.","container-title":"Physics of Life Reviews","DOI":"10.1016/j.plrev.2026.01.009","ISSN":"1571-0645","journalAbbreviation":"Physics of Life Reviews","page":"239-257","source":"ScienceDirect","title":"Biophysical approaches to cancer diagnostics: Collagen biomarkers in colorectal cancer","title-short":"Biophysical approaches to cancer diagnostics","URL":"https://www.sciencedirect.com/science/article/pii/S1571064526000096","volume":"56","author":[{"family":"Biswas","given":"Shimul"},{"family":"Mahato","given":"Krishna Kishore"}],"accessed":{"date-parts":[["2026",7,14]]},"issued":{"date-parts":[["2026",3,1]]}}},{"id":133,"uris":["http://zotero.org/users/local/sechomLT/items/7WFRQW96"],"itemData":{"id":133,"type":"article-journal","abstract":"Collagen triple helix repeat containing 1 (CTHRC1) is a secreted protein that has previously been explored for its role in tissue remodeling and cancer. However, its function in the tumor microenvironment (TME) remains poorly understood, despite its known expression in tumor-associated stroma. Colorectal cancer (CRC), a malignancy characterized by extensive stromal involvement, poses an excellent opportunity to investigate this gap. Here, we provide the first evidence that host-derived CTHRC1 drives colon cancer progression, with this effect consistently observed across three independent cohorts. Specifically, when injected with CRC cells, Cthrc1 null (global knockout, KO) mice develop significantly smaller and less dense tumors compared to wild-type (WT) mice. Additionally, median survival increased approximately 2.5-fold in Cthrc1 KO mice, from 28 days post-inoculation in WT (n = 10) to 69 days in CTHRC1-deficient mice (n = 10), suggesting CTHRC1 promotes tumor growth within the TME. Immune cell profiling revealed differences in the composition of tumors and spleens of these mice; specifically, Cthrc1 KO mice exhibited an increased percentage of CD3+ T cells in both tumors and spleens and decreased Gr-1+ myeloid cells in the spleen, compared to WT, indicating an immunoregulatory role for CTHRC1 in CRC. These results identify CTHRC1 as a key driver of CRC that may suppress the immune system, allowing for easier immune evasion by tumor cells, highlighting CTHRC1 as a potential new target for therapy.","container-title":"Oncotarget","DOI":"10.18632/oncotarget.28878","ISSN":"1949-2553","journalAbbreviation":"Oncotarget","page":"258-267","PMID":"42191349","PMCID":"PMC13235751","source":"PubMed Central","title":"Microenvironmental CTHRC1 has a pro-tumorigenic role in colorectal cancer","URL":"https://pmc.ncbi.nlm.nih.gov/articles/PMC13235751/","volume":"17","author":[{"family":"Duval","given":"Haylee"},{"family":"Toomey","given":"Barbara"},{"family":"Karam","given":"Michelle"},{"family":"Braun","given":"Tatum"},{"family":"Fournier","given":"Daniel"},{"family":"Grant","given":"Chloe"},{"family":"Fairfield","given":"Heather"},{"family":"Chepurko","given":"Vadim"},{"family":"Chepurko","given":"Elena"},{"family":"Schimelman","given":"Allyson"},{"family":"Nestor","given":"Brian"},{"family":"Ryzhov","given":"Sergey"},{"family":"Lindner","given":"Volkhard"},{"family":"Reagan","given":"Michaela R."}],"accessed":{"date-parts":[["2026",7,15]]},"issued":{"date-parts":[["2026",5,20]]}}}],"schema":"https://github.com/citation-style-language/schema/raw/master/csl-citation.json"} </w:instrText>
      </w:r>
      <w:r w:rsidR="00F329D3">
        <w:fldChar w:fldCharType="separate"/>
      </w:r>
      <w:r w:rsidR="00991CA6" w:rsidRPr="00991CA6">
        <w:rPr>
          <w:rFonts w:ascii="Calibri" w:hAnsi="Calibri" w:cs="Calibri"/>
        </w:rPr>
        <w:t>(7,36,39)</w:t>
      </w:r>
      <w:r w:rsidR="00F329D3">
        <w:fldChar w:fldCharType="end"/>
      </w:r>
      <w:r>
        <w:t xml:space="preserve">. Por </w:t>
      </w:r>
      <w:r w:rsidRPr="00AA4C7B">
        <w:t xml:space="preserve">tanto, los cambios detectados en genes de la matriz </w:t>
      </w:r>
      <w:r w:rsidR="00CC424F">
        <w:t xml:space="preserve">(como por ejemplo </w:t>
      </w:r>
      <w:r w:rsidR="00F329D3">
        <w:t>COL11A1</w:t>
      </w:r>
      <w:r w:rsidR="00CC424F">
        <w:t xml:space="preserve"> y </w:t>
      </w:r>
      <w:r w:rsidR="00F329D3">
        <w:t>LOXL2</w:t>
      </w:r>
      <w:r w:rsidR="00CC424F">
        <w:t xml:space="preserve">) </w:t>
      </w:r>
      <w:r w:rsidRPr="00AA4C7B">
        <w:t>responden principalmente al reclutamiento de células del estroma</w:t>
      </w:r>
      <w:r w:rsidR="004D496A">
        <w:fldChar w:fldCharType="begin"/>
      </w:r>
      <w:r w:rsidR="00991CA6">
        <w:instrText xml:space="preserve"> ADDIN ZOTERO_ITEM CSL_CITATION {"citationID":"e1WsR7XI","properties":{"unsorted":false,"formattedCitation":"(37,38)","plainCitation":"(37,38)","noteIndex":0},"citationItems":[{"id":94,"uris":["http://zotero.org/users/local/sechomLT/items/Z8C8DELI"],"itemData":{"id":94,"type":"article-journal","abstract":"INTRODUCTION: The histologic distinction between benign misplaced adenomatous mucosa and invasive adenocarcinoma in colorectal polyps can be challenging. The α1 chain of type XI collagen (COL11A1) has been shown to be overexpressed in cancer-associated stromal fibroblasts. The aim of this study was to investigate the operating characteristics of COL11A1 immunostaining in benign and malignant colorectal polyps as a potential diagnostic aid.\nMATERIALS AND METHODS: Sixty-six endoscopically-removed paraffin-embedded colorectal polyps were stained with anti-COL11A1 antibody. They comprised 50 malignant polyps (MPs) with invasive adenocarcinoma (including 5 with concurrent benign misplaced adenomatous mucosa) and 16 adenomas, 11 with and 5 without benign misplaced adenomatous mucosa.\nRESULTS: COL11A1 was expressed either diffusely or focally in cancer-associated desmoplastic fibroblasts in 72.0% (36/50) of MPs. The rates of COL11A1 expression and the immunohistochemical staining patterns of the COL11A1 were positively correlated with the depth of cancer invasion in MPs. COL11A1 was expressed in all 9 (100%) MPs with a mucinous component and in 16/18 (88.9%) MPs associated with significant electrocautery effects. COL11A1 was not expressed adjacent to conventional adenomas or in the stroma adjacent to misplaced adenomatous mucosa.\nCONCLUSIONS: COL11A1 antibody can assist in distinguishing the cancer-associated desmoplastic stroma from that associated with misplaced adenomatous mucosa. It is particularly helpful when electrocautery artifacts or mucin pools interfere with the diagnosis of invasive carcinoma. However, COL11A1 has limited value in diagnosing superfically invasive carcinomas with very little desmoplastic stroma due to its low positive rate and focal expression in some cases.","container-title":"Pathology, Research and Practice","DOI":"10.1016/j.prp.2016.03.005","ISSN":"1618-0631","issue":"6","journalAbbreviation":"Pathol Res Pract","language":"eng","page":"545-548","PMID":"27021528","source":"PubMed","title":"Overexpression of α1 chain of type XI collagen (COL11A1) aids in the diagnosis of invasive carcinoma in endoscopically removed malignant colorectal polyps","volume":"212","author":[{"family":"Zhang","given":"Dongwei"},{"family":"Zhu","given":"Hongfa"},{"family":"Harpaz","given":"Noam"}],"issued":{"date-parts":[["2016",6]]}}},{"id":114,"uris":["http://zotero.org/users/local/sechomLT/items/ZUJTZQEM"],"itemData":{"id":114,"type":"article-journal","abstract":"Purpose: Cancer-associated fibroblasts (CAF) are major mediators in tumor microenvironment. We investigated the changes in protein expression in colon cancer–associated fibroblasts compared with normal fibroblasts (NF) in the context of searching for prognostic biomarkers, particularly for stage II patients.Experimental Design: CAFs and NFs isolated from colon cancer patients were used to identify differentially expressed proteins using quantitative proteomics. Stromal expression of deregulated proteins was analyzed by IHC. Prognostic impact was studied using external gene-expression datasets for training, then quantitative PCR and IHC for validation in different cohorts of patients. Combined datasets were used for prediction of risk assessment at stages II and III.Results: A desmoplastic signature composed of 32 proteins, highly specific for stromal components in colon cancer, was identified. These proteins were enriched for extracellular matrix organization components, TGFβ signaling pathway, fibrosis, and wound-healing proteins. The expression in CAFs of 11 upregulated proteins and four downregulated proteins, selected for biomarker validation, was verified by orthogonal techniques. LOXL2 displayed a high prognostic impact by using external independent datasets and further validation in two different cohorts of patients. High expression of LOXL2 was associated with higher recurrence P = 0.001 HR, 5.38 [95% confidence interval (CI), 1.70–17.01] and overall survival P = 0.001 HR, 8.52 (95% CI, 1.90–38.29). IHC analysis revealed a prognostic value for LOXL2 in stage II patients.Conclusions: We identified LOXL2 to be associated with the outcome of colon cancer patients. Furthermore, it can be used to stratify patients at stages II and III for further therapeutic decisions. Clin Cancer Res; 21(21); 4892–902. ©2015 AACR.","container-title":"Clinical Cancer Research","DOI":"10.1158/1078-0432.CCR-14-3096","ISSN":"1078-0432","issue":"21","journalAbbreviation":"Clin Cancer Res","page":"4892-4902","source":"Silverchair","title":"LOXL2 Is Highly Expressed in Cancer-Associated Fibroblasts and Associates to Poor Colon Cancer Survival","URL":"https://doi.org/10.1158/1078-0432.CCR-14-3096","volume":"21","author":[{"family":"Torres","given":"Sofía"},{"family":"Garcia-Palmero","given":"Irene"},{"family":"Herrera","given":"Mercedes"},{"family":"Bartolomé","given":"Rubén A."},{"family":"Peña","given":"Cristina"},{"family":"Fernandez-Aceñero","given":"M. Jesús"},{"family":"Padilla","given":"Guillermo"},{"family":"Peláez-García","given":"Alberto"},{"family":"Lopez-Lucendo","given":"María"},{"family":"Rodriguez-Merlo","given":"Rufo"},{"family":"Herreros","given":"Antonio García","non-dropping-particle":"de"},{"family":"Bonilla","given":"Félix"},{"family":"Casal","given":"J. Ignacio"}],"accessed":{"date-parts":[["2026",7,14]]},"issued":{"date-parts":[["2015",11,1]]}}}],"schema":"https://github.com/citation-style-language/schema/raw/master/csl-citation.json"} </w:instrText>
      </w:r>
      <w:r w:rsidR="004D496A">
        <w:fldChar w:fldCharType="separate"/>
      </w:r>
      <w:r w:rsidR="00991CA6" w:rsidRPr="00991CA6">
        <w:rPr>
          <w:rFonts w:ascii="Calibri" w:hAnsi="Calibri" w:cs="Calibri"/>
        </w:rPr>
        <w:t>(37,38)</w:t>
      </w:r>
      <w:r w:rsidR="004D496A">
        <w:fldChar w:fldCharType="end"/>
      </w:r>
      <w:r w:rsidRPr="00AA4C7B">
        <w:t>. Esta señal refleja la composición del microambiente y no solo una alteración intrínseca de la célula tumoral. En segundo lugar, el tejido control empleado</w:t>
      </w:r>
      <w:r>
        <w:t xml:space="preserve"> en la mayoría de las cohortes corresponde a mucosa adyacente no tumoral. La presencia de posibles alteraciones moleculares previas en este tejido adyacente</w:t>
      </w:r>
      <w:r w:rsidR="00FE0A63">
        <w:t xml:space="preserve"> (</w:t>
      </w:r>
      <w:proofErr w:type="spellStart"/>
      <w:r w:rsidR="00FE0A63" w:rsidRPr="00FE0A63">
        <w:rPr>
          <w:i/>
          <w:iCs/>
        </w:rPr>
        <w:t>field</w:t>
      </w:r>
      <w:proofErr w:type="spellEnd"/>
      <w:r w:rsidR="00FE0A63" w:rsidRPr="00FE0A63">
        <w:rPr>
          <w:i/>
          <w:iCs/>
        </w:rPr>
        <w:t xml:space="preserve"> </w:t>
      </w:r>
      <w:proofErr w:type="spellStart"/>
      <w:r w:rsidR="00FE0A63" w:rsidRPr="00FE0A63">
        <w:rPr>
          <w:i/>
          <w:iCs/>
        </w:rPr>
        <w:t>effect</w:t>
      </w:r>
      <w:proofErr w:type="spellEnd"/>
      <w:r w:rsidR="00FE0A63">
        <w:t>)</w:t>
      </w:r>
      <w:r>
        <w:t xml:space="preserve"> podría atenuar las diferencias observadas en comparación con la mucosa de individuos sanos</w:t>
      </w:r>
      <w:r w:rsidR="00FE0A63">
        <w:fldChar w:fldCharType="begin"/>
      </w:r>
      <w:r w:rsidR="00D70B8B">
        <w:instrText xml:space="preserve"> ADDIN ZOTERO_ITEM CSL_CITATION {"citationID":"WuiczKFW","properties":{"unsorted":false,"formattedCitation":"(5)","plainCitation":"(5)","noteIndex":0},"citationItems":[{"id":57,"uris":["http://zotero.org/users/local/sechomLT/items/T3FSIKQS"],"itemData":{"id":57,"type":"article-journal","abstract":"While both incidence and mortality of sporadic average‐onset colorectal cancer (AO CRC, above 50 years of age) are in constant decline, sporadic early‐onset colorectal cancer (EO CRC, under 50 years of age) is rising rapidly. Yet, the causes behind this rise remain poorly understood. Epidemiological studies indicate that lifestyle and environmental exposures may result in chronic inflammation, which is known to trigger tissue fibrosis. This study tests the hypothesis that fibrotic remodeling and biomechanical stiffening of colorectal tissues represent measurable hallmarks and potential drivers of EO CRC. Using primary human tissues, this work shows that EO CRC is associated with changes in collagen microstructure, increased stiffness, and elevated viscosity of primary tumors. Spatial transcriptional profiling and immunostaining reveal pro‐fibrotic signatures in stromal cells, alongside enhanced Yes‐associated protein (YAP) mechanotransduction and proliferation in epithelial cells of EO CRC tissues. Mechanistically, increasing matrix stiffness in vitro promotes proliferation of epithelial cells in 2D and 3D colorectal cancer models. Together, these findings establish EO CRC as a disease marked by early and widespread biomechanical remodeling, suggesting that a fibrotic and stiffened tissue microenvironment may orchestrate EO CRC tumor initiation., This study identifies a unique physical signature of colorectal cancer in younger adults: their tissues are mechanically stiffer than those in older patients with the same cancer. Furthermore, stromal remodeling in early‐onset colorectal cancer promotes epithelial mechanotransduction and proliferation, showing how mechanical alterations in the tissue microenvironment may drive progression of this rising disease.","container-title":"Advanced Science","DOI":"10.1002/advs.202514693","ISSN":"2198-3844","issue":"6","journalAbbreviation":"Adv Sci (Weinh)","page":"e14693","PMID":"41324334","PMCID":"PMC12866780","source":"PubMed Central","title":"Biomechanical Phenotyping Reveals Unique Mechanobiological Signatures of Early‐Onset Colorectal Cancer","URL":"https://pmc.ncbi.nlm.nih.gov/articles/PMC12866780/","volume":"13","author":[{"family":"Huning","given":"Nicole C."},{"family":"Buhaya","given":"Munir H."},{"family":"Nguyen","given":"Victor V."},{"family":"Khazi‐Syed","given":"Afeefah"},{"family":"Ali","given":"Haider A."},{"family":"Khan","given":"Adil"},{"family":"Fan","given":"Angela"},{"family":"Fisher","given":"Robert C."},{"family":"Chi","given":"Zhikai"},{"family":"Raman","given":"Indu"},{"family":"Chen","given":"Guangchun"},{"family":"Zhu","given":"Chengsong"},{"family":"Yu","given":"Mengxi"},{"family":"Jamieson","given":"Andrew R."},{"family":"Roccabianca","given":"Sara"},{"family":"Varner","given":"Victor D."},{"family":"Lewis","given":"Cheryl M."},{"family":"Huang","given":"Emina H."},{"family":"Ferruzzi","given":"Jacopo"}],"accessed":{"date-parts":[["2026",7,12]]},"issued":{"date-parts":[["2025",12,1]]}}}],"schema":"https://github.com/citation-style-language/schema/raw/master/csl-citation.json"} </w:instrText>
      </w:r>
      <w:r w:rsidR="00FE0A63">
        <w:fldChar w:fldCharType="separate"/>
      </w:r>
      <w:r w:rsidR="00D70B8B" w:rsidRPr="00D70B8B">
        <w:rPr>
          <w:rFonts w:ascii="Calibri" w:hAnsi="Calibri" w:cs="Calibri"/>
        </w:rPr>
        <w:t>(5)</w:t>
      </w:r>
      <w:r w:rsidR="00FE0A63">
        <w:fldChar w:fldCharType="end"/>
      </w:r>
      <w:r>
        <w:t xml:space="preserve">. </w:t>
      </w:r>
      <w:r>
        <w:lastRenderedPageBreak/>
        <w:t>Finalmente, la decisión de aplicar una intersección estricta entre las seis cohortes ha priorizado la especificidad y la robustez de la firma a costa de la sensibilidad, excluyendo genes de interés patogénico que no alcanzaron la significación de forma unánime en todas las series</w:t>
      </w:r>
      <w:r w:rsidR="004D496A">
        <w:fldChar w:fldCharType="begin"/>
      </w:r>
      <w:r w:rsidR="00D70B8B">
        <w:instrText xml:space="preserve"> ADDIN ZOTERO_ITEM CSL_CITATION {"citationID":"BMxAXWhD","properties":{"unsorted":false,"formattedCitation":"(9)","plainCitation":"(9)","noteIndex":0},"citationItems":[{"id":219,"uris":["http://zotero.org/users/local/sechomLT/items/Q3YBI9XD"],"itemData":{"id":219,"type":"article-journal","abstract":"Colorectal cancer (CRC) is a frequently lethal disease with heterogeneous outcomes and drug responses. To resolve inconsistencies among the reported gene expression–based CRC classifications and facilitate clinical translation, we formed an international consortium dedicated to large-scale data sharing and analytics across expert groups. We show marked interconnectivity between six independent classification systems coalescing into four consensus molecular subtypes (CMS) with distinguishing features: CMS1 (MSI Immune, 14%), hypermutated, microsatellite unstable, strong immune activation; CMS2 (Canonical, 37%), epithelial, chromosomally unstable, marked WNT and MYC signaling activation; CMS3 (Metabolic, 13%), epithelial, evident metabolic dysregulation; and CMS4 (Mesenchymal, 23%), prominent transforming growth factor β activation, stromal invasion, and angiogenesis. Samples with mixed features (13%) possibly represent a transition phenotype or intra-tumoral heterogeneity. We consider the CMS groups the most robust classification system currently available for CRC – with clear biological interpretability – and the basis for future clinical stratification and subtype–based targeted interventions.","container-title":"Nature medicine","DOI":"10.1038/nm.3967","ISSN":"1078-8956","issue":"11","journalAbbreviation":"Nat Med","page":"1350-1356","PMID":"26457759","PMCID":"PMC4636487","source":"PubMed Central","title":"The Consensus Molecular Subtypes of Colorectal Cancer","URL":"https://pmc.ncbi.nlm.nih.gov/articles/PMC4636487/","volume":"21","author":[{"family":"Guinney","given":"Justin"},{"family":"Dienstmann","given":"Rodrigo"},{"family":"Wang","given":"Xin"},{"family":"Reyniès","given":"Aurélien","non-dropping-particle":"de"},{"family":"Schlicker","given":"Andreas"},{"family":"Soneson","given":"Charlotte"},{"family":"Marisa","given":"Laetitia"},{"family":"Roepman","given":"Paul"},{"family":"Nyamundanda","given":"Gift"},{"family":"Angelino","given":"Paolo"},{"family":"Bot","given":"Brian M."},{"family":"Morris","given":"Jeffrey S."},{"family":"Simon","given":"Iris M."},{"family":"Gerster","given":"Sarah"},{"family":"Fessler","given":"Evelyn"},{"family":"Sousa e Melo","given":"Felipe","non-dropping-particle":"de"},{"family":"Missiaglia","given":"Edoardo"},{"family":"Ramay","given":"Hena"},{"family":"Barras","given":"David"},{"family":"Homicsko","given":"Krisztian"},{"family":"Maru","given":"Dipen"},{"family":"Manyam","given":"Ganiraju C."},{"family":"Broom","given":"Bradley"},{"family":"Boige","given":"Valerie"},{"family":"Perez-Villamil","given":"Beatriz"},{"family":"Laderas","given":"Ted"},{"family":"Salazar","given":"Ramon"},{"family":"Gray","given":"Joe W."},{"family":"Hanahan","given":"Douglas"},{"family":"Tabernero","given":"Josep"},{"family":"Bernards","given":"Rene"},{"family":"Friend","given":"Stephen H."},{"family":"Laurent-Puig","given":"Pierre"},{"family":"Medema","given":"Jan Paul"},{"family":"Sadanandam","given":"Anguraj"},{"family":"Wessels","given":"Lodewyk"},{"family":"Delorenzi","given":"Mauro"},{"family":"Kopetz","given":"Scott"},{"family":"Vermeulen","given":"Louis"},{"family":"Tejpar","given":"Sabine"}],"accessed":{"date-parts":[["2026",7,26]]},"issued":{"date-parts":[["2015",11]]}}}],"schema":"https://github.com/citation-style-language/schema/raw/master/csl-citation.json"} </w:instrText>
      </w:r>
      <w:r w:rsidR="004D496A">
        <w:fldChar w:fldCharType="separate"/>
      </w:r>
      <w:r w:rsidR="00D70B8B" w:rsidRPr="00D70B8B">
        <w:rPr>
          <w:rFonts w:ascii="Calibri" w:hAnsi="Calibri" w:cs="Calibri"/>
        </w:rPr>
        <w:t>(9)</w:t>
      </w:r>
      <w:r w:rsidR="004D496A">
        <w:fldChar w:fldCharType="end"/>
      </w:r>
      <w:r>
        <w:t>.</w:t>
      </w:r>
    </w:p>
    <w:p w14:paraId="1A9B6712" w14:textId="5A7BE5A8" w:rsidR="00E44A1B" w:rsidRPr="00E44A1B" w:rsidRDefault="004D496A" w:rsidP="00E44A1B">
      <w:r w:rsidRPr="004D496A">
        <w:t xml:space="preserve">Para </w:t>
      </w:r>
      <w:r>
        <w:t xml:space="preserve">superar </w:t>
      </w:r>
      <w:r w:rsidRPr="004D496A">
        <w:t xml:space="preserve">estas limitaciones y profundizar en el potencial traslacional de los hallazgos, se plantean diversas líneas de trabajo futuro. Por un lado, </w:t>
      </w:r>
      <w:r w:rsidR="00351F6A" w:rsidRPr="00351F6A">
        <w:t xml:space="preserve">un paso clave consistiría </w:t>
      </w:r>
      <w:r w:rsidR="00351F6A">
        <w:t xml:space="preserve">en </w:t>
      </w:r>
      <w:r w:rsidRPr="004D496A">
        <w:t xml:space="preserve">emplear aproximaciones bioinformáticas de estimación celular </w:t>
      </w:r>
      <w:r>
        <w:t xml:space="preserve">(algoritmos de </w:t>
      </w:r>
      <w:proofErr w:type="spellStart"/>
      <w:r>
        <w:t>deconvolución</w:t>
      </w:r>
      <w:proofErr w:type="spellEnd"/>
      <w:r>
        <w:t xml:space="preserve"> celular) </w:t>
      </w:r>
      <w:r w:rsidRPr="004D496A">
        <w:t xml:space="preserve">o acudir a datos de secuenciación </w:t>
      </w:r>
      <w:r w:rsidRPr="004D496A">
        <w:rPr>
          <w:i/>
          <w:iCs/>
        </w:rPr>
        <w:t>single-</w:t>
      </w:r>
      <w:proofErr w:type="spellStart"/>
      <w:r w:rsidRPr="004D496A">
        <w:rPr>
          <w:i/>
          <w:iCs/>
        </w:rPr>
        <w:t>cell</w:t>
      </w:r>
      <w:proofErr w:type="spellEnd"/>
      <w:r w:rsidRPr="004D496A">
        <w:t xml:space="preserve"> RNA-</w:t>
      </w:r>
      <w:proofErr w:type="spellStart"/>
      <w:r w:rsidRPr="004D496A">
        <w:t>seq</w:t>
      </w:r>
      <w:proofErr w:type="spellEnd"/>
      <w:r w:rsidR="00351F6A">
        <w:t xml:space="preserve"> </w:t>
      </w:r>
      <w:r w:rsidRPr="004D496A">
        <w:t>para separar con precisión la señal originada en el epitelio tumoral de aquella procedente del microambiente. Por otro lado, la integración de esta firma con los datos clínicos y de supervivencia en la cohorte TCGA-COAD permitir</w:t>
      </w:r>
      <w:r w:rsidR="00351F6A">
        <w:t>ía</w:t>
      </w:r>
      <w:r w:rsidRPr="004D496A">
        <w:t xml:space="preserve"> evaluar si los biomarcadores identificados poseen, además de su valor diagnóstico, capacidad pronóstica para predecir la evolución del paciente. Por último, </w:t>
      </w:r>
      <w:r w:rsidR="00351F6A">
        <w:t>sería conveniente</w:t>
      </w:r>
      <w:r w:rsidRPr="004D496A">
        <w:t xml:space="preserve"> realizar una validación experimental mediante RT-</w:t>
      </w:r>
      <w:proofErr w:type="spellStart"/>
      <w:r w:rsidRPr="004D496A">
        <w:t>qPCR</w:t>
      </w:r>
      <w:proofErr w:type="spellEnd"/>
      <w:r w:rsidRPr="004D496A">
        <w:t xml:space="preserve"> e inmunohistoquímica en muestras independientes para confirmar la expresión proteica de los marcadores principales y evaluar su utilidad real en la práctica </w:t>
      </w:r>
      <w:r w:rsidR="00351F6A">
        <w:t>clínica</w:t>
      </w:r>
      <w:r w:rsidRPr="004D496A">
        <w:t>.</w:t>
      </w:r>
    </w:p>
    <w:p w14:paraId="675161F1" w14:textId="77777777" w:rsidR="00F3241D" w:rsidRDefault="00F3241D" w:rsidP="00F3241D">
      <w:pPr>
        <w:spacing w:before="0" w:after="0" w:line="240" w:lineRule="auto"/>
        <w:jc w:val="left"/>
      </w:pPr>
      <w:r>
        <w:br w:type="page"/>
      </w:r>
    </w:p>
    <w:p w14:paraId="3827440D" w14:textId="77777777" w:rsidR="00F3241D" w:rsidRPr="000D09A0" w:rsidRDefault="00F3241D" w:rsidP="00F3241D">
      <w:pPr>
        <w:pStyle w:val="Ttulo1"/>
      </w:pPr>
      <w:bookmarkStart w:id="64" w:name="_Toc239417061"/>
      <w:r w:rsidRPr="00101A07">
        <w:rPr>
          <w:caps w:val="0"/>
        </w:rPr>
        <w:lastRenderedPageBreak/>
        <w:t>Conclusiones</w:t>
      </w:r>
      <w:bookmarkEnd w:id="64"/>
    </w:p>
    <w:p w14:paraId="1F49ED89" w14:textId="7BAC316B" w:rsidR="00803A97" w:rsidRPr="00803A97" w:rsidRDefault="00803A97" w:rsidP="00803A97">
      <w:r w:rsidRPr="00803A97">
        <w:t xml:space="preserve">La realización de este </w:t>
      </w:r>
      <w:r w:rsidR="000C349A">
        <w:t>estudio</w:t>
      </w:r>
      <w:r w:rsidRPr="00803A97">
        <w:t xml:space="preserve"> ha permitido caracterizar de manera transversal y con un elevado rigor metodológico el paisaje transcriptómico del </w:t>
      </w:r>
      <w:r w:rsidR="000C349A">
        <w:t>CRC</w:t>
      </w:r>
      <w:r w:rsidRPr="00803A97">
        <w:t xml:space="preserve">, aislando las alteraciones moleculares </w:t>
      </w:r>
      <w:r w:rsidR="000C349A">
        <w:t>consistentes</w:t>
      </w:r>
      <w:r w:rsidRPr="00803A97">
        <w:t xml:space="preserve"> que subyacen a la patología. El aprovechamiento y la reutilización</w:t>
      </w:r>
      <w:r w:rsidR="000C349A">
        <w:t xml:space="preserve"> </w:t>
      </w:r>
      <w:r w:rsidRPr="00803A97">
        <w:t xml:space="preserve">de datos secundarios de secuenciación masiva de ARN de dominio público, procedentes de las plataformas </w:t>
      </w:r>
      <w:r>
        <w:t>GEO</w:t>
      </w:r>
      <w:r w:rsidRPr="00803A97">
        <w:t xml:space="preserve"> y T</w:t>
      </w:r>
      <w:r>
        <w:t>CGA</w:t>
      </w:r>
      <w:r w:rsidRPr="00803A97">
        <w:t xml:space="preserve">, han puesto en valor los principios de la ciencia abierta y la gestión de datos bajo las directrices FAIR. Mediante la integración y armonización </w:t>
      </w:r>
      <w:r w:rsidR="000C349A" w:rsidRPr="000C349A">
        <w:t xml:space="preserve">de un total de </w:t>
      </w:r>
      <w:r w:rsidR="000C349A">
        <w:t xml:space="preserve">715 </w:t>
      </w:r>
      <w:r w:rsidRPr="00803A97">
        <w:t>muestras globales distribuidas en seis cohortes independientes, esta investigación ha demostrado una elevada potencia estadística y validez externa</w:t>
      </w:r>
      <w:r w:rsidR="000C349A" w:rsidRPr="000C349A">
        <w:t>. Este enfoque optimiza los recursos computacionales y económicos, superando las limitaciones tradicionales de los análisis basados en series individuales.</w:t>
      </w:r>
    </w:p>
    <w:p w14:paraId="5481C176" w14:textId="60F09D2F" w:rsidR="00535B54" w:rsidRPr="00803A97" w:rsidRDefault="00535B54" w:rsidP="00803A97">
      <w:r w:rsidRPr="00535B54">
        <w:t xml:space="preserve">En relación con el primer objetivo específico, se ha diseñado e implementado un flujo de trabajo bioinformático estandarizado en </w:t>
      </w:r>
      <w:r w:rsidRPr="00535B54">
        <w:rPr>
          <w:i/>
          <w:iCs/>
        </w:rPr>
        <w:t>R</w:t>
      </w:r>
      <w:r w:rsidRPr="00535B54">
        <w:t xml:space="preserve">. Este protocolo emplea el paquete especializado </w:t>
      </w:r>
      <w:r w:rsidRPr="00535B54">
        <w:rPr>
          <w:i/>
          <w:iCs/>
        </w:rPr>
        <w:t>DESeq2</w:t>
      </w:r>
      <w:r w:rsidRPr="00535B54">
        <w:t xml:space="preserve"> para el procesamiento, normalización y modelado estadístico de los </w:t>
      </w:r>
      <w:r w:rsidRPr="00803A97">
        <w:t>conteos crudos</w:t>
      </w:r>
      <w:r w:rsidRPr="00535B54">
        <w:t xml:space="preserve">. La metodología demostró su solidez al incorporar un filtrado dinámico para genes de baja expresión, depurando las matrices iniciales hasta retener aproximadamente 20.000 transcritos por cohorte. Para abordar la </w:t>
      </w:r>
      <w:proofErr w:type="spellStart"/>
      <w:r w:rsidRPr="00535B54">
        <w:t>sobredispersión</w:t>
      </w:r>
      <w:proofErr w:type="spellEnd"/>
      <w:r w:rsidRPr="00535B54">
        <w:t xml:space="preserve"> biológica de las muestras, se ajustaron GLM basados en la distribución binomial negativa, complementados con la normalización por la mediana de las razones. Asimismo, la incorporación del algoritmo de contracción bayesiana </w:t>
      </w:r>
      <w:proofErr w:type="spellStart"/>
      <w:r w:rsidRPr="00535B54">
        <w:rPr>
          <w:i/>
          <w:iCs/>
        </w:rPr>
        <w:t>apeglm</w:t>
      </w:r>
      <w:proofErr w:type="spellEnd"/>
      <w:r w:rsidR="00C12204">
        <w:t xml:space="preserve"> </w:t>
      </w:r>
      <w:r w:rsidR="00C12204" w:rsidRPr="00C12204">
        <w:t>permitió estabilizar las estimaciones de los tamaños del efecto (</w:t>
      </w:r>
      <w:r w:rsidR="00C12204" w:rsidRPr="00C12204">
        <w:t>LFC</w:t>
      </w:r>
      <w:r w:rsidR="00C12204" w:rsidRPr="00C12204">
        <w:t>) en aquellos genes con elevada incertidumbre o baja abundancia de lecturas</w:t>
      </w:r>
      <w:r w:rsidRPr="00C12204">
        <w:t>. Este procedimiento mitiga el ruid</w:t>
      </w:r>
      <w:r w:rsidRPr="00535B54">
        <w:t>o técnico y sienta las bases para una comparación entre cohortes transparente, reproducible y metodológicamente sólida.</w:t>
      </w:r>
    </w:p>
    <w:p w14:paraId="3925B2F5" w14:textId="13A907F3" w:rsidR="00535B54" w:rsidRPr="00803A97" w:rsidRDefault="00535B54" w:rsidP="00803A97">
      <w:r w:rsidRPr="00535B54">
        <w:t>Respecto al segundo objetivo específico, enfocado en el mapeo de la expresión diferencial, los análisis estadísticos individualizados y su posterior integración permitieron aislar una firma molecular</w:t>
      </w:r>
      <w:r>
        <w:t xml:space="preserve"> consenso</w:t>
      </w:r>
      <w:r w:rsidRPr="00535B54">
        <w:t xml:space="preserve"> en </w:t>
      </w:r>
      <w:r>
        <w:t>CRC</w:t>
      </w:r>
      <w:r w:rsidRPr="00535B54">
        <w:t xml:space="preserve">. Esta firma consenso está constituida por un núcleo estricto de 325 </w:t>
      </w:r>
      <w:r>
        <w:t>DEGs</w:t>
      </w:r>
      <w:r w:rsidRPr="00535B54">
        <w:t xml:space="preserve">, los cuales conservan una dirección de cambio idéntica y reproducible en las seis cohortes analizadas. Al desglosar este perfil global, se constata la presencia de 155 genes sobreexpresados y 170 subexpresados en el tejido tumoral frente a la mucosa sana. Este resultado define una huella </w:t>
      </w:r>
      <w:r w:rsidR="009F3D70">
        <w:t>transcriptómica</w:t>
      </w:r>
      <w:r w:rsidRPr="00535B54">
        <w:t xml:space="preserve"> característica de la patología, la cual permanece </w:t>
      </w:r>
      <w:r w:rsidR="009F3D70">
        <w:lastRenderedPageBreak/>
        <w:t>invariable</w:t>
      </w:r>
      <w:r w:rsidRPr="00535B54">
        <w:t xml:space="preserve"> con independencia del tamaño muestral o de la plataforma tecnológica de secuenciación empleada.</w:t>
      </w:r>
    </w:p>
    <w:p w14:paraId="3CEDFAB8" w14:textId="390A6D29" w:rsidR="009F3D70" w:rsidRPr="00803A97" w:rsidRDefault="009F3D70" w:rsidP="00803A97">
      <w:r w:rsidRPr="00803A97">
        <w:t xml:space="preserve">La consecución del tercer objetivo específico consistió en la traducción biológica de esta firma mediante análisis de enriquecimiento funcional en categorías ontológicas de </w:t>
      </w:r>
      <w:r>
        <w:t>GO</w:t>
      </w:r>
      <w:r w:rsidRPr="00803A97">
        <w:t xml:space="preserve"> y rutas biológicas de KEGG</w:t>
      </w:r>
      <w:r w:rsidRPr="009F3D70">
        <w:t xml:space="preserve">. Estos resultados estructuran las alteraciones transcriptómicas en dos grandes ejes reguladores coordinados. El eje de activación, sustentado por los genes sobreexpresados, revela </w:t>
      </w:r>
      <w:r w:rsidR="00584275" w:rsidRPr="00584275">
        <w:t xml:space="preserve">una profunda reprogramación del microambiente </w:t>
      </w:r>
      <w:r w:rsidR="00584275">
        <w:t>tumoral</w:t>
      </w:r>
      <w:r w:rsidRPr="009F3D70">
        <w:t>, caracterizad</w:t>
      </w:r>
      <w:r w:rsidR="00584275">
        <w:t>a</w:t>
      </w:r>
      <w:r w:rsidRPr="009F3D70">
        <w:t xml:space="preserve"> por el remodelado de la matriz extracelular y la </w:t>
      </w:r>
      <w:r w:rsidR="00584275">
        <w:t>reacción</w:t>
      </w:r>
      <w:r w:rsidRPr="009F3D70">
        <w:t xml:space="preserve"> </w:t>
      </w:r>
      <w:proofErr w:type="spellStart"/>
      <w:r w:rsidRPr="009F3D70">
        <w:t>desmoplásica</w:t>
      </w:r>
      <w:proofErr w:type="spellEnd"/>
      <w:r w:rsidRPr="009F3D70">
        <w:t xml:space="preserve"> del estroma. La degradación de la membrana basal epitelial está liderada por metaloproteinasas clave como MMP7, en sinergia con el reclutamiento de </w:t>
      </w:r>
      <w:proofErr w:type="spellStart"/>
      <w:r w:rsidRPr="009F3D70">
        <w:t>CAFs</w:t>
      </w:r>
      <w:proofErr w:type="spellEnd"/>
      <w:r w:rsidRPr="009F3D70">
        <w:t xml:space="preserve"> identificados por el marcador FAP. De forma paralela, este eje induce la EMT y el mantenimiento del fenotipo de célula madre cancerosa mediante la vía </w:t>
      </w:r>
      <w:proofErr w:type="spellStart"/>
      <w:r w:rsidRPr="009F3D70">
        <w:t>Wnt</w:t>
      </w:r>
      <w:proofErr w:type="spellEnd"/>
      <w:r w:rsidRPr="009F3D70">
        <w:t>/</w:t>
      </w:r>
      <m:oMath>
        <m:r>
          <w:rPr>
            <w:rFonts w:ascii="Cambria Math" w:hAnsi="Cambria Math"/>
          </w:rPr>
          <m:t>β</m:t>
        </m:r>
      </m:oMath>
      <w:r w:rsidRPr="009F3D70">
        <w:t xml:space="preserve">-catenina, impulsada por </w:t>
      </w:r>
      <w:r w:rsidR="00584275" w:rsidRPr="00803A97">
        <w:t xml:space="preserve">el ligando estromal WNT2 y el receptor epitelial CDH3 </w:t>
      </w:r>
      <w:r w:rsidRPr="009F3D70">
        <w:t xml:space="preserve">en interacción con efectores como CEMIP y SNAI1. Finalmente, el programa </w:t>
      </w:r>
      <w:proofErr w:type="spellStart"/>
      <w:r w:rsidRPr="009F3D70">
        <w:t>tumorigénico</w:t>
      </w:r>
      <w:proofErr w:type="spellEnd"/>
      <w:r w:rsidRPr="009F3D70">
        <w:t xml:space="preserve"> se consolida mediante factores como INHBA y el receptor MET, que potencian la capacidad invasiva. A su vez, la proliferación celular queda sostenida por reguladores mitóticos como UBE2C y el oncogén MYC</w:t>
      </w:r>
      <w:r w:rsidR="006761D3" w:rsidRPr="006761D3">
        <w:t xml:space="preserve">. </w:t>
      </w:r>
      <w:r w:rsidR="006761D3">
        <w:t>Además</w:t>
      </w:r>
      <w:r w:rsidR="006761D3" w:rsidRPr="006761D3">
        <w:t>, el tumor activa mecanismos de reprogramación metabólica y adaptación a la hipoxia para garantizar la supervivencia celular en el nicho tumoral</w:t>
      </w:r>
      <w:r w:rsidRPr="009F3D70">
        <w:t>.</w:t>
      </w:r>
    </w:p>
    <w:p w14:paraId="0FA1DC9D" w14:textId="16DDCA41" w:rsidR="00584275" w:rsidRPr="002D7961" w:rsidRDefault="00584275" w:rsidP="002D7961">
      <w:r w:rsidRPr="002D7961">
        <w:t xml:space="preserve">En contraste, el eje de represión funcional describe el colapso sistemático de los programas de diferenciación epitelial y la </w:t>
      </w:r>
      <w:r w:rsidR="002D7961" w:rsidRPr="002D7961">
        <w:t xml:space="preserve">consecuente </w:t>
      </w:r>
      <w:r w:rsidRPr="002D7961">
        <w:t xml:space="preserve">pérdida de identidad fisiológica del colonocito maduro. Esta desdiferenciación se manifiesta en una profunda alteración del transporte iónico y de la homeostasis hidroelectrolítica de la mucosa. Dicho proceso queda evidenciado por la </w:t>
      </w:r>
      <w:r w:rsidR="002D7961">
        <w:t>supresión</w:t>
      </w:r>
      <w:r w:rsidRPr="002D7961">
        <w:t xml:space="preserve"> de la anhidrasa carbónica CA7 y los canales BEST4 y OTOP2, junto con la pérdida de péptidos </w:t>
      </w:r>
      <w:proofErr w:type="spellStart"/>
      <w:r w:rsidRPr="002D7961">
        <w:t>antiproliferativos</w:t>
      </w:r>
      <w:proofErr w:type="spellEnd"/>
      <w:r w:rsidRPr="002D7961">
        <w:t xml:space="preserve"> locales como la </w:t>
      </w:r>
      <w:proofErr w:type="spellStart"/>
      <w:r w:rsidRPr="002D7961">
        <w:t>guanilina</w:t>
      </w:r>
      <w:proofErr w:type="spellEnd"/>
      <w:r w:rsidRPr="002D7961">
        <w:t xml:space="preserve"> y la </w:t>
      </w:r>
      <w:proofErr w:type="spellStart"/>
      <w:r w:rsidRPr="002D7961">
        <w:t>uroguanilina</w:t>
      </w:r>
      <w:proofErr w:type="spellEnd"/>
      <w:r w:rsidRPr="002D7961">
        <w:t>. Asimismo, se comprometen las defensas celulares</w:t>
      </w:r>
      <w:r w:rsidR="002D7961" w:rsidRPr="002D7961">
        <w:t xml:space="preserve"> y la integridad tisular</w:t>
      </w:r>
      <w:r w:rsidRPr="002D7961">
        <w:t xml:space="preserve"> mediante la </w:t>
      </w:r>
      <w:r w:rsidR="002D7961" w:rsidRPr="002D7961">
        <w:t>subexpresión</w:t>
      </w:r>
      <w:r w:rsidRPr="002D7961">
        <w:t xml:space="preserve"> coordinada de múltiples </w:t>
      </w:r>
      <w:proofErr w:type="spellStart"/>
      <w:r w:rsidRPr="002D7961">
        <w:t>metalotioneínas</w:t>
      </w:r>
      <w:proofErr w:type="spellEnd"/>
      <w:r w:rsidRPr="002D7961">
        <w:t xml:space="preserve"> (MT1E, MT1F, MT1G, MT1H y MT1M), acompañada por la disminución de enzimas de detoxificación como CES3 y ADH1C. Finalmente, la desactivación de antagonistas solubles de la vía </w:t>
      </w:r>
      <w:proofErr w:type="spellStart"/>
      <w:r w:rsidRPr="002D7961">
        <w:t>Wnt</w:t>
      </w:r>
      <w:proofErr w:type="spellEnd"/>
      <w:r w:rsidRPr="002D7961">
        <w:t xml:space="preserve"> como el supresor tumoral SFRP1 elimina los mecanismos de control proliferativo. Este silenciamiento favorece la transición metabólica hacia el efecto Warburg, impulsada por la represión de reguladores energéticos mitocondriales y cetogénicos como HMGCS2 y PPARGC1A</w:t>
      </w:r>
      <w:r w:rsidR="002D7961">
        <w:t>.</w:t>
      </w:r>
    </w:p>
    <w:p w14:paraId="1DDF71DF" w14:textId="755C636B" w:rsidR="002D7961" w:rsidRPr="00803A97" w:rsidRDefault="002D7961" w:rsidP="00803A97">
      <w:r w:rsidRPr="0074543F">
        <w:lastRenderedPageBreak/>
        <w:t xml:space="preserve">En relación con el cuarto objetivo específico, la evaluación comparativa mediante </w:t>
      </w:r>
      <w:r w:rsidR="0074543F" w:rsidRPr="0074543F">
        <w:t xml:space="preserve">diagramas </w:t>
      </w:r>
      <w:proofErr w:type="spellStart"/>
      <w:r w:rsidR="0074543F" w:rsidRPr="0074543F">
        <w:t>UpSet</w:t>
      </w:r>
      <w:proofErr w:type="spellEnd"/>
      <w:r w:rsidR="0074543F" w:rsidRPr="0074543F">
        <w:t xml:space="preserve"> y de </w:t>
      </w:r>
      <w:proofErr w:type="spellStart"/>
      <w:r w:rsidR="0074543F" w:rsidRPr="0074543F">
        <w:t>Venn</w:t>
      </w:r>
      <w:proofErr w:type="spellEnd"/>
      <w:r w:rsidR="0074543F" w:rsidRPr="0074543F">
        <w:t xml:space="preserve"> </w:t>
      </w:r>
      <w:r w:rsidRPr="0074543F">
        <w:t xml:space="preserve">demostró una notable consistencia entre cohortes y la validez externa de los resultados. Frente a las metodologías convencionales basadas en la fusión directa de matrices de expresión, este trabajo justifica la implementación de modelos independientes seguidos de una intersección estricta. Este diseño conservador asume una pérdida deliberada de sensibilidad al descartar genes con patrones de expresión heterogéneos. Entre ellos figuran genes </w:t>
      </w:r>
      <w:r w:rsidRPr="0074543F">
        <w:rPr>
          <w:i/>
          <w:iCs/>
        </w:rPr>
        <w:t>drivers</w:t>
      </w:r>
      <w:r w:rsidRPr="0074543F">
        <w:t xml:space="preserve"> clásicos como TP53 o KRAS, cuyas alteraciones genómicas no siempre se traducen en una desregulación homogénea del ARN. Sin embargo, esta decisión prioriza una alta especificidad y solidez metodológica. De este modo, se neutraliza el ruido técnico entre estudios y se garantiza que los transcritos retenidos representen una señal biológica universal en el </w:t>
      </w:r>
      <w:r w:rsidR="0074543F">
        <w:t>CRC.</w:t>
      </w:r>
    </w:p>
    <w:p w14:paraId="7972E474" w14:textId="56F4523B" w:rsidR="003C309A" w:rsidRDefault="0074543F" w:rsidP="00803A97">
      <w:r w:rsidRPr="0074543F">
        <w:t xml:space="preserve">Por último, el logro del objetivo general ha permitido consolidar una caracterización transcriptómica exhaustiva y delimitar un panel refinado de biomarcadores con un alto potencial traslacional para la oncología de precisión. La firma consenso de 325 genes demuestra una notable relevancia al trascender la clasificación tradicional de los CMS, superando la limitación de los fenotipos mixtos y la variabilidad </w:t>
      </w:r>
      <w:proofErr w:type="spellStart"/>
      <w:r w:rsidRPr="0074543F">
        <w:t>intratumoral</w:t>
      </w:r>
      <w:proofErr w:type="spellEnd"/>
      <w:r w:rsidRPr="0074543F">
        <w:t xml:space="preserve"> al capturar los eventos oncogénicos universales del epitelio intestinal. Desde una perspectiva traslacional, estos hallazgos sientan las bases para el diagnóstico no invasivo mediante biopsia líquida. En particular, destaca la cuantificación en suero de MMP7 o de transcritos circulantes de CEMIP mediante </w:t>
      </w:r>
      <w:proofErr w:type="spellStart"/>
      <w:r w:rsidRPr="0074543F">
        <w:t>qRT</w:t>
      </w:r>
      <w:proofErr w:type="spellEnd"/>
      <w:r w:rsidRPr="0074543F">
        <w:t xml:space="preserve">-PCR. Asimismo, marcadores del estroma reactivo y de la superficie tumoral como FAP, CDH3 y MET abren nuevas vías para el diseño de </w:t>
      </w:r>
      <w:r w:rsidRPr="00803A97">
        <w:t>dianas terapéuticas personalizadas o la selección de pacientes candidatos a inmunoterapia</w:t>
      </w:r>
      <w:r w:rsidRPr="0074543F">
        <w:t xml:space="preserve">. </w:t>
      </w:r>
      <w:r w:rsidR="003C309A" w:rsidRPr="003C309A">
        <w:t>Si bien estas propuestas computacionales requerirán validación experimental preclínica (</w:t>
      </w:r>
      <w:r w:rsidR="003C309A" w:rsidRPr="003C309A">
        <w:rPr>
          <w:i/>
          <w:iCs/>
        </w:rPr>
        <w:t>in vitro</w:t>
      </w:r>
      <w:r w:rsidR="003C309A" w:rsidRPr="003C309A">
        <w:t xml:space="preserve"> e </w:t>
      </w:r>
      <w:r w:rsidR="003C309A" w:rsidRPr="003C309A">
        <w:rPr>
          <w:i/>
          <w:iCs/>
        </w:rPr>
        <w:t>in vivo</w:t>
      </w:r>
      <w:r w:rsidR="003C309A" w:rsidRPr="003C309A">
        <w:t>), su integración futura con datos de single-</w:t>
      </w:r>
      <w:proofErr w:type="spellStart"/>
      <w:r w:rsidR="003C309A" w:rsidRPr="003C309A">
        <w:t>cell</w:t>
      </w:r>
      <w:proofErr w:type="spellEnd"/>
      <w:r w:rsidR="003C309A" w:rsidRPr="003C309A">
        <w:t xml:space="preserve"> RNA-</w:t>
      </w:r>
      <w:proofErr w:type="spellStart"/>
      <w:r w:rsidR="003C309A" w:rsidRPr="003C309A">
        <w:t>seq</w:t>
      </w:r>
      <w:proofErr w:type="spellEnd"/>
      <w:r w:rsidR="003C309A" w:rsidRPr="003C309A">
        <w:t xml:space="preserve"> permitirá resolver la heterogeneidad a resolución unicelular. A su vez, la incorporación de variables clínicas determinará el impacto pronóstico real de estos biomarcadores. En conclusión, este trabajo demuestra cómo la reutilización rigurosa de datos públicos masivos y el análisis bioinformático reproducible son capaces de transformar el ruido biológico en conocimiento </w:t>
      </w:r>
      <w:r w:rsidR="003C309A">
        <w:t>aplicable</w:t>
      </w:r>
      <w:r w:rsidR="003C309A" w:rsidRPr="003C309A">
        <w:t>, aportando una base robusta sobre la que acelerar el desarrollo de herramientas diagnósticas y terapéuticas al servicio de los pacientes con cáncer colorrectal.</w:t>
      </w:r>
    </w:p>
    <w:p w14:paraId="10238A6F" w14:textId="395FC790" w:rsidR="00F3241D" w:rsidRPr="00803A97" w:rsidRDefault="00F3241D" w:rsidP="00803A97">
      <w:r w:rsidRPr="00803A97">
        <w:br w:type="page"/>
      </w:r>
    </w:p>
    <w:p w14:paraId="3E827BC6" w14:textId="1513FF13" w:rsidR="00F3241D" w:rsidRPr="009F6F17" w:rsidRDefault="00F3241D" w:rsidP="00F3241D">
      <w:pPr>
        <w:pStyle w:val="Ttulo1sinnumerar"/>
      </w:pPr>
      <w:bookmarkStart w:id="65" w:name="_Toc239417062"/>
      <w:r>
        <w:lastRenderedPageBreak/>
        <w:t xml:space="preserve">Referencias </w:t>
      </w:r>
      <w:r w:rsidR="00835045">
        <w:t>B</w:t>
      </w:r>
      <w:r>
        <w:t>ibliográficas</w:t>
      </w:r>
      <w:bookmarkEnd w:id="65"/>
    </w:p>
    <w:p w14:paraId="013FDFF5" w14:textId="77777777" w:rsidR="006F334E" w:rsidRDefault="00FA2090" w:rsidP="006F334E">
      <w:pPr>
        <w:pStyle w:val="Bibliografa"/>
      </w:pPr>
      <w:r>
        <w:fldChar w:fldCharType="begin"/>
      </w:r>
      <w:r>
        <w:instrText xml:space="preserve"> ADDIN ZOTERO_BIBL {"uncited":[],"omitted":[],"custom":[]} CSL_BIBLIOGRAPHY </w:instrText>
      </w:r>
      <w:r>
        <w:fldChar w:fldCharType="separate"/>
      </w:r>
      <w:r w:rsidR="006F334E">
        <w:t>1.</w:t>
      </w:r>
      <w:r w:rsidR="006F334E">
        <w:tab/>
        <w:t>Bray F, Laversanne M, Sung H, Ferlay J, Siegel RL, Soerjomataram I, et al. Global cancer statistics 2022: GLOBOCAN estimates of incidence and mortality worldwide for 36 cancers in 185 countries. CA Cancer J Clin. 2024;74(3):229-63. doi:10.3322/caac.21834 PubMed PMID: 38572751.</w:t>
      </w:r>
    </w:p>
    <w:p w14:paraId="0A7F57E7" w14:textId="77777777" w:rsidR="006F334E" w:rsidRDefault="006F334E" w:rsidP="006F334E">
      <w:pPr>
        <w:pStyle w:val="Bibliografa"/>
      </w:pPr>
      <w:r>
        <w:t>2.</w:t>
      </w:r>
      <w:r>
        <w:tab/>
        <w:t>Sociedad Española de Oncología Médica (SEOM). Las Cifras del Cáncer en España 2026 [Internet]. SEOM; 2026. Disponible en: https://seom.org/images/Las_Cifras_del_Cancer_en_Espanya_2026.pdf</w:t>
      </w:r>
    </w:p>
    <w:p w14:paraId="525BFE9A" w14:textId="77777777" w:rsidR="006F334E" w:rsidRDefault="006F334E" w:rsidP="006F334E">
      <w:pPr>
        <w:pStyle w:val="Bibliografa"/>
      </w:pPr>
      <w:r>
        <w:t>3.</w:t>
      </w:r>
      <w:r>
        <w:tab/>
        <w:t>Chen Y, Zhang J, Ding Y, Zhu F, Chen Y. Colorectal cancer pathogenesis, oncogenic signaling networks and targeted therapeutic advances. Mol Biomed. 14 de marzo de 2026;7:32. doi:10.1186/s43556-026-00433-4 PubMed PMID: 41826571; PubMed Central PMCID: PMC12988139.</w:t>
      </w:r>
    </w:p>
    <w:p w14:paraId="2E433C71" w14:textId="77777777" w:rsidR="006F334E" w:rsidRDefault="006F334E" w:rsidP="006F334E">
      <w:pPr>
        <w:pStyle w:val="Bibliografa"/>
      </w:pPr>
      <w:r>
        <w:t>4.</w:t>
      </w:r>
      <w:r>
        <w:tab/>
        <w:t>Li S, Yang H, Li W, Liu J yi, Ren L wen, Yang Y hui, et al. ADH1C inhibits progression of colorectal cancer through the ADH1C/PHGDH /PSAT1/serine metabolic pathway. Acta Pharmacol Sin. octubre de 2022;43(10):2709-22. doi:10.1038/s41401-022-00894-7 PubMed PMID: 35354963; PubMed Central PMCID: PMC9525271.</w:t>
      </w:r>
    </w:p>
    <w:p w14:paraId="647278CA" w14:textId="77777777" w:rsidR="006F334E" w:rsidRDefault="006F334E" w:rsidP="006F334E">
      <w:pPr>
        <w:pStyle w:val="Bibliografa"/>
      </w:pPr>
      <w:r>
        <w:t>5.</w:t>
      </w:r>
      <w:r>
        <w:tab/>
        <w:t>Huning NC, Buhaya MH, Nguyen VV, Khazi‐Syed A, Ali HA, Khan A, et al. Biomechanical Phenotyping Reveals Unique Mechanobiological Signatures of Early‐Onset Colorectal Cancer. Adv Sci. 1 de diciembre de 2025;13(6):e14693. doi:10.1002/advs.202514693 PubMed PMID: 41324334; PubMed Central PMCID: PMC12866780.</w:t>
      </w:r>
    </w:p>
    <w:p w14:paraId="1690D100" w14:textId="77777777" w:rsidR="006F334E" w:rsidRDefault="006F334E" w:rsidP="006F334E">
      <w:pPr>
        <w:pStyle w:val="Bibliografa"/>
      </w:pPr>
      <w:r>
        <w:t>6.</w:t>
      </w:r>
      <w:r>
        <w:tab/>
        <w:t>Yang Z, Wang X, Zhou H, Jiang M, Wang J, Sui B. Molecular Complexity of Colorectal Cancer: Pathways, Biomarkers, and Therapeutic Strategies. Cancer Manag Res. 10 de octubre de 2024;16:1389-403. doi:10.2147/CMAR.S481656 PubMed PMID: 39403607; PubMed Central PMCID: PMC11472760.</w:t>
      </w:r>
    </w:p>
    <w:p w14:paraId="4CAEAAE4" w14:textId="77777777" w:rsidR="006F334E" w:rsidRDefault="006F334E" w:rsidP="006F334E">
      <w:pPr>
        <w:pStyle w:val="Bibliografa"/>
      </w:pPr>
      <w:r>
        <w:t>7.</w:t>
      </w:r>
      <w:r>
        <w:tab/>
        <w:t>Biswas S, Mahato KK. Biophysical approaches to cancer diagnostics: Collagen biomarkers in colorectal cancer. Phys Life Rev. 1 de marzo de 2026;56:239-57. doi:10.1016/j.plrev.2026.01.009</w:t>
      </w:r>
    </w:p>
    <w:p w14:paraId="63DEC804" w14:textId="77777777" w:rsidR="006F334E" w:rsidRDefault="006F334E" w:rsidP="006F334E">
      <w:pPr>
        <w:pStyle w:val="Bibliografa"/>
      </w:pPr>
      <w:r>
        <w:t>8.</w:t>
      </w:r>
      <w:r>
        <w:tab/>
        <w:t>Hung KC, Huang TC, Cheng CH, Cheng YW, Lin DY, Fan JJ, et al. The Expression Profile and Prognostic Significance of Metallothionein Genes in Colorectal Cancer. Int J Mol Sci. 7 de agosto de 2019;20(16):3849. doi:10.3390/ijms20163849 PubMed PMID: 31394742; PubMed Central PMCID: PMC6721156.</w:t>
      </w:r>
    </w:p>
    <w:p w14:paraId="74AC1D76" w14:textId="77777777" w:rsidR="006F334E" w:rsidRDefault="006F334E" w:rsidP="006F334E">
      <w:pPr>
        <w:pStyle w:val="Bibliografa"/>
      </w:pPr>
      <w:r>
        <w:t>9.</w:t>
      </w:r>
      <w:r>
        <w:tab/>
        <w:t>Guinney J, Dienstmann R, Wang X, de Reyniès A, Schlicker A, Soneson C, et al. The Consensus Molecular Subtypes of Colorectal Cancer. Nat Med. noviembre de 2015;21(11):1350-6. doi:10.1038/nm.3967 PubMed PMID: 26457759; PubMed Central PMCID: PMC4636487.</w:t>
      </w:r>
    </w:p>
    <w:p w14:paraId="09F33A2C" w14:textId="77777777" w:rsidR="006F334E" w:rsidRDefault="006F334E" w:rsidP="006F334E">
      <w:pPr>
        <w:pStyle w:val="Bibliografa"/>
      </w:pPr>
      <w:r>
        <w:t>10.</w:t>
      </w:r>
      <w:r>
        <w:tab/>
        <w:t>Mathew E, Thomas PL, Mathew L. Multi-omics integration and network analysis identify therapeutic hub genes in colorectal cancer. Netw Model Anal Health Inform Bioinforma. 19 de diciembre de 2025;15(1):10. doi:10.1007/s13721-025-00696-x</w:t>
      </w:r>
    </w:p>
    <w:p w14:paraId="530B58AA" w14:textId="77777777" w:rsidR="006F334E" w:rsidRDefault="006F334E" w:rsidP="006F334E">
      <w:pPr>
        <w:pStyle w:val="Bibliografa"/>
      </w:pPr>
      <w:r>
        <w:lastRenderedPageBreak/>
        <w:t>11.</w:t>
      </w:r>
      <w:r>
        <w:tab/>
        <w:t>Li X, Yu W, Liang C, Xu Y, Zhang M, Ding X, et al. INHBA is a prognostic predictor for patients with colon adenocarcinoma. BMC Cancer. 15 de abril de 2020;20:305. doi:10.1186/s12885-020-06743-2 PubMed PMID: 32293338; PubMed Central PMCID: PMC7161248.</w:t>
      </w:r>
    </w:p>
    <w:p w14:paraId="755551D0" w14:textId="77777777" w:rsidR="006F334E" w:rsidRDefault="006F334E" w:rsidP="006F334E">
      <w:pPr>
        <w:pStyle w:val="Bibliografa"/>
      </w:pPr>
      <w:r>
        <w:t>12.</w:t>
      </w:r>
      <w:r>
        <w:tab/>
        <w:t>Wu YF, Wang CY, Tang WC, Lee YC, Ta HDK, Lin LC, et al. Expression Profile and Prognostic Value of Wnt Signaling Pathway Molecules in Colorectal Cancer. Biomedicines. 27 de septiembre de 2021;9(10):1331. doi:10.3390/biomedicines9101331 PubMed PMID: 34680448; PubMed Central PMCID: PMC8533439.</w:t>
      </w:r>
    </w:p>
    <w:p w14:paraId="65309385" w14:textId="77777777" w:rsidR="006F334E" w:rsidRDefault="006F334E" w:rsidP="006F334E">
      <w:pPr>
        <w:pStyle w:val="Bibliografa"/>
      </w:pPr>
      <w:r>
        <w:t>13.</w:t>
      </w:r>
      <w:r>
        <w:tab/>
        <w:t>Chen L, Ke X. MMP7 as a potential biomarker of colon cancer and its prognostic value by bioinformatics analysis. Medicine (Baltimore). 5 de marzo de 2021;100(9):e24953. doi:10.1097/MD.0000000000024953 PubMed PMID: 33655961; PubMed Central PMCID: PMC7939218.</w:t>
      </w:r>
    </w:p>
    <w:p w14:paraId="13983201" w14:textId="77777777" w:rsidR="006F334E" w:rsidRDefault="006F334E" w:rsidP="006F334E">
      <w:pPr>
        <w:pStyle w:val="Bibliografa"/>
      </w:pPr>
      <w:r>
        <w:t>14.</w:t>
      </w:r>
      <w:r>
        <w:tab/>
        <w:t>Birkenkamp-Demtroder K, Maghnouj A, Mansilla F, Thorsen K, Andersen CL, Øster B, et al. Repression of KIAA1199 attenuates Wnt-signalling and decreases the proliferation of colon cancer cells. Br J Cancer. 9 de agosto de 2011;105(4):552-61. doi:10.1038/bjc.2011.268 PubMed PMID: 21772334; PubMed Central PMCID: PMC3170968.</w:t>
      </w:r>
    </w:p>
    <w:p w14:paraId="50C31E4A" w14:textId="77777777" w:rsidR="006F334E" w:rsidRDefault="006F334E" w:rsidP="006F334E">
      <w:pPr>
        <w:pStyle w:val="Bibliografa"/>
      </w:pPr>
      <w:r>
        <w:t>15.</w:t>
      </w:r>
      <w:r>
        <w:tab/>
        <w:t>Wang Z, Gerstein M, Snyder M. RNA-Seq: a revolutionary tool for transcriptomics. Nat Rev Genet. enero de 2009;10(1):57-63. doi:10.1038/nrg2484 PubMed PMID: 19015660; PubMed Central PMCID: PMC2949280.</w:t>
      </w:r>
    </w:p>
    <w:p w14:paraId="686DD320" w14:textId="77777777" w:rsidR="006F334E" w:rsidRDefault="006F334E" w:rsidP="006F334E">
      <w:pPr>
        <w:pStyle w:val="Bibliografa"/>
      </w:pPr>
      <w:r>
        <w:t>16.</w:t>
      </w:r>
      <w:r>
        <w:tab/>
        <w:t>Stark R, Grzelak M, Hadfield J. RNA sequencing: the teenage years. Nat Rev Genet. noviembre de 2019;20(11):631-56. doi:10.1038/s41576-019-0150-2</w:t>
      </w:r>
    </w:p>
    <w:p w14:paraId="58494F16" w14:textId="77777777" w:rsidR="006F334E" w:rsidRDefault="006F334E" w:rsidP="006F334E">
      <w:pPr>
        <w:pStyle w:val="Bibliografa"/>
      </w:pPr>
      <w:r>
        <w:t>17.</w:t>
      </w:r>
      <w:r>
        <w:tab/>
        <w:t>Conesa A, Madrigal P, Tarazona S, Gomez-Cabrero D, Cervera A, McPherson A, et al. A survey of best practices for RNA-seq data analysis. Genome Biol. 26 de enero de 2016;17(1):13. doi:10.1186/s13059-016-0881-8</w:t>
      </w:r>
    </w:p>
    <w:p w14:paraId="0F6BDE61" w14:textId="77777777" w:rsidR="006F334E" w:rsidRDefault="006F334E" w:rsidP="006F334E">
      <w:pPr>
        <w:pStyle w:val="Bibliografa"/>
      </w:pPr>
      <w:r>
        <w:t>18.</w:t>
      </w:r>
      <w:r>
        <w:tab/>
        <w:t>Clough E, Barrett T, Wilhite SE, Ledoux P, Evangelista C, Kim IF, et al. NCBI GEO: archive for gene expression and epigenomics data sets: 23-year update. Nucleic Acids Res. 2 de noviembre de 2023;52(D1):D138-44. doi:10.1093/nar/gkad965 PubMed PMID: 37933855; PubMed Central PMCID: PMC10767856.</w:t>
      </w:r>
    </w:p>
    <w:p w14:paraId="383EEB7B" w14:textId="77777777" w:rsidR="006F334E" w:rsidRDefault="006F334E" w:rsidP="006F334E">
      <w:pPr>
        <w:pStyle w:val="Bibliografa"/>
      </w:pPr>
      <w:r>
        <w:t>19.</w:t>
      </w:r>
      <w:r>
        <w:tab/>
        <w:t>Heath AP, Ferretti V, Agrawal S, An M, Angelakos JC, Arya R, et al. The NCI Genomic Data Commons. Nat Genet. marzo de 2021;53(3):257-62. doi:10.1038/s41588-021-00791-5</w:t>
      </w:r>
    </w:p>
    <w:p w14:paraId="60DCA905" w14:textId="77777777" w:rsidR="006F334E" w:rsidRDefault="006F334E" w:rsidP="006F334E">
      <w:pPr>
        <w:pStyle w:val="Bibliografa"/>
      </w:pPr>
      <w:r>
        <w:t>20.</w:t>
      </w:r>
      <w:r>
        <w:tab/>
        <w:t>Rau A, Marot G, Jaffrézic F. Differential meta-analysis of RNA-seq data from multiple studies. BMC Bioinformatics. 29 de marzo de 2014;15:91. doi:10.1186/1471-2105-15-91 PubMed PMID: 24678608; PubMed Central PMCID: PMC4021464.</w:t>
      </w:r>
    </w:p>
    <w:p w14:paraId="0C4D0EC5" w14:textId="77777777" w:rsidR="006F334E" w:rsidRDefault="006F334E" w:rsidP="006F334E">
      <w:pPr>
        <w:pStyle w:val="Bibliografa"/>
      </w:pPr>
      <w:r>
        <w:t>21.</w:t>
      </w:r>
      <w:r>
        <w:tab/>
        <w:t>Xu H, Ma Y, Zhang J, Gu J, Jing X, Lu S, et al. Identification and Verification of Core Genes in Colorectal Cancer. BioMed Res Int. 8 de mayo de 2020;2020:8082697. doi:10.1155/2020/8082697 PubMed PMID: 32462020; PubMed Central PMCID: PMC7232680.</w:t>
      </w:r>
    </w:p>
    <w:p w14:paraId="033C48E7" w14:textId="77777777" w:rsidR="006F334E" w:rsidRDefault="006F334E" w:rsidP="006F334E">
      <w:pPr>
        <w:pStyle w:val="Bibliografa"/>
      </w:pPr>
      <w:r>
        <w:lastRenderedPageBreak/>
        <w:t>22.</w:t>
      </w:r>
      <w:r>
        <w:tab/>
        <w:t>Huang Z, Yang Q, Huang Z. Identification of Critical Genes and Five Prognostic Biomarkers Associated with Colorectal Cancer. Med Sci Monit Int Med J Exp Clin Res. 5 de julio de 2018;24:4625-33. doi:10.12659/MSM.907224 PubMed PMID: 29973580; PubMed Central PMCID: PMC6065283.</w:t>
      </w:r>
    </w:p>
    <w:p w14:paraId="3AC57546" w14:textId="77777777" w:rsidR="006F334E" w:rsidRDefault="006F334E" w:rsidP="006F334E">
      <w:pPr>
        <w:pStyle w:val="Bibliografa"/>
      </w:pPr>
      <w:r>
        <w:t>23.</w:t>
      </w:r>
      <w:r>
        <w:tab/>
        <w:t>Fu C, Fu J, Liu C, Yu Z. Synergistic potential of CDH3 in targeting CRC metastasis and enhancing immunotherapy. BMC Cancer. 28 de marzo de 2025;25:560. doi:10.1186/s12885-025-13845-2 PubMed PMID: 40155851; PubMed Central PMCID: PMC11951682.</w:t>
      </w:r>
    </w:p>
    <w:p w14:paraId="4430D07B" w14:textId="77777777" w:rsidR="006F334E" w:rsidRDefault="006F334E" w:rsidP="006F334E">
      <w:pPr>
        <w:pStyle w:val="Bibliografa"/>
      </w:pPr>
      <w:r>
        <w:t>24.</w:t>
      </w:r>
      <w:r>
        <w:tab/>
        <w:t>Love MI, Huber W, Anders S. Moderated estimation of fold change and dispersion for RNA-seq data with DESeq2. Genome Biol. 2014;15(12):550. doi:10.1186/s13059-014-0550-8 PubMed PMID: 25516281; PubMed Central PMCID: PMC4302049.</w:t>
      </w:r>
    </w:p>
    <w:p w14:paraId="1FBAC532" w14:textId="77777777" w:rsidR="006F334E" w:rsidRDefault="006F334E" w:rsidP="006F334E">
      <w:pPr>
        <w:pStyle w:val="Bibliografa"/>
      </w:pPr>
      <w:r>
        <w:t>25.</w:t>
      </w:r>
      <w:r>
        <w:tab/>
        <w:t>Robinson MD, McCarthy DJ, Smyth GK. edgeR: a Bioconductor package for differential expression analysis of digital gene expression data. Bioinformatics. 1 de enero de 2010;26(1):139-40. doi:10.1093/bioinformatics/btp616 PubMed PMID: 19910308; PubMed Central PMCID: PMC2796818.</w:t>
      </w:r>
    </w:p>
    <w:p w14:paraId="5B2BBFB7" w14:textId="77777777" w:rsidR="006F334E" w:rsidRDefault="006F334E" w:rsidP="006F334E">
      <w:pPr>
        <w:pStyle w:val="Bibliografa"/>
      </w:pPr>
      <w:r>
        <w:t>26.</w:t>
      </w:r>
      <w:r>
        <w:tab/>
        <w:t>Wadi L, Meyer M, Weiser J, Stein LD, Reimand J. Impact of outdated gene annotations on pathway enrichment analysis. Nat Methods. 30 de agosto de 2016;13(9):705-6. doi:10.1038/nmeth.3963 PubMed PMID: 27575621; PubMed Central PMCID: PMC7802636.</w:t>
      </w:r>
    </w:p>
    <w:p w14:paraId="3866C44B" w14:textId="77777777" w:rsidR="006F334E" w:rsidRDefault="006F334E" w:rsidP="006F334E">
      <w:pPr>
        <w:pStyle w:val="Bibliografa"/>
      </w:pPr>
      <w:r>
        <w:t>27.</w:t>
      </w:r>
      <w:r>
        <w:tab/>
        <w:t>Huber W, Carey VJ, Gentleman R, Anders S, Carlson M, Carvalho BS, et al. Orchestrating high-throughput genomic analysis with Bioconductor. Nat Methods. febrero de 2015;12(2):115-21. doi:10.1038/nmeth.3252 PubMed PMID: 25633503; PubMed Central PMCID: PMC4509590.</w:t>
      </w:r>
    </w:p>
    <w:p w14:paraId="598551E7" w14:textId="77777777" w:rsidR="006F334E" w:rsidRDefault="006F334E" w:rsidP="006F334E">
      <w:pPr>
        <w:pStyle w:val="Bibliografa"/>
      </w:pPr>
      <w:r>
        <w:t>28.</w:t>
      </w:r>
      <w:r>
        <w:tab/>
        <w:t>Khatri P, Sirota M, Butte AJ. Ten Years of Pathway Analysis: Current Approaches and Outstanding Challenges. PLoS Comput Biol. 23 de febrero de 2012;8(2):e1002375. doi:10.1371/journal.pcbi.1002375 PubMed PMID: 22383865; PubMed Central PMCID: PMC3285573.</w:t>
      </w:r>
    </w:p>
    <w:p w14:paraId="6AA3F0E5" w14:textId="77777777" w:rsidR="006F334E" w:rsidRDefault="006F334E" w:rsidP="006F334E">
      <w:pPr>
        <w:pStyle w:val="Bibliografa"/>
      </w:pPr>
      <w:r>
        <w:t>29.</w:t>
      </w:r>
      <w:r>
        <w:tab/>
        <w:t>Reimand J, Isser R, Voisin V, Kucera M, Tannus-Lopes C, Rostamianfar A, et al. Pathway enrichment analysis and visualization of omics data using g:Profiler, GSEA, Cytoscape and EnrichmentMap. Nat Protoc. febrero de 2019;14(2):482-517. doi:10.1038/s41596-018-0103-9 PubMed PMID: 30664679; PubMed Central PMCID: PMC6607905.</w:t>
      </w:r>
    </w:p>
    <w:p w14:paraId="2E5D6333" w14:textId="77777777" w:rsidR="006F334E" w:rsidRDefault="006F334E" w:rsidP="006F334E">
      <w:pPr>
        <w:pStyle w:val="Bibliografa"/>
      </w:pPr>
      <w:r>
        <w:t>30.</w:t>
      </w:r>
      <w:r>
        <w:tab/>
        <w:t>Kanehisa M, Goto S. KEGG: Kyoto Encyclopedia of Genes and Genomes. Nucleic Acids Res. 1 de enero de 2000;28(1):27-30. doi:10.1093/nar/28.1.27</w:t>
      </w:r>
    </w:p>
    <w:p w14:paraId="4FB3657B" w14:textId="77777777" w:rsidR="006F334E" w:rsidRDefault="006F334E" w:rsidP="006F334E">
      <w:pPr>
        <w:pStyle w:val="Bibliografa"/>
      </w:pPr>
      <w:r>
        <w:t>31.</w:t>
      </w:r>
      <w:r>
        <w:tab/>
        <w:t>Wu T, Hu E, Xu S, Chen M, Guo P, Dai Z, et al. clusterProfiler 4.0: A universal enrichment tool for interpreting omics data. The Innovation. 1 de julio de 2021;2(3):100141. doi:10.1016/j.xinn.2021.100141 PubMed PMID: 34557778; PubMed Central PMCID: PMC8454663.</w:t>
      </w:r>
    </w:p>
    <w:p w14:paraId="3049043D" w14:textId="77777777" w:rsidR="006F334E" w:rsidRDefault="006F334E" w:rsidP="006F334E">
      <w:pPr>
        <w:pStyle w:val="Bibliografa"/>
      </w:pPr>
      <w:r>
        <w:lastRenderedPageBreak/>
        <w:t>32.</w:t>
      </w:r>
      <w:r>
        <w:tab/>
        <w:t>Gaudet P, Škunca N, Hu JC, Dessimoz C. Primer on the Gene Ontology. Methods Mol Biol Clifton NJ. 2017;1446:25-37. doi:10.1007/978-1-4939-3743-1_3 PubMed PMID: 27812933; PubMed Central PMCID: PMC6377150.</w:t>
      </w:r>
    </w:p>
    <w:p w14:paraId="7C3468DB" w14:textId="77777777" w:rsidR="006F334E" w:rsidRDefault="006F334E" w:rsidP="006F334E">
      <w:pPr>
        <w:pStyle w:val="Bibliografa"/>
      </w:pPr>
      <w:r>
        <w:t>33.</w:t>
      </w:r>
      <w:r>
        <w:tab/>
        <w:t>The Gene Ontology resource: enriching a GOld mine. Nucleic Acids Res. 8 de diciembre de 2020;49(D1):D325-34. doi:10.1093/nar/gkaa1113 PubMed PMID: 33290552; PubMed Central PMCID: PMC7779012.</w:t>
      </w:r>
    </w:p>
    <w:p w14:paraId="01A78B74" w14:textId="77777777" w:rsidR="006F334E" w:rsidRDefault="006F334E" w:rsidP="006F334E">
      <w:pPr>
        <w:pStyle w:val="Bibliografa"/>
      </w:pPr>
      <w:r>
        <w:t>34.</w:t>
      </w:r>
      <w:r>
        <w:tab/>
        <w:t>Zhu A, Ibrahim JG, Love MI. Heavy-tailed prior distributions for sequence count data: removing the noise and preserving large differences [Internet]. [citado 20 de abril de 2026]. Disponible en: https://dx.doi.org/10.1093/bioinformatics/bty895</w:t>
      </w:r>
    </w:p>
    <w:p w14:paraId="139D9837" w14:textId="77777777" w:rsidR="006F334E" w:rsidRDefault="006F334E" w:rsidP="006F334E">
      <w:pPr>
        <w:pStyle w:val="Bibliografa"/>
      </w:pPr>
      <w:r>
        <w:t>35.</w:t>
      </w:r>
      <w:r>
        <w:tab/>
        <w:t>Xu S, Hu E, Cai Y, Xie Z, Luo X, Zhan L, et al. Using clusterProfiler to characterize multiomics data. Nat Protoc. noviembre de 2024;19(11):3292-320. doi:10.1038/s41596-024-01020-z PubMed PMID: 39019974.</w:t>
      </w:r>
    </w:p>
    <w:p w14:paraId="1FE53CDE" w14:textId="77777777" w:rsidR="006F334E" w:rsidRDefault="006F334E" w:rsidP="006F334E">
      <w:pPr>
        <w:pStyle w:val="Bibliografa"/>
      </w:pPr>
      <w:r>
        <w:t>36.</w:t>
      </w:r>
      <w:r>
        <w:tab/>
        <w:t>Mukaida N, Sasaki S. Fibroblasts, an inconspicuous but essential player in colon cancer development and progression. World J Gastroenterol. 21 de junio de 2016;22(23):5301-16. doi:10.3748/wjg.v22.i23.5301 PubMed PMID: 27340347; PubMed Central PMCID: PMC4910652.</w:t>
      </w:r>
    </w:p>
    <w:p w14:paraId="385CC92F" w14:textId="77777777" w:rsidR="006F334E" w:rsidRDefault="006F334E" w:rsidP="006F334E">
      <w:pPr>
        <w:pStyle w:val="Bibliografa"/>
      </w:pPr>
      <w:r>
        <w:t>37.</w:t>
      </w:r>
      <w:r>
        <w:tab/>
        <w:t>Zhang D, Zhu H, Harpaz N. Overexpression of α1 chain of type XI collagen (COL11A1) aids in the diagnosis of invasive carcinoma in endoscopically removed malignant colorectal polyps. Pathol Res Pract. junio de 2016;212(6):545-8. doi:10.1016/j.prp.2016.03.005 PubMed PMID: 27021528.</w:t>
      </w:r>
    </w:p>
    <w:p w14:paraId="5A9ED891" w14:textId="77777777" w:rsidR="006F334E" w:rsidRDefault="006F334E" w:rsidP="006F334E">
      <w:pPr>
        <w:pStyle w:val="Bibliografa"/>
      </w:pPr>
      <w:r>
        <w:t>38.</w:t>
      </w:r>
      <w:r>
        <w:tab/>
        <w:t>Torres S, Garcia-Palmero I, Herrera M, Bartolomé RA, Peña C, Fernandez-Aceñero MJ, et al. LOXL2 Is Highly Expressed in Cancer-Associated Fibroblasts and Associates to Poor Colon Cancer Survival. Clin Cancer Res. 1 de noviembre de 2015;21(21):4892-902. doi:10.1158/1078-0432.CCR-14-3096</w:t>
      </w:r>
    </w:p>
    <w:p w14:paraId="1AE71595" w14:textId="77777777" w:rsidR="006F334E" w:rsidRDefault="006F334E" w:rsidP="006F334E">
      <w:pPr>
        <w:pStyle w:val="Bibliografa"/>
      </w:pPr>
      <w:r>
        <w:t>39.</w:t>
      </w:r>
      <w:r>
        <w:tab/>
        <w:t>Duval H, Toomey B, Karam M, Braun T, Fournier D, Grant C, et al. Microenvironmental CTHRC1 has a pro-tumorigenic role in colorectal cancer. Oncotarget. 20 de mayo de 2026;17:258-67. doi:10.18632/oncotarget.28878 PubMed PMID: 42191349; PubMed Central PMCID: PMC13235751.</w:t>
      </w:r>
    </w:p>
    <w:p w14:paraId="2E33C5FA" w14:textId="77777777" w:rsidR="006F334E" w:rsidRDefault="006F334E" w:rsidP="006F334E">
      <w:pPr>
        <w:pStyle w:val="Bibliografa"/>
      </w:pPr>
      <w:r>
        <w:t>40.</w:t>
      </w:r>
      <w:r>
        <w:tab/>
        <w:t>Aizawa T, Karasawa H, Funayama R, Shirota M, Suzuki T, Maeda S, et al. Cancer‐associated fibroblasts secrete Wnt2 to promote cancer progression in colorectal cancer. Cancer Med. 29 de agosto de 2019;8(14):6370-82. doi:10.1002/cam4.2523 PubMed PMID: 31468733; PubMed Central PMCID: PMC6797671.</w:t>
      </w:r>
    </w:p>
    <w:p w14:paraId="133EE14A" w14:textId="77777777" w:rsidR="006F334E" w:rsidRDefault="006F334E" w:rsidP="006F334E">
      <w:pPr>
        <w:pStyle w:val="Bibliografa"/>
      </w:pPr>
      <w:r>
        <w:t>41.</w:t>
      </w:r>
      <w:r>
        <w:tab/>
        <w:t>Zhao H, Ming T, Tang S, Ren S, Yang H, Liu M, et al. Wnt signaling in colorectal cancer: pathogenic role and therapeutic target. Mol Cancer. 14 de julio de 2022;21:144. doi:10.1186/s12943-022-01616-7 PubMed PMID: 35836256; PubMed Central PMCID: PMC9281132.</w:t>
      </w:r>
    </w:p>
    <w:p w14:paraId="6E5582B6" w14:textId="77777777" w:rsidR="006F334E" w:rsidRDefault="006F334E" w:rsidP="006F334E">
      <w:pPr>
        <w:pStyle w:val="Bibliografa"/>
      </w:pPr>
      <w:r>
        <w:t>42.</w:t>
      </w:r>
      <w:r>
        <w:tab/>
        <w:t xml:space="preserve">Wang Z, Xia B, Qi S, Zhang X, Zhang X, Li Y, et al. Bestrophin-4 relays HES4 and interacts with TWIST1 to suppress epithelial-to-mesenchymal transition in colorectal cancer cells. </w:t>
      </w:r>
      <w:r>
        <w:lastRenderedPageBreak/>
        <w:t>eLife. 12:RP88879. doi:10.7554/eLife.88879 PubMed PMID: 39699952; PubMed Central PMCID: PMC11658771.</w:t>
      </w:r>
    </w:p>
    <w:p w14:paraId="61846E1C" w14:textId="77777777" w:rsidR="006F334E" w:rsidRDefault="006F334E" w:rsidP="006F334E">
      <w:pPr>
        <w:pStyle w:val="Bibliografa"/>
      </w:pPr>
      <w:r>
        <w:t>43.</w:t>
      </w:r>
      <w:r>
        <w:tab/>
        <w:t>Zou K, Hu Y, Li M, Wang H, Zhang Y, Huang L, et al. Potential Role of HMGCS2 in Tumor Angiogenesis in Colorectal Cancer and Its Potential Use as a Diagnostic Marker. Can J Gastroenterol Hepatol. 1 de julio de 2019;2019:8348967. doi:10.1155/2019/8348967 PubMed PMID: 31355161; PubMed Central PMCID: PMC6634068.</w:t>
      </w:r>
    </w:p>
    <w:p w14:paraId="30811AE3" w14:textId="77777777" w:rsidR="006F334E" w:rsidRDefault="006F334E" w:rsidP="006F334E">
      <w:pPr>
        <w:pStyle w:val="Bibliografa"/>
      </w:pPr>
      <w:r>
        <w:t>44.</w:t>
      </w:r>
      <w:r>
        <w:tab/>
        <w:t>Gu Y, Chen Y, Wei L, Wu S, Shen K, Liu C, et al. ABHD5 inhibits YAP-induced c-Met overexpression and colon cancer cell stemness via suppressing YAP methylation. Nat Commun. 18 de noviembre de 2021;12:6711. doi:10.1038/s41467-021-26967-5 PubMed PMID: 34795238; PubMed Central PMCID: PMC8602706.</w:t>
      </w:r>
    </w:p>
    <w:p w14:paraId="63F153D3" w14:textId="77777777" w:rsidR="006F334E" w:rsidRDefault="006F334E" w:rsidP="006F334E">
      <w:pPr>
        <w:pStyle w:val="Bibliografa"/>
      </w:pPr>
      <w:r>
        <w:t>45.</w:t>
      </w:r>
      <w:r>
        <w:tab/>
        <w:t>Wang W, Li Q, Yang T, Bai G, Li D, Li Q, et al. Expression of AQP5 and AQP8 in human colorectal carcinoma and their clinical significance. World J Surg Oncol. 13 de noviembre de 2012;10:242. doi:10.1186/1477-7819-10-242 PubMed PMID: 23148732; PubMed Central PMCID: PMC3502271.</w:t>
      </w:r>
    </w:p>
    <w:p w14:paraId="3C29ABEE" w14:textId="77777777" w:rsidR="006F334E" w:rsidRDefault="006F334E" w:rsidP="006F334E">
      <w:pPr>
        <w:pStyle w:val="Bibliografa"/>
      </w:pPr>
      <w:r>
        <w:t>46.</w:t>
      </w:r>
      <w:r>
        <w:tab/>
        <w:t>Yang GZ, Hu L, Cai J, Chen HY, Zhang Y, Feng D, et al. Prognostic value of carbonic anhydrase VII expression in colorectal carcinoma. BMC Cancer. 1 de abril de 2015;15:209. doi:10.1186/s12885-015-1216-y PubMed PMID: 25885898; PubMed Central PMCID: PMC4406128.</w:t>
      </w:r>
    </w:p>
    <w:p w14:paraId="25B5A0FB" w14:textId="77777777" w:rsidR="006F334E" w:rsidRDefault="006F334E" w:rsidP="006F334E">
      <w:pPr>
        <w:pStyle w:val="Bibliografa"/>
      </w:pPr>
      <w:r>
        <w:t>47.</w:t>
      </w:r>
      <w:r>
        <w:tab/>
        <w:t>Qu H, Su Y, Yu L, Zhao H, Xin C. Wild‐type p53 regulates OTOP2 transcription through DNA loop alteration of the promoter in colorectal cancer. FEBS Open Bio. 20 de diciembre de 2018;9(1):26-34. doi:10.1002/2211-5463.12554 PubMed PMID: 30652071; PubMed Central PMCID: PMC6325572.</w:t>
      </w:r>
    </w:p>
    <w:p w14:paraId="43ED76A7" w14:textId="77777777" w:rsidR="006F334E" w:rsidRDefault="006F334E" w:rsidP="006F334E">
      <w:pPr>
        <w:pStyle w:val="Bibliografa"/>
      </w:pPr>
      <w:r>
        <w:t>48.</w:t>
      </w:r>
      <w:r>
        <w:tab/>
        <w:t>Pattison AM, Merlino DJ, Blomain ES, Waldman SA. Guanylyl cyclase C signaling axis and colon cancer prevention. World J Gastroenterol. 28 de septiembre de 2016;22(36):8070-7. doi:10.3748/wjg.v22.i36.8070 PubMed PMID: 27688649; PubMed Central PMCID: PMC5037076.</w:t>
      </w:r>
    </w:p>
    <w:p w14:paraId="07EDCAB9" w14:textId="77777777" w:rsidR="006F334E" w:rsidRDefault="006F334E" w:rsidP="006F334E">
      <w:pPr>
        <w:pStyle w:val="Bibliografa"/>
      </w:pPr>
      <w:r>
        <w:t>49.</w:t>
      </w:r>
      <w:r>
        <w:tab/>
        <w:t>Müller D, Győrffy B. DNA methylation-based diagnostic, prognostic, and predictive biomarkers in colorectal cancer. Biochim Biophys Acta BBA - Rev Cancer. 1 de mayo de 2022;1877(3):188722. doi:10.1016/j.bbcan.2022.188722</w:t>
      </w:r>
    </w:p>
    <w:p w14:paraId="4886DDD1" w14:textId="77777777" w:rsidR="006F334E" w:rsidRDefault="006F334E" w:rsidP="006F334E">
      <w:pPr>
        <w:pStyle w:val="Bibliografa"/>
      </w:pPr>
      <w:r>
        <w:t>50.</w:t>
      </w:r>
      <w:r>
        <w:tab/>
        <w:t>LaPointe LC, Pedersen SK, Dunne R, Brown GS, Pimlott L, Gaur S, et al. Discovery and Validation of Molecular Biomarkers for Colorectal Adenomas and Cancer with Application to Blood Testing. PLoS ONE. 19 de enero de 2012;7(1):e29059. doi:10.1371/journal.pone.0029059 PubMed PMID: 22276102; PubMed Central PMCID: PMC3261845.</w:t>
      </w:r>
    </w:p>
    <w:p w14:paraId="78F8871E" w14:textId="77777777" w:rsidR="006F334E" w:rsidRDefault="006F334E" w:rsidP="006F334E">
      <w:pPr>
        <w:pStyle w:val="Bibliografa"/>
      </w:pPr>
      <w:r>
        <w:t>51.</w:t>
      </w:r>
      <w:r>
        <w:tab/>
        <w:t>Liang B, Li C, Zhao J. Identification of key pathways and genes in colorectal cancer using bioinformatics analysis. Med Oncol. 31 de agosto de 2016;33(10):111. doi:10.1007/s12032-016-0829-6</w:t>
      </w:r>
    </w:p>
    <w:p w14:paraId="71649530" w14:textId="77777777" w:rsidR="006F334E" w:rsidRDefault="006F334E" w:rsidP="006F334E">
      <w:pPr>
        <w:pStyle w:val="Bibliografa"/>
      </w:pPr>
      <w:r>
        <w:lastRenderedPageBreak/>
        <w:t>52.</w:t>
      </w:r>
      <w:r>
        <w:tab/>
        <w:t>Sun G, Li Y, Peng Y, Lu D, Zhang F, Cui X, et al. Identification of differentially expressed genes and biological characteristics of colorectal cancer by integrated bioinformatics analysis. J Cell Physiol. 2019;234(9):15215-24. doi:10.1002/jcp.28163</w:t>
      </w:r>
    </w:p>
    <w:p w14:paraId="63B74E6A" w14:textId="7ADDE5E0" w:rsidR="00835045" w:rsidRPr="00835045" w:rsidRDefault="00FA2090">
      <w:pPr>
        <w:spacing w:before="0" w:after="0" w:line="240" w:lineRule="auto"/>
        <w:jc w:val="left"/>
      </w:pPr>
      <w:r>
        <w:fldChar w:fldCharType="end"/>
      </w:r>
      <w:r w:rsidR="00835045">
        <w:rPr>
          <w:rFonts w:asciiTheme="majorHAnsi" w:hAnsiTheme="majorHAnsi"/>
          <w:bCs/>
          <w:color w:val="0098CD"/>
          <w:kern w:val="32"/>
          <w:sz w:val="36"/>
          <w:szCs w:val="32"/>
        </w:rPr>
        <w:br w:type="page"/>
      </w:r>
    </w:p>
    <w:p w14:paraId="79D4766C" w14:textId="26672B72" w:rsidR="00504CBB" w:rsidRDefault="00A338B2" w:rsidP="00835045">
      <w:pPr>
        <w:pStyle w:val="Anexo"/>
      </w:pPr>
      <w:bookmarkStart w:id="66" w:name="_Toc239417063"/>
      <w:r w:rsidRPr="00A338B2">
        <w:lastRenderedPageBreak/>
        <w:t>Material Suplementario de la Firma Consenso</w:t>
      </w:r>
      <w:bookmarkEnd w:id="66"/>
    </w:p>
    <w:p w14:paraId="0068AF70" w14:textId="3B514AE7" w:rsidR="004A1570" w:rsidRDefault="00504CBB" w:rsidP="00504CBB">
      <w:pPr>
        <w:pStyle w:val="TtuloTDC"/>
      </w:pPr>
      <w:bookmarkStart w:id="67" w:name="_Toc238816335"/>
      <w:r w:rsidRPr="00CF3B8A">
        <w:t>Tabla</w:t>
      </w:r>
      <w:r>
        <w:t xml:space="preserve"> </w:t>
      </w:r>
      <w:r w:rsidR="0042512D">
        <w:t>A1</w:t>
      </w:r>
      <w:r w:rsidRPr="00CF3B8A">
        <w:t xml:space="preserve">. </w:t>
      </w:r>
      <w:r w:rsidRPr="00504CBB">
        <w:t xml:space="preserve">Identificadores ENTREZ y símbolos oficiales (SYMBOL) del conjunto de genes del consenso </w:t>
      </w:r>
      <w:r w:rsidRPr="00504CBB">
        <w:rPr>
          <w:i/>
          <w:iCs/>
        </w:rPr>
        <w:t>UP</w:t>
      </w:r>
      <w:r w:rsidRPr="00504CBB">
        <w:t>.</w:t>
      </w:r>
      <w:bookmarkEnd w:id="67"/>
    </w:p>
    <w:tbl>
      <w:tblPr>
        <w:tblStyle w:val="Tabladelista4"/>
        <w:tblW w:w="0" w:type="auto"/>
        <w:jc w:val="center"/>
        <w:tblLook w:val="04A0" w:firstRow="1" w:lastRow="0" w:firstColumn="1" w:lastColumn="0" w:noHBand="0" w:noVBand="1"/>
      </w:tblPr>
      <w:tblGrid>
        <w:gridCol w:w="1311"/>
        <w:gridCol w:w="1555"/>
        <w:gridCol w:w="222"/>
        <w:gridCol w:w="1311"/>
        <w:gridCol w:w="1237"/>
        <w:gridCol w:w="222"/>
        <w:gridCol w:w="1192"/>
        <w:gridCol w:w="1221"/>
      </w:tblGrid>
      <w:tr w:rsidR="00C66693" w:rsidRPr="00C66693" w14:paraId="76614EB1" w14:textId="77777777" w:rsidTr="00780E30">
        <w:trPr>
          <w:cnfStyle w:val="100000000000" w:firstRow="1" w:lastRow="0" w:firstColumn="0" w:lastColumn="0" w:oddVBand="0" w:evenVBand="0" w:oddHBand="0" w:evenHBand="0" w:firstRowFirstColumn="0" w:firstRowLastColumn="0" w:lastRowFirstColumn="0" w:lastRowLastColumn="0"/>
          <w:trHeight w:val="501"/>
          <w:tblHeader/>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19318659" w14:textId="77777777" w:rsidR="00C66693" w:rsidRPr="00780E30" w:rsidRDefault="00C66693" w:rsidP="00504CBB">
            <w:pPr>
              <w:jc w:val="right"/>
              <w:rPr>
                <w:rFonts w:cstheme="minorHAnsi"/>
                <w:i/>
                <w:iCs/>
                <w:color w:val="auto"/>
              </w:rPr>
            </w:pPr>
            <w:r w:rsidRPr="00780E30">
              <w:rPr>
                <w:rFonts w:cstheme="minorHAnsi"/>
                <w:i/>
                <w:iCs/>
                <w:color w:val="auto"/>
              </w:rPr>
              <w:t>ENTREZID</w:t>
            </w:r>
          </w:p>
        </w:tc>
        <w:tc>
          <w:tcPr>
            <w:tcW w:w="0" w:type="auto"/>
            <w:noWrap/>
            <w:hideMark/>
          </w:tcPr>
          <w:p w14:paraId="1BFBB39D" w14:textId="77777777" w:rsidR="00C66693" w:rsidRPr="00780E30" w:rsidRDefault="00C66693" w:rsidP="00504CBB">
            <w:pPr>
              <w:jc w:val="left"/>
              <w:cnfStyle w:val="100000000000" w:firstRow="1" w:lastRow="0" w:firstColumn="0" w:lastColumn="0" w:oddVBand="0" w:evenVBand="0" w:oddHBand="0" w:evenHBand="0" w:firstRowFirstColumn="0" w:firstRowLastColumn="0" w:lastRowFirstColumn="0" w:lastRowLastColumn="0"/>
              <w:rPr>
                <w:rFonts w:cstheme="minorHAnsi"/>
                <w:i/>
                <w:iCs/>
                <w:color w:val="auto"/>
              </w:rPr>
            </w:pPr>
            <w:r w:rsidRPr="00780E30">
              <w:rPr>
                <w:rFonts w:cstheme="minorHAnsi"/>
                <w:i/>
                <w:iCs/>
                <w:color w:val="auto"/>
              </w:rPr>
              <w:t>SYMBOL</w:t>
            </w:r>
          </w:p>
        </w:tc>
        <w:tc>
          <w:tcPr>
            <w:tcW w:w="0" w:type="auto"/>
            <w:noWrap/>
            <w:hideMark/>
          </w:tcPr>
          <w:p w14:paraId="2226591E" w14:textId="77777777" w:rsidR="00C66693" w:rsidRPr="00780E30" w:rsidRDefault="00C66693" w:rsidP="00C66693">
            <w:pPr>
              <w:spacing w:before="0" w:after="0" w:line="240" w:lineRule="auto"/>
              <w:jc w:val="left"/>
              <w:cnfStyle w:val="100000000000" w:firstRow="1" w:lastRow="0" w:firstColumn="0" w:lastColumn="0" w:oddVBand="0" w:evenVBand="0" w:oddHBand="0" w:evenHBand="0" w:firstRowFirstColumn="0" w:firstRowLastColumn="0" w:lastRowFirstColumn="0" w:lastRowLastColumn="0"/>
              <w:rPr>
                <w:rFonts w:ascii="Arial" w:hAnsi="Arial" w:cs="Arial"/>
                <w:color w:val="212121"/>
                <w:sz w:val="22"/>
                <w:szCs w:val="22"/>
              </w:rPr>
            </w:pPr>
          </w:p>
        </w:tc>
        <w:tc>
          <w:tcPr>
            <w:tcW w:w="0" w:type="auto"/>
            <w:noWrap/>
            <w:hideMark/>
          </w:tcPr>
          <w:p w14:paraId="34358786" w14:textId="77777777" w:rsidR="00C66693" w:rsidRPr="00780E30" w:rsidRDefault="00C66693" w:rsidP="00504CBB">
            <w:pPr>
              <w:jc w:val="right"/>
              <w:cnfStyle w:val="100000000000" w:firstRow="1" w:lastRow="0" w:firstColumn="0" w:lastColumn="0" w:oddVBand="0" w:evenVBand="0" w:oddHBand="0" w:evenHBand="0" w:firstRowFirstColumn="0" w:firstRowLastColumn="0" w:lastRowFirstColumn="0" w:lastRowLastColumn="0"/>
              <w:rPr>
                <w:rFonts w:cstheme="minorHAnsi"/>
                <w:i/>
                <w:iCs/>
                <w:color w:val="auto"/>
              </w:rPr>
            </w:pPr>
            <w:r w:rsidRPr="00780E30">
              <w:rPr>
                <w:rFonts w:cstheme="minorHAnsi"/>
                <w:i/>
                <w:iCs/>
                <w:color w:val="auto"/>
              </w:rPr>
              <w:t>ENTREZID</w:t>
            </w:r>
          </w:p>
        </w:tc>
        <w:tc>
          <w:tcPr>
            <w:tcW w:w="0" w:type="auto"/>
            <w:noWrap/>
            <w:hideMark/>
          </w:tcPr>
          <w:p w14:paraId="049CFF4B" w14:textId="77777777" w:rsidR="00C66693" w:rsidRPr="00780E30" w:rsidRDefault="00C66693" w:rsidP="00504CBB">
            <w:pPr>
              <w:jc w:val="left"/>
              <w:cnfStyle w:val="100000000000" w:firstRow="1" w:lastRow="0" w:firstColumn="0" w:lastColumn="0" w:oddVBand="0" w:evenVBand="0" w:oddHBand="0" w:evenHBand="0" w:firstRowFirstColumn="0" w:firstRowLastColumn="0" w:lastRowFirstColumn="0" w:lastRowLastColumn="0"/>
              <w:rPr>
                <w:rFonts w:cstheme="minorHAnsi"/>
                <w:i/>
                <w:iCs/>
                <w:color w:val="auto"/>
              </w:rPr>
            </w:pPr>
            <w:r w:rsidRPr="00780E30">
              <w:rPr>
                <w:rFonts w:cstheme="minorHAnsi"/>
                <w:i/>
                <w:iCs/>
                <w:color w:val="auto"/>
              </w:rPr>
              <w:t>SYMBOL</w:t>
            </w:r>
          </w:p>
        </w:tc>
        <w:tc>
          <w:tcPr>
            <w:tcW w:w="0" w:type="auto"/>
            <w:noWrap/>
            <w:hideMark/>
          </w:tcPr>
          <w:p w14:paraId="15FA8B08" w14:textId="77777777" w:rsidR="00C66693" w:rsidRPr="00780E30" w:rsidRDefault="00C66693" w:rsidP="00C66693">
            <w:pPr>
              <w:spacing w:before="0" w:after="0" w:line="240" w:lineRule="auto"/>
              <w:jc w:val="left"/>
              <w:cnfStyle w:val="100000000000" w:firstRow="1" w:lastRow="0" w:firstColumn="0" w:lastColumn="0" w:oddVBand="0" w:evenVBand="0" w:oddHBand="0" w:evenHBand="0" w:firstRowFirstColumn="0" w:firstRowLastColumn="0" w:lastRowFirstColumn="0" w:lastRowLastColumn="0"/>
              <w:rPr>
                <w:rFonts w:ascii="Arial" w:hAnsi="Arial" w:cs="Arial"/>
                <w:color w:val="212121"/>
                <w:sz w:val="22"/>
                <w:szCs w:val="22"/>
              </w:rPr>
            </w:pPr>
          </w:p>
        </w:tc>
        <w:tc>
          <w:tcPr>
            <w:tcW w:w="0" w:type="auto"/>
            <w:noWrap/>
            <w:hideMark/>
          </w:tcPr>
          <w:p w14:paraId="47B480E1" w14:textId="77777777" w:rsidR="00C66693" w:rsidRPr="00780E30" w:rsidRDefault="00C66693" w:rsidP="00504CBB">
            <w:pPr>
              <w:jc w:val="right"/>
              <w:cnfStyle w:val="100000000000" w:firstRow="1" w:lastRow="0" w:firstColumn="0" w:lastColumn="0" w:oddVBand="0" w:evenVBand="0" w:oddHBand="0" w:evenHBand="0" w:firstRowFirstColumn="0" w:firstRowLastColumn="0" w:lastRowFirstColumn="0" w:lastRowLastColumn="0"/>
              <w:rPr>
                <w:rFonts w:cstheme="minorHAnsi"/>
                <w:i/>
                <w:iCs/>
                <w:color w:val="auto"/>
              </w:rPr>
            </w:pPr>
            <w:r w:rsidRPr="00780E30">
              <w:rPr>
                <w:rFonts w:cstheme="minorHAnsi"/>
                <w:i/>
                <w:iCs/>
                <w:color w:val="auto"/>
              </w:rPr>
              <w:t>ENTREZID</w:t>
            </w:r>
          </w:p>
        </w:tc>
        <w:tc>
          <w:tcPr>
            <w:tcW w:w="0" w:type="auto"/>
            <w:noWrap/>
            <w:hideMark/>
          </w:tcPr>
          <w:p w14:paraId="72C122CF" w14:textId="77777777" w:rsidR="00C66693" w:rsidRPr="00780E30" w:rsidRDefault="00C66693" w:rsidP="00504CBB">
            <w:pPr>
              <w:jc w:val="left"/>
              <w:cnfStyle w:val="100000000000" w:firstRow="1" w:lastRow="0" w:firstColumn="0" w:lastColumn="0" w:oddVBand="0" w:evenVBand="0" w:oddHBand="0" w:evenHBand="0" w:firstRowFirstColumn="0" w:firstRowLastColumn="0" w:lastRowFirstColumn="0" w:lastRowLastColumn="0"/>
              <w:rPr>
                <w:rFonts w:cstheme="minorHAnsi"/>
                <w:i/>
                <w:iCs/>
                <w:color w:val="auto"/>
              </w:rPr>
            </w:pPr>
            <w:r w:rsidRPr="00780E30">
              <w:rPr>
                <w:rFonts w:cstheme="minorHAnsi"/>
                <w:i/>
                <w:iCs/>
                <w:color w:val="auto"/>
              </w:rPr>
              <w:t>SYMBOL</w:t>
            </w:r>
          </w:p>
        </w:tc>
      </w:tr>
      <w:tr w:rsidR="00C66693" w:rsidRPr="00C66693" w14:paraId="7094A0DF" w14:textId="77777777" w:rsidTr="00780E30">
        <w:trPr>
          <w:cnfStyle w:val="000000100000" w:firstRow="0" w:lastRow="0" w:firstColumn="0" w:lastColumn="0" w:oddVBand="0" w:evenVBand="0" w:oddHBand="1" w:evenHBand="0" w:firstRowFirstColumn="0" w:firstRowLastColumn="0" w:lastRowFirstColumn="0" w:lastRowLastColumn="0"/>
          <w:trHeight w:val="399"/>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0E14C0EF" w14:textId="77777777" w:rsidR="00C66693" w:rsidRPr="00C66693" w:rsidRDefault="00C66693" w:rsidP="00504CBB">
            <w:pPr>
              <w:jc w:val="right"/>
              <w:rPr>
                <w:rFonts w:cstheme="minorHAnsi"/>
                <w:b w:val="0"/>
                <w:bCs w:val="0"/>
                <w:i/>
                <w:iCs/>
              </w:rPr>
            </w:pPr>
            <w:r w:rsidRPr="00C66693">
              <w:rPr>
                <w:rFonts w:cstheme="minorHAnsi"/>
                <w:b w:val="0"/>
                <w:bCs w:val="0"/>
                <w:i/>
                <w:iCs/>
              </w:rPr>
              <w:t>3624</w:t>
            </w:r>
          </w:p>
        </w:tc>
        <w:tc>
          <w:tcPr>
            <w:tcW w:w="0" w:type="auto"/>
            <w:noWrap/>
            <w:hideMark/>
          </w:tcPr>
          <w:p w14:paraId="4D3A4234" w14:textId="77777777" w:rsidR="00C66693" w:rsidRPr="00780E30" w:rsidRDefault="00C66693" w:rsidP="00504CBB">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INHBA</w:t>
            </w:r>
          </w:p>
        </w:tc>
        <w:tc>
          <w:tcPr>
            <w:tcW w:w="0" w:type="auto"/>
            <w:noWrap/>
            <w:hideMark/>
          </w:tcPr>
          <w:p w14:paraId="4F0A9344" w14:textId="77777777" w:rsidR="00C66693" w:rsidRPr="00C66693" w:rsidRDefault="00C66693" w:rsidP="00C66693">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color w:val="333333"/>
                <w:sz w:val="22"/>
                <w:szCs w:val="22"/>
              </w:rPr>
            </w:pPr>
          </w:p>
        </w:tc>
        <w:tc>
          <w:tcPr>
            <w:tcW w:w="0" w:type="auto"/>
            <w:noWrap/>
            <w:hideMark/>
          </w:tcPr>
          <w:p w14:paraId="63C07164" w14:textId="77777777" w:rsidR="00C66693" w:rsidRPr="00780E30" w:rsidRDefault="00C66693" w:rsidP="00504CBB">
            <w:pPr>
              <w:jc w:val="right"/>
              <w:cnfStyle w:val="000000100000" w:firstRow="0" w:lastRow="0" w:firstColumn="0" w:lastColumn="0" w:oddVBand="0" w:evenVBand="0" w:oddHBand="1" w:evenHBand="0" w:firstRowFirstColumn="0" w:firstRowLastColumn="0" w:lastRowFirstColumn="0" w:lastRowLastColumn="0"/>
              <w:rPr>
                <w:rFonts w:cstheme="minorHAnsi"/>
                <w:i/>
                <w:iCs/>
              </w:rPr>
            </w:pPr>
            <w:r w:rsidRPr="00780E30">
              <w:rPr>
                <w:rFonts w:cstheme="minorHAnsi"/>
                <w:i/>
                <w:iCs/>
              </w:rPr>
              <w:t>23657</w:t>
            </w:r>
          </w:p>
        </w:tc>
        <w:tc>
          <w:tcPr>
            <w:tcW w:w="0" w:type="auto"/>
            <w:noWrap/>
            <w:hideMark/>
          </w:tcPr>
          <w:p w14:paraId="68CAF36D" w14:textId="77777777" w:rsidR="00C66693" w:rsidRPr="00780E30" w:rsidRDefault="00C66693" w:rsidP="00504CBB">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SLC7A11</w:t>
            </w:r>
          </w:p>
        </w:tc>
        <w:tc>
          <w:tcPr>
            <w:tcW w:w="0" w:type="auto"/>
            <w:noWrap/>
            <w:hideMark/>
          </w:tcPr>
          <w:p w14:paraId="4CE97E3B" w14:textId="77777777" w:rsidR="00C66693" w:rsidRPr="00C66693" w:rsidRDefault="00C66693" w:rsidP="00C66693">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color w:val="333333"/>
                <w:sz w:val="22"/>
                <w:szCs w:val="22"/>
              </w:rPr>
            </w:pPr>
          </w:p>
        </w:tc>
        <w:tc>
          <w:tcPr>
            <w:tcW w:w="0" w:type="auto"/>
            <w:noWrap/>
            <w:hideMark/>
          </w:tcPr>
          <w:p w14:paraId="349C6AE9" w14:textId="77777777" w:rsidR="00C66693" w:rsidRPr="00780E30" w:rsidRDefault="00C66693" w:rsidP="00504CBB">
            <w:pPr>
              <w:jc w:val="right"/>
              <w:cnfStyle w:val="000000100000" w:firstRow="0" w:lastRow="0" w:firstColumn="0" w:lastColumn="0" w:oddVBand="0" w:evenVBand="0" w:oddHBand="1" w:evenHBand="0" w:firstRowFirstColumn="0" w:firstRowLastColumn="0" w:lastRowFirstColumn="0" w:lastRowLastColumn="0"/>
              <w:rPr>
                <w:rFonts w:cstheme="minorHAnsi"/>
                <w:i/>
                <w:iCs/>
              </w:rPr>
            </w:pPr>
            <w:r w:rsidRPr="00780E30">
              <w:rPr>
                <w:rFonts w:cstheme="minorHAnsi"/>
                <w:i/>
                <w:iCs/>
              </w:rPr>
              <w:t>79075</w:t>
            </w:r>
          </w:p>
        </w:tc>
        <w:tc>
          <w:tcPr>
            <w:tcW w:w="0" w:type="auto"/>
            <w:noWrap/>
            <w:hideMark/>
          </w:tcPr>
          <w:p w14:paraId="6FBE3F70" w14:textId="77777777" w:rsidR="00C66693" w:rsidRPr="00780E30" w:rsidRDefault="00C66693" w:rsidP="00504CBB">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DSCC1</w:t>
            </w:r>
          </w:p>
        </w:tc>
      </w:tr>
      <w:tr w:rsidR="00C66693" w:rsidRPr="00C66693" w14:paraId="20B14FEF" w14:textId="77777777" w:rsidTr="00780E30">
        <w:trPr>
          <w:trHeight w:val="399"/>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10EC8E84" w14:textId="77777777" w:rsidR="00C66693" w:rsidRPr="00C66693" w:rsidRDefault="00C66693" w:rsidP="00504CBB">
            <w:pPr>
              <w:jc w:val="right"/>
              <w:rPr>
                <w:rFonts w:cstheme="minorHAnsi"/>
                <w:b w:val="0"/>
                <w:bCs w:val="0"/>
                <w:i/>
                <w:iCs/>
              </w:rPr>
            </w:pPr>
            <w:r w:rsidRPr="00C66693">
              <w:rPr>
                <w:rFonts w:cstheme="minorHAnsi"/>
                <w:b w:val="0"/>
                <w:bCs w:val="0"/>
                <w:i/>
                <w:iCs/>
              </w:rPr>
              <w:t>4316</w:t>
            </w:r>
          </w:p>
        </w:tc>
        <w:tc>
          <w:tcPr>
            <w:tcW w:w="0" w:type="auto"/>
            <w:noWrap/>
            <w:hideMark/>
          </w:tcPr>
          <w:p w14:paraId="5E240909" w14:textId="77777777" w:rsidR="00C66693" w:rsidRPr="00780E30" w:rsidRDefault="00C66693" w:rsidP="00504CBB">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MMP7</w:t>
            </w:r>
          </w:p>
        </w:tc>
        <w:tc>
          <w:tcPr>
            <w:tcW w:w="0" w:type="auto"/>
            <w:noWrap/>
            <w:hideMark/>
          </w:tcPr>
          <w:p w14:paraId="277B891E" w14:textId="77777777" w:rsidR="00C66693" w:rsidRPr="00C66693" w:rsidRDefault="00C66693" w:rsidP="00C66693">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color w:val="333333"/>
                <w:sz w:val="22"/>
                <w:szCs w:val="22"/>
              </w:rPr>
            </w:pPr>
          </w:p>
        </w:tc>
        <w:tc>
          <w:tcPr>
            <w:tcW w:w="0" w:type="auto"/>
            <w:noWrap/>
            <w:hideMark/>
          </w:tcPr>
          <w:p w14:paraId="49481E7D" w14:textId="77777777" w:rsidR="00C66693" w:rsidRPr="00780E30" w:rsidRDefault="00C66693" w:rsidP="00504CBB">
            <w:pPr>
              <w:jc w:val="right"/>
              <w:cnfStyle w:val="000000000000" w:firstRow="0" w:lastRow="0" w:firstColumn="0" w:lastColumn="0" w:oddVBand="0" w:evenVBand="0" w:oddHBand="0" w:evenHBand="0" w:firstRowFirstColumn="0" w:firstRowLastColumn="0" w:lastRowFirstColumn="0" w:lastRowLastColumn="0"/>
              <w:rPr>
                <w:rFonts w:cstheme="minorHAnsi"/>
                <w:i/>
                <w:iCs/>
              </w:rPr>
            </w:pPr>
            <w:r w:rsidRPr="00780E30">
              <w:rPr>
                <w:rFonts w:cstheme="minorHAnsi"/>
                <w:i/>
                <w:iCs/>
              </w:rPr>
              <w:t>8840</w:t>
            </w:r>
          </w:p>
        </w:tc>
        <w:tc>
          <w:tcPr>
            <w:tcW w:w="0" w:type="auto"/>
            <w:noWrap/>
            <w:hideMark/>
          </w:tcPr>
          <w:p w14:paraId="6EC66C09" w14:textId="77777777" w:rsidR="00C66693" w:rsidRPr="00780E30" w:rsidRDefault="00C66693" w:rsidP="00504CBB">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CCN4</w:t>
            </w:r>
          </w:p>
        </w:tc>
        <w:tc>
          <w:tcPr>
            <w:tcW w:w="0" w:type="auto"/>
            <w:noWrap/>
            <w:hideMark/>
          </w:tcPr>
          <w:p w14:paraId="4D2B922D" w14:textId="77777777" w:rsidR="00C66693" w:rsidRPr="00C66693" w:rsidRDefault="00C66693" w:rsidP="00C66693">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color w:val="333333"/>
                <w:sz w:val="22"/>
                <w:szCs w:val="22"/>
              </w:rPr>
            </w:pPr>
          </w:p>
        </w:tc>
        <w:tc>
          <w:tcPr>
            <w:tcW w:w="0" w:type="auto"/>
            <w:noWrap/>
            <w:hideMark/>
          </w:tcPr>
          <w:p w14:paraId="1B939A66" w14:textId="77777777" w:rsidR="00C66693" w:rsidRPr="00780E30" w:rsidRDefault="00C66693" w:rsidP="00504CBB">
            <w:pPr>
              <w:jc w:val="right"/>
              <w:cnfStyle w:val="000000000000" w:firstRow="0" w:lastRow="0" w:firstColumn="0" w:lastColumn="0" w:oddVBand="0" w:evenVBand="0" w:oddHBand="0" w:evenHBand="0" w:firstRowFirstColumn="0" w:firstRowLastColumn="0" w:lastRowFirstColumn="0" w:lastRowLastColumn="0"/>
              <w:rPr>
                <w:rFonts w:cstheme="minorHAnsi"/>
                <w:i/>
                <w:iCs/>
              </w:rPr>
            </w:pPr>
            <w:r w:rsidRPr="00780E30">
              <w:rPr>
                <w:rFonts w:cstheme="minorHAnsi"/>
                <w:i/>
                <w:iCs/>
              </w:rPr>
              <w:t>3855</w:t>
            </w:r>
          </w:p>
        </w:tc>
        <w:tc>
          <w:tcPr>
            <w:tcW w:w="0" w:type="auto"/>
            <w:noWrap/>
            <w:hideMark/>
          </w:tcPr>
          <w:p w14:paraId="0896EA90" w14:textId="77777777" w:rsidR="00C66693" w:rsidRPr="00780E30" w:rsidRDefault="00C66693" w:rsidP="00504CBB">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KRT7</w:t>
            </w:r>
          </w:p>
        </w:tc>
      </w:tr>
      <w:tr w:rsidR="00C66693" w:rsidRPr="00C66693" w14:paraId="505B352F" w14:textId="77777777" w:rsidTr="00780E30">
        <w:trPr>
          <w:cnfStyle w:val="000000100000" w:firstRow="0" w:lastRow="0" w:firstColumn="0" w:lastColumn="0" w:oddVBand="0" w:evenVBand="0" w:oddHBand="1" w:evenHBand="0" w:firstRowFirstColumn="0" w:firstRowLastColumn="0" w:lastRowFirstColumn="0" w:lastRowLastColumn="0"/>
          <w:trHeight w:val="399"/>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4D545173" w14:textId="77777777" w:rsidR="00C66693" w:rsidRPr="00C66693" w:rsidRDefault="00C66693" w:rsidP="00504CBB">
            <w:pPr>
              <w:jc w:val="right"/>
              <w:rPr>
                <w:rFonts w:cstheme="minorHAnsi"/>
                <w:b w:val="0"/>
                <w:bCs w:val="0"/>
                <w:i/>
                <w:iCs/>
              </w:rPr>
            </w:pPr>
            <w:r w:rsidRPr="00C66693">
              <w:rPr>
                <w:rFonts w:cstheme="minorHAnsi"/>
                <w:b w:val="0"/>
                <w:bCs w:val="0"/>
                <w:i/>
                <w:iCs/>
              </w:rPr>
              <w:t>1001</w:t>
            </w:r>
          </w:p>
        </w:tc>
        <w:tc>
          <w:tcPr>
            <w:tcW w:w="0" w:type="auto"/>
            <w:noWrap/>
            <w:hideMark/>
          </w:tcPr>
          <w:p w14:paraId="36C58983" w14:textId="77777777" w:rsidR="00C66693" w:rsidRPr="00780E30" w:rsidRDefault="00C66693" w:rsidP="00504CBB">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CDH3</w:t>
            </w:r>
          </w:p>
        </w:tc>
        <w:tc>
          <w:tcPr>
            <w:tcW w:w="0" w:type="auto"/>
            <w:noWrap/>
            <w:hideMark/>
          </w:tcPr>
          <w:p w14:paraId="53392D2C" w14:textId="77777777" w:rsidR="00C66693" w:rsidRPr="00C66693" w:rsidRDefault="00C66693" w:rsidP="00C66693">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color w:val="333333"/>
                <w:sz w:val="22"/>
                <w:szCs w:val="22"/>
              </w:rPr>
            </w:pPr>
          </w:p>
        </w:tc>
        <w:tc>
          <w:tcPr>
            <w:tcW w:w="0" w:type="auto"/>
            <w:noWrap/>
            <w:hideMark/>
          </w:tcPr>
          <w:p w14:paraId="5386CEDE" w14:textId="4F2A4CF5" w:rsidR="00C66693" w:rsidRPr="00780E30" w:rsidRDefault="00C66693" w:rsidP="00504CBB">
            <w:pPr>
              <w:jc w:val="right"/>
              <w:cnfStyle w:val="000000100000" w:firstRow="0" w:lastRow="0" w:firstColumn="0" w:lastColumn="0" w:oddVBand="0" w:evenVBand="0" w:oddHBand="1" w:evenHBand="0" w:firstRowFirstColumn="0" w:firstRowLastColumn="0" w:lastRowFirstColumn="0" w:lastRowLastColumn="0"/>
              <w:rPr>
                <w:rFonts w:cstheme="minorHAnsi"/>
                <w:i/>
                <w:iCs/>
              </w:rPr>
            </w:pPr>
            <w:r w:rsidRPr="00780E30">
              <w:rPr>
                <w:rFonts w:cstheme="minorHAnsi"/>
                <w:i/>
                <w:iCs/>
              </w:rPr>
              <w:t>101929705</w:t>
            </w:r>
          </w:p>
        </w:tc>
        <w:tc>
          <w:tcPr>
            <w:tcW w:w="0" w:type="auto"/>
            <w:noWrap/>
            <w:hideMark/>
          </w:tcPr>
          <w:p w14:paraId="75BB0B56" w14:textId="77777777" w:rsidR="00C66693" w:rsidRPr="00780E30" w:rsidRDefault="00C66693" w:rsidP="00504CBB">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SCIRT</w:t>
            </w:r>
          </w:p>
        </w:tc>
        <w:tc>
          <w:tcPr>
            <w:tcW w:w="0" w:type="auto"/>
            <w:noWrap/>
            <w:hideMark/>
          </w:tcPr>
          <w:p w14:paraId="23AEE9A4" w14:textId="77777777" w:rsidR="00C66693" w:rsidRPr="00C66693" w:rsidRDefault="00C66693" w:rsidP="00C66693">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color w:val="333333"/>
                <w:sz w:val="22"/>
                <w:szCs w:val="22"/>
              </w:rPr>
            </w:pPr>
          </w:p>
        </w:tc>
        <w:tc>
          <w:tcPr>
            <w:tcW w:w="0" w:type="auto"/>
            <w:noWrap/>
            <w:hideMark/>
          </w:tcPr>
          <w:p w14:paraId="0845F4C0" w14:textId="77777777" w:rsidR="00C66693" w:rsidRPr="00780E30" w:rsidRDefault="00C66693" w:rsidP="00504CBB">
            <w:pPr>
              <w:jc w:val="right"/>
              <w:cnfStyle w:val="000000100000" w:firstRow="0" w:lastRow="0" w:firstColumn="0" w:lastColumn="0" w:oddVBand="0" w:evenVBand="0" w:oddHBand="1" w:evenHBand="0" w:firstRowFirstColumn="0" w:firstRowLastColumn="0" w:lastRowFirstColumn="0" w:lastRowLastColumn="0"/>
              <w:rPr>
                <w:rFonts w:cstheme="minorHAnsi"/>
                <w:i/>
                <w:iCs/>
              </w:rPr>
            </w:pPr>
            <w:r w:rsidRPr="00780E30">
              <w:rPr>
                <w:rFonts w:cstheme="minorHAnsi"/>
                <w:i/>
                <w:iCs/>
              </w:rPr>
              <w:t>11072</w:t>
            </w:r>
          </w:p>
        </w:tc>
        <w:tc>
          <w:tcPr>
            <w:tcW w:w="0" w:type="auto"/>
            <w:noWrap/>
            <w:hideMark/>
          </w:tcPr>
          <w:p w14:paraId="7ECB17C1" w14:textId="77777777" w:rsidR="00C66693" w:rsidRPr="00780E30" w:rsidRDefault="00C66693" w:rsidP="00504CBB">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DUSP14</w:t>
            </w:r>
          </w:p>
        </w:tc>
      </w:tr>
      <w:tr w:rsidR="00C66693" w:rsidRPr="00C66693" w14:paraId="65D8D9F9" w14:textId="77777777" w:rsidTr="00780E30">
        <w:trPr>
          <w:trHeight w:val="399"/>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56141F78" w14:textId="77777777" w:rsidR="00C66693" w:rsidRPr="00C66693" w:rsidRDefault="00C66693" w:rsidP="00504CBB">
            <w:pPr>
              <w:jc w:val="right"/>
              <w:rPr>
                <w:rFonts w:cstheme="minorHAnsi"/>
                <w:b w:val="0"/>
                <w:bCs w:val="0"/>
                <w:i/>
                <w:iCs/>
              </w:rPr>
            </w:pPr>
            <w:r w:rsidRPr="00C66693">
              <w:rPr>
                <w:rFonts w:cstheme="minorHAnsi"/>
                <w:b w:val="0"/>
                <w:bCs w:val="0"/>
                <w:i/>
                <w:iCs/>
              </w:rPr>
              <w:t>1469</w:t>
            </w:r>
          </w:p>
        </w:tc>
        <w:tc>
          <w:tcPr>
            <w:tcW w:w="0" w:type="auto"/>
            <w:noWrap/>
            <w:hideMark/>
          </w:tcPr>
          <w:p w14:paraId="5D081ECD" w14:textId="77777777" w:rsidR="00C66693" w:rsidRPr="00780E30" w:rsidRDefault="00C66693" w:rsidP="00504CBB">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CST1</w:t>
            </w:r>
          </w:p>
        </w:tc>
        <w:tc>
          <w:tcPr>
            <w:tcW w:w="0" w:type="auto"/>
            <w:noWrap/>
            <w:hideMark/>
          </w:tcPr>
          <w:p w14:paraId="1B928102" w14:textId="77777777" w:rsidR="00C66693" w:rsidRPr="00C66693" w:rsidRDefault="00C66693" w:rsidP="00C66693">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color w:val="333333"/>
                <w:sz w:val="22"/>
                <w:szCs w:val="22"/>
              </w:rPr>
            </w:pPr>
          </w:p>
        </w:tc>
        <w:tc>
          <w:tcPr>
            <w:tcW w:w="0" w:type="auto"/>
            <w:noWrap/>
            <w:hideMark/>
          </w:tcPr>
          <w:p w14:paraId="5E6BD7BB" w14:textId="77777777" w:rsidR="00C66693" w:rsidRPr="00780E30" w:rsidRDefault="00C66693" w:rsidP="00504CBB">
            <w:pPr>
              <w:jc w:val="right"/>
              <w:cnfStyle w:val="000000000000" w:firstRow="0" w:lastRow="0" w:firstColumn="0" w:lastColumn="0" w:oddVBand="0" w:evenVBand="0" w:oddHBand="0" w:evenHBand="0" w:firstRowFirstColumn="0" w:firstRowLastColumn="0" w:lastRowFirstColumn="0" w:lastRowLastColumn="0"/>
              <w:rPr>
                <w:rFonts w:cstheme="minorHAnsi"/>
                <w:i/>
                <w:iCs/>
              </w:rPr>
            </w:pPr>
            <w:r w:rsidRPr="00780E30">
              <w:rPr>
                <w:rFonts w:cstheme="minorHAnsi"/>
                <w:i/>
                <w:iCs/>
              </w:rPr>
              <w:t>6581</w:t>
            </w:r>
          </w:p>
        </w:tc>
        <w:tc>
          <w:tcPr>
            <w:tcW w:w="0" w:type="auto"/>
            <w:noWrap/>
            <w:hideMark/>
          </w:tcPr>
          <w:p w14:paraId="6A400F00" w14:textId="77777777" w:rsidR="00C66693" w:rsidRPr="00780E30" w:rsidRDefault="00C66693" w:rsidP="00504CBB">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SLC22A3</w:t>
            </w:r>
          </w:p>
        </w:tc>
        <w:tc>
          <w:tcPr>
            <w:tcW w:w="0" w:type="auto"/>
            <w:noWrap/>
            <w:hideMark/>
          </w:tcPr>
          <w:p w14:paraId="368C6CAF" w14:textId="77777777" w:rsidR="00C66693" w:rsidRPr="00C66693" w:rsidRDefault="00C66693" w:rsidP="00C66693">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color w:val="333333"/>
                <w:sz w:val="22"/>
                <w:szCs w:val="22"/>
              </w:rPr>
            </w:pPr>
          </w:p>
        </w:tc>
        <w:tc>
          <w:tcPr>
            <w:tcW w:w="0" w:type="auto"/>
            <w:noWrap/>
            <w:hideMark/>
          </w:tcPr>
          <w:p w14:paraId="44324ED0" w14:textId="77777777" w:rsidR="00C66693" w:rsidRPr="00780E30" w:rsidRDefault="00C66693" w:rsidP="00504CBB">
            <w:pPr>
              <w:jc w:val="right"/>
              <w:cnfStyle w:val="000000000000" w:firstRow="0" w:lastRow="0" w:firstColumn="0" w:lastColumn="0" w:oddVBand="0" w:evenVBand="0" w:oddHBand="0" w:evenHBand="0" w:firstRowFirstColumn="0" w:firstRowLastColumn="0" w:lastRowFirstColumn="0" w:lastRowLastColumn="0"/>
              <w:rPr>
                <w:rFonts w:cstheme="minorHAnsi"/>
                <w:i/>
                <w:iCs/>
              </w:rPr>
            </w:pPr>
            <w:r w:rsidRPr="00780E30">
              <w:rPr>
                <w:rFonts w:cstheme="minorHAnsi"/>
                <w:i/>
                <w:iCs/>
              </w:rPr>
              <w:t>9762</w:t>
            </w:r>
          </w:p>
        </w:tc>
        <w:tc>
          <w:tcPr>
            <w:tcW w:w="0" w:type="auto"/>
            <w:noWrap/>
            <w:hideMark/>
          </w:tcPr>
          <w:p w14:paraId="59066837" w14:textId="77777777" w:rsidR="00C66693" w:rsidRPr="00780E30" w:rsidRDefault="00C66693" w:rsidP="00504CBB">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LZTS3</w:t>
            </w:r>
          </w:p>
        </w:tc>
      </w:tr>
      <w:tr w:rsidR="00C66693" w:rsidRPr="00C66693" w14:paraId="7E7BC0DF" w14:textId="77777777" w:rsidTr="00780E30">
        <w:trPr>
          <w:cnfStyle w:val="000000100000" w:firstRow="0" w:lastRow="0" w:firstColumn="0" w:lastColumn="0" w:oddVBand="0" w:evenVBand="0" w:oddHBand="1" w:evenHBand="0" w:firstRowFirstColumn="0" w:firstRowLastColumn="0" w:lastRowFirstColumn="0" w:lastRowLastColumn="0"/>
          <w:trHeight w:val="399"/>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4B2F170C" w14:textId="77777777" w:rsidR="00C66693" w:rsidRPr="00C66693" w:rsidRDefault="00C66693" w:rsidP="00504CBB">
            <w:pPr>
              <w:jc w:val="right"/>
              <w:rPr>
                <w:rFonts w:cstheme="minorHAnsi"/>
                <w:b w:val="0"/>
                <w:bCs w:val="0"/>
                <w:i/>
                <w:iCs/>
              </w:rPr>
            </w:pPr>
            <w:r w:rsidRPr="00C66693">
              <w:rPr>
                <w:rFonts w:cstheme="minorHAnsi"/>
                <w:b w:val="0"/>
                <w:bCs w:val="0"/>
                <w:i/>
                <w:iCs/>
              </w:rPr>
              <w:t>57214</w:t>
            </w:r>
          </w:p>
        </w:tc>
        <w:tc>
          <w:tcPr>
            <w:tcW w:w="0" w:type="auto"/>
            <w:noWrap/>
            <w:hideMark/>
          </w:tcPr>
          <w:p w14:paraId="68940F48" w14:textId="77777777" w:rsidR="00C66693" w:rsidRPr="00780E30" w:rsidRDefault="00C66693" w:rsidP="00504CBB">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CEMIP</w:t>
            </w:r>
          </w:p>
        </w:tc>
        <w:tc>
          <w:tcPr>
            <w:tcW w:w="0" w:type="auto"/>
            <w:noWrap/>
            <w:hideMark/>
          </w:tcPr>
          <w:p w14:paraId="131B3AE4" w14:textId="77777777" w:rsidR="00C66693" w:rsidRPr="00C66693" w:rsidRDefault="00C66693" w:rsidP="00C66693">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color w:val="333333"/>
                <w:sz w:val="22"/>
                <w:szCs w:val="22"/>
              </w:rPr>
            </w:pPr>
          </w:p>
        </w:tc>
        <w:tc>
          <w:tcPr>
            <w:tcW w:w="0" w:type="auto"/>
            <w:noWrap/>
            <w:hideMark/>
          </w:tcPr>
          <w:p w14:paraId="16AEE85D" w14:textId="77777777" w:rsidR="00C66693" w:rsidRPr="00780E30" w:rsidRDefault="00C66693" w:rsidP="00504CBB">
            <w:pPr>
              <w:jc w:val="right"/>
              <w:cnfStyle w:val="000000100000" w:firstRow="0" w:lastRow="0" w:firstColumn="0" w:lastColumn="0" w:oddVBand="0" w:evenVBand="0" w:oddHBand="1" w:evenHBand="0" w:firstRowFirstColumn="0" w:firstRowLastColumn="0" w:lastRowFirstColumn="0" w:lastRowLastColumn="0"/>
              <w:rPr>
                <w:rFonts w:cstheme="minorHAnsi"/>
                <w:i/>
                <w:iCs/>
              </w:rPr>
            </w:pPr>
            <w:r w:rsidRPr="00780E30">
              <w:rPr>
                <w:rFonts w:cstheme="minorHAnsi"/>
                <w:i/>
                <w:iCs/>
              </w:rPr>
              <w:t>2921</w:t>
            </w:r>
          </w:p>
        </w:tc>
        <w:tc>
          <w:tcPr>
            <w:tcW w:w="0" w:type="auto"/>
            <w:noWrap/>
            <w:hideMark/>
          </w:tcPr>
          <w:p w14:paraId="4F14FFB7" w14:textId="77777777" w:rsidR="00C66693" w:rsidRPr="00780E30" w:rsidRDefault="00C66693" w:rsidP="00504CBB">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CXCL3</w:t>
            </w:r>
          </w:p>
        </w:tc>
        <w:tc>
          <w:tcPr>
            <w:tcW w:w="0" w:type="auto"/>
            <w:noWrap/>
            <w:hideMark/>
          </w:tcPr>
          <w:p w14:paraId="73A2F7B4" w14:textId="77777777" w:rsidR="00C66693" w:rsidRPr="00C66693" w:rsidRDefault="00C66693" w:rsidP="00C66693">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color w:val="333333"/>
                <w:sz w:val="22"/>
                <w:szCs w:val="22"/>
              </w:rPr>
            </w:pPr>
          </w:p>
        </w:tc>
        <w:tc>
          <w:tcPr>
            <w:tcW w:w="0" w:type="auto"/>
            <w:noWrap/>
            <w:hideMark/>
          </w:tcPr>
          <w:p w14:paraId="4E05A7A1" w14:textId="77777777" w:rsidR="00C66693" w:rsidRPr="00780E30" w:rsidRDefault="00C66693" w:rsidP="00504CBB">
            <w:pPr>
              <w:jc w:val="right"/>
              <w:cnfStyle w:val="000000100000" w:firstRow="0" w:lastRow="0" w:firstColumn="0" w:lastColumn="0" w:oddVBand="0" w:evenVBand="0" w:oddHBand="1" w:evenHBand="0" w:firstRowFirstColumn="0" w:firstRowLastColumn="0" w:lastRowFirstColumn="0" w:lastRowLastColumn="0"/>
              <w:rPr>
                <w:rFonts w:cstheme="minorHAnsi"/>
                <w:i/>
                <w:iCs/>
              </w:rPr>
            </w:pPr>
            <w:r w:rsidRPr="00780E30">
              <w:rPr>
                <w:rFonts w:cstheme="minorHAnsi"/>
                <w:i/>
                <w:iCs/>
              </w:rPr>
              <w:t>57181</w:t>
            </w:r>
          </w:p>
        </w:tc>
        <w:tc>
          <w:tcPr>
            <w:tcW w:w="0" w:type="auto"/>
            <w:noWrap/>
            <w:hideMark/>
          </w:tcPr>
          <w:p w14:paraId="49FCB36A" w14:textId="77777777" w:rsidR="00C66693" w:rsidRPr="00780E30" w:rsidRDefault="00C66693" w:rsidP="00504CBB">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SLC39A10</w:t>
            </w:r>
          </w:p>
        </w:tc>
      </w:tr>
      <w:tr w:rsidR="00C66693" w:rsidRPr="00C66693" w14:paraId="4BEBA085" w14:textId="77777777" w:rsidTr="00780E30">
        <w:trPr>
          <w:trHeight w:val="399"/>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6CA32345" w14:textId="77777777" w:rsidR="00C66693" w:rsidRPr="00C66693" w:rsidRDefault="00C66693" w:rsidP="00504CBB">
            <w:pPr>
              <w:jc w:val="right"/>
              <w:rPr>
                <w:rFonts w:cstheme="minorHAnsi"/>
                <w:b w:val="0"/>
                <w:bCs w:val="0"/>
                <w:i/>
                <w:iCs/>
              </w:rPr>
            </w:pPr>
            <w:r w:rsidRPr="00C66693">
              <w:rPr>
                <w:rFonts w:cstheme="minorHAnsi"/>
                <w:b w:val="0"/>
                <w:bCs w:val="0"/>
                <w:i/>
                <w:iCs/>
              </w:rPr>
              <w:t>57761</w:t>
            </w:r>
          </w:p>
        </w:tc>
        <w:tc>
          <w:tcPr>
            <w:tcW w:w="0" w:type="auto"/>
            <w:noWrap/>
            <w:hideMark/>
          </w:tcPr>
          <w:p w14:paraId="498CFC6F" w14:textId="77777777" w:rsidR="00C66693" w:rsidRPr="00780E30" w:rsidRDefault="00C66693" w:rsidP="00504CBB">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TRIB3</w:t>
            </w:r>
          </w:p>
        </w:tc>
        <w:tc>
          <w:tcPr>
            <w:tcW w:w="0" w:type="auto"/>
            <w:noWrap/>
            <w:hideMark/>
          </w:tcPr>
          <w:p w14:paraId="40BD1D98" w14:textId="77777777" w:rsidR="00C66693" w:rsidRPr="00C66693" w:rsidRDefault="00C66693" w:rsidP="00C66693">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color w:val="333333"/>
                <w:sz w:val="22"/>
                <w:szCs w:val="22"/>
              </w:rPr>
            </w:pPr>
          </w:p>
        </w:tc>
        <w:tc>
          <w:tcPr>
            <w:tcW w:w="0" w:type="auto"/>
            <w:noWrap/>
            <w:hideMark/>
          </w:tcPr>
          <w:p w14:paraId="32251FF2" w14:textId="77777777" w:rsidR="00C66693" w:rsidRPr="00780E30" w:rsidRDefault="00C66693" w:rsidP="00504CBB">
            <w:pPr>
              <w:jc w:val="right"/>
              <w:cnfStyle w:val="000000000000" w:firstRow="0" w:lastRow="0" w:firstColumn="0" w:lastColumn="0" w:oddVBand="0" w:evenVBand="0" w:oddHBand="0" w:evenHBand="0" w:firstRowFirstColumn="0" w:firstRowLastColumn="0" w:lastRowFirstColumn="0" w:lastRowLastColumn="0"/>
              <w:rPr>
                <w:rFonts w:cstheme="minorHAnsi"/>
                <w:i/>
                <w:iCs/>
              </w:rPr>
            </w:pPr>
            <w:r w:rsidRPr="00780E30">
              <w:rPr>
                <w:rFonts w:cstheme="minorHAnsi"/>
                <w:i/>
                <w:iCs/>
              </w:rPr>
              <w:t>144501</w:t>
            </w:r>
          </w:p>
        </w:tc>
        <w:tc>
          <w:tcPr>
            <w:tcW w:w="0" w:type="auto"/>
            <w:noWrap/>
            <w:hideMark/>
          </w:tcPr>
          <w:p w14:paraId="55474494" w14:textId="77777777" w:rsidR="00C66693" w:rsidRPr="00780E30" w:rsidRDefault="00C66693" w:rsidP="00504CBB">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KRT80</w:t>
            </w:r>
          </w:p>
        </w:tc>
        <w:tc>
          <w:tcPr>
            <w:tcW w:w="0" w:type="auto"/>
            <w:noWrap/>
            <w:hideMark/>
          </w:tcPr>
          <w:p w14:paraId="2A1ECE6A" w14:textId="77777777" w:rsidR="00C66693" w:rsidRPr="00C66693" w:rsidRDefault="00C66693" w:rsidP="00C66693">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color w:val="333333"/>
                <w:sz w:val="22"/>
                <w:szCs w:val="22"/>
              </w:rPr>
            </w:pPr>
          </w:p>
        </w:tc>
        <w:tc>
          <w:tcPr>
            <w:tcW w:w="0" w:type="auto"/>
            <w:noWrap/>
            <w:hideMark/>
          </w:tcPr>
          <w:p w14:paraId="7AE17A84" w14:textId="77777777" w:rsidR="00C66693" w:rsidRPr="00780E30" w:rsidRDefault="00C66693" w:rsidP="00504CBB">
            <w:pPr>
              <w:jc w:val="right"/>
              <w:cnfStyle w:val="000000000000" w:firstRow="0" w:lastRow="0" w:firstColumn="0" w:lastColumn="0" w:oddVBand="0" w:evenVBand="0" w:oddHBand="0" w:evenHBand="0" w:firstRowFirstColumn="0" w:firstRowLastColumn="0" w:lastRowFirstColumn="0" w:lastRowLastColumn="0"/>
              <w:rPr>
                <w:rFonts w:cstheme="minorHAnsi"/>
                <w:i/>
                <w:iCs/>
              </w:rPr>
            </w:pPr>
            <w:r w:rsidRPr="00780E30">
              <w:rPr>
                <w:rFonts w:cstheme="minorHAnsi"/>
                <w:i/>
                <w:iCs/>
              </w:rPr>
              <w:t>8767</w:t>
            </w:r>
          </w:p>
        </w:tc>
        <w:tc>
          <w:tcPr>
            <w:tcW w:w="0" w:type="auto"/>
            <w:noWrap/>
            <w:hideMark/>
          </w:tcPr>
          <w:p w14:paraId="37261B21" w14:textId="77777777" w:rsidR="00C66693" w:rsidRPr="00780E30" w:rsidRDefault="00C66693" w:rsidP="00504CBB">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RIPK2</w:t>
            </w:r>
          </w:p>
        </w:tc>
      </w:tr>
      <w:tr w:rsidR="00C66693" w:rsidRPr="00C66693" w14:paraId="01E75EB5" w14:textId="77777777" w:rsidTr="00780E30">
        <w:trPr>
          <w:cnfStyle w:val="000000100000" w:firstRow="0" w:lastRow="0" w:firstColumn="0" w:lastColumn="0" w:oddVBand="0" w:evenVBand="0" w:oddHBand="1" w:evenHBand="0" w:firstRowFirstColumn="0" w:firstRowLastColumn="0" w:lastRowFirstColumn="0" w:lastRowLastColumn="0"/>
          <w:trHeight w:val="399"/>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2979FEDC" w14:textId="77777777" w:rsidR="00C66693" w:rsidRPr="00C66693" w:rsidRDefault="00C66693" w:rsidP="00504CBB">
            <w:pPr>
              <w:jc w:val="right"/>
              <w:rPr>
                <w:rFonts w:cstheme="minorHAnsi"/>
                <w:b w:val="0"/>
                <w:bCs w:val="0"/>
                <w:i/>
                <w:iCs/>
              </w:rPr>
            </w:pPr>
            <w:r w:rsidRPr="00C66693">
              <w:rPr>
                <w:rFonts w:cstheme="minorHAnsi"/>
                <w:b w:val="0"/>
                <w:bCs w:val="0"/>
                <w:i/>
                <w:iCs/>
              </w:rPr>
              <w:t>115908</w:t>
            </w:r>
          </w:p>
        </w:tc>
        <w:tc>
          <w:tcPr>
            <w:tcW w:w="0" w:type="auto"/>
            <w:noWrap/>
            <w:hideMark/>
          </w:tcPr>
          <w:p w14:paraId="48331104" w14:textId="77777777" w:rsidR="00C66693" w:rsidRPr="00780E30" w:rsidRDefault="00C66693" w:rsidP="00504CBB">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CTHRC1</w:t>
            </w:r>
          </w:p>
        </w:tc>
        <w:tc>
          <w:tcPr>
            <w:tcW w:w="0" w:type="auto"/>
            <w:noWrap/>
            <w:hideMark/>
          </w:tcPr>
          <w:p w14:paraId="6A20B126" w14:textId="77777777" w:rsidR="00C66693" w:rsidRPr="00C66693" w:rsidRDefault="00C66693" w:rsidP="00C66693">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color w:val="333333"/>
                <w:sz w:val="22"/>
                <w:szCs w:val="22"/>
              </w:rPr>
            </w:pPr>
          </w:p>
        </w:tc>
        <w:tc>
          <w:tcPr>
            <w:tcW w:w="0" w:type="auto"/>
            <w:noWrap/>
            <w:hideMark/>
          </w:tcPr>
          <w:p w14:paraId="0338F1D3" w14:textId="77777777" w:rsidR="00C66693" w:rsidRPr="00780E30" w:rsidRDefault="00C66693" w:rsidP="00504CBB">
            <w:pPr>
              <w:jc w:val="right"/>
              <w:cnfStyle w:val="000000100000" w:firstRow="0" w:lastRow="0" w:firstColumn="0" w:lastColumn="0" w:oddVBand="0" w:evenVBand="0" w:oddHBand="1" w:evenHBand="0" w:firstRowFirstColumn="0" w:firstRowLastColumn="0" w:lastRowFirstColumn="0" w:lastRowLastColumn="0"/>
              <w:rPr>
                <w:rFonts w:cstheme="minorHAnsi"/>
                <w:i/>
                <w:iCs/>
              </w:rPr>
            </w:pPr>
            <w:r w:rsidRPr="00780E30">
              <w:rPr>
                <w:rFonts w:cstheme="minorHAnsi"/>
                <w:i/>
                <w:iCs/>
              </w:rPr>
              <w:t>64220</w:t>
            </w:r>
          </w:p>
        </w:tc>
        <w:tc>
          <w:tcPr>
            <w:tcW w:w="0" w:type="auto"/>
            <w:noWrap/>
            <w:hideMark/>
          </w:tcPr>
          <w:p w14:paraId="3AA1D829" w14:textId="77777777" w:rsidR="00C66693" w:rsidRPr="00780E30" w:rsidRDefault="00C66693" w:rsidP="00504CBB">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STRA6</w:t>
            </w:r>
          </w:p>
        </w:tc>
        <w:tc>
          <w:tcPr>
            <w:tcW w:w="0" w:type="auto"/>
            <w:noWrap/>
            <w:hideMark/>
          </w:tcPr>
          <w:p w14:paraId="6DEE72B0" w14:textId="77777777" w:rsidR="00C66693" w:rsidRPr="00C66693" w:rsidRDefault="00C66693" w:rsidP="00C66693">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color w:val="333333"/>
                <w:sz w:val="22"/>
                <w:szCs w:val="22"/>
              </w:rPr>
            </w:pPr>
          </w:p>
        </w:tc>
        <w:tc>
          <w:tcPr>
            <w:tcW w:w="0" w:type="auto"/>
            <w:noWrap/>
            <w:hideMark/>
          </w:tcPr>
          <w:p w14:paraId="6FB2B9F4" w14:textId="77777777" w:rsidR="00C66693" w:rsidRPr="00780E30" w:rsidRDefault="00C66693" w:rsidP="00504CBB">
            <w:pPr>
              <w:jc w:val="right"/>
              <w:cnfStyle w:val="000000100000" w:firstRow="0" w:lastRow="0" w:firstColumn="0" w:lastColumn="0" w:oddVBand="0" w:evenVBand="0" w:oddHBand="1" w:evenHBand="0" w:firstRowFirstColumn="0" w:firstRowLastColumn="0" w:lastRowFirstColumn="0" w:lastRowLastColumn="0"/>
              <w:rPr>
                <w:rFonts w:cstheme="minorHAnsi"/>
                <w:i/>
                <w:iCs/>
              </w:rPr>
            </w:pPr>
            <w:r w:rsidRPr="00780E30">
              <w:rPr>
                <w:rFonts w:cstheme="minorHAnsi"/>
                <w:i/>
                <w:iCs/>
              </w:rPr>
              <w:t>871</w:t>
            </w:r>
          </w:p>
        </w:tc>
        <w:tc>
          <w:tcPr>
            <w:tcW w:w="0" w:type="auto"/>
            <w:noWrap/>
            <w:hideMark/>
          </w:tcPr>
          <w:p w14:paraId="3694B4C3" w14:textId="77777777" w:rsidR="00C66693" w:rsidRPr="00780E30" w:rsidRDefault="00C66693" w:rsidP="00504CBB">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SERPINH1</w:t>
            </w:r>
          </w:p>
        </w:tc>
      </w:tr>
      <w:tr w:rsidR="00C66693" w:rsidRPr="00C66693" w14:paraId="2BB76EED" w14:textId="77777777" w:rsidTr="00780E30">
        <w:trPr>
          <w:trHeight w:val="399"/>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2428EC45" w14:textId="77777777" w:rsidR="00C66693" w:rsidRPr="00C66693" w:rsidRDefault="00C66693" w:rsidP="00504CBB">
            <w:pPr>
              <w:jc w:val="right"/>
              <w:rPr>
                <w:rFonts w:cstheme="minorHAnsi"/>
                <w:b w:val="0"/>
                <w:bCs w:val="0"/>
                <w:i/>
                <w:iCs/>
              </w:rPr>
            </w:pPr>
            <w:r w:rsidRPr="00C66693">
              <w:rPr>
                <w:rFonts w:cstheme="minorHAnsi"/>
                <w:b w:val="0"/>
                <w:bCs w:val="0"/>
                <w:i/>
                <w:iCs/>
              </w:rPr>
              <w:t>4314</w:t>
            </w:r>
          </w:p>
        </w:tc>
        <w:tc>
          <w:tcPr>
            <w:tcW w:w="0" w:type="auto"/>
            <w:noWrap/>
            <w:hideMark/>
          </w:tcPr>
          <w:p w14:paraId="50FCD47B" w14:textId="77777777" w:rsidR="00C66693" w:rsidRPr="00780E30" w:rsidRDefault="00C66693" w:rsidP="00504CBB">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MMP3</w:t>
            </w:r>
          </w:p>
        </w:tc>
        <w:tc>
          <w:tcPr>
            <w:tcW w:w="0" w:type="auto"/>
            <w:noWrap/>
            <w:hideMark/>
          </w:tcPr>
          <w:p w14:paraId="0E70531F" w14:textId="77777777" w:rsidR="00C66693" w:rsidRPr="00C66693" w:rsidRDefault="00C66693" w:rsidP="00C66693">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color w:val="333333"/>
                <w:sz w:val="22"/>
                <w:szCs w:val="22"/>
              </w:rPr>
            </w:pPr>
          </w:p>
        </w:tc>
        <w:tc>
          <w:tcPr>
            <w:tcW w:w="0" w:type="auto"/>
            <w:noWrap/>
            <w:hideMark/>
          </w:tcPr>
          <w:p w14:paraId="063176FA" w14:textId="77777777" w:rsidR="00C66693" w:rsidRPr="00780E30" w:rsidRDefault="00C66693" w:rsidP="00504CBB">
            <w:pPr>
              <w:jc w:val="right"/>
              <w:cnfStyle w:val="000000000000" w:firstRow="0" w:lastRow="0" w:firstColumn="0" w:lastColumn="0" w:oddVBand="0" w:evenVBand="0" w:oddHBand="0" w:evenHBand="0" w:firstRowFirstColumn="0" w:firstRowLastColumn="0" w:lastRowFirstColumn="0" w:lastRowLastColumn="0"/>
              <w:rPr>
                <w:rFonts w:cstheme="minorHAnsi"/>
                <w:i/>
                <w:iCs/>
              </w:rPr>
            </w:pPr>
            <w:r w:rsidRPr="00780E30">
              <w:rPr>
                <w:rFonts w:cstheme="minorHAnsi"/>
                <w:i/>
                <w:iCs/>
              </w:rPr>
              <w:t>7045</w:t>
            </w:r>
          </w:p>
        </w:tc>
        <w:tc>
          <w:tcPr>
            <w:tcW w:w="0" w:type="auto"/>
            <w:noWrap/>
            <w:hideMark/>
          </w:tcPr>
          <w:p w14:paraId="32ADF677" w14:textId="77777777" w:rsidR="00C66693" w:rsidRPr="00780E30" w:rsidRDefault="00C66693" w:rsidP="00504CBB">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TGFBI</w:t>
            </w:r>
          </w:p>
        </w:tc>
        <w:tc>
          <w:tcPr>
            <w:tcW w:w="0" w:type="auto"/>
            <w:noWrap/>
            <w:hideMark/>
          </w:tcPr>
          <w:p w14:paraId="56D4FC0F" w14:textId="77777777" w:rsidR="00C66693" w:rsidRPr="00C66693" w:rsidRDefault="00C66693" w:rsidP="00C66693">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color w:val="333333"/>
                <w:sz w:val="22"/>
                <w:szCs w:val="22"/>
              </w:rPr>
            </w:pPr>
          </w:p>
        </w:tc>
        <w:tc>
          <w:tcPr>
            <w:tcW w:w="0" w:type="auto"/>
            <w:noWrap/>
            <w:hideMark/>
          </w:tcPr>
          <w:p w14:paraId="43D6BA91" w14:textId="77777777" w:rsidR="00C66693" w:rsidRPr="00780E30" w:rsidRDefault="00C66693" w:rsidP="00504CBB">
            <w:pPr>
              <w:jc w:val="right"/>
              <w:cnfStyle w:val="000000000000" w:firstRow="0" w:lastRow="0" w:firstColumn="0" w:lastColumn="0" w:oddVBand="0" w:evenVBand="0" w:oddHBand="0" w:evenHBand="0" w:firstRowFirstColumn="0" w:firstRowLastColumn="0" w:lastRowFirstColumn="0" w:lastRowLastColumn="0"/>
              <w:rPr>
                <w:rFonts w:cstheme="minorHAnsi"/>
                <w:i/>
                <w:iCs/>
              </w:rPr>
            </w:pPr>
            <w:r w:rsidRPr="00780E30">
              <w:rPr>
                <w:rFonts w:cstheme="minorHAnsi"/>
                <w:i/>
                <w:iCs/>
              </w:rPr>
              <w:t>768</w:t>
            </w:r>
          </w:p>
        </w:tc>
        <w:tc>
          <w:tcPr>
            <w:tcW w:w="0" w:type="auto"/>
            <w:noWrap/>
            <w:hideMark/>
          </w:tcPr>
          <w:p w14:paraId="1FC034D4" w14:textId="77777777" w:rsidR="00C66693" w:rsidRPr="00780E30" w:rsidRDefault="00C66693" w:rsidP="00504CBB">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CA9</w:t>
            </w:r>
          </w:p>
        </w:tc>
      </w:tr>
      <w:tr w:rsidR="00C66693" w:rsidRPr="00C66693" w14:paraId="3FC4BADB" w14:textId="77777777" w:rsidTr="00780E30">
        <w:trPr>
          <w:cnfStyle w:val="000000100000" w:firstRow="0" w:lastRow="0" w:firstColumn="0" w:lastColumn="0" w:oddVBand="0" w:evenVBand="0" w:oddHBand="1" w:evenHBand="0" w:firstRowFirstColumn="0" w:firstRowLastColumn="0" w:lastRowFirstColumn="0" w:lastRowLastColumn="0"/>
          <w:trHeight w:val="399"/>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37273FA2" w14:textId="77777777" w:rsidR="00C66693" w:rsidRPr="00C66693" w:rsidRDefault="00C66693" w:rsidP="00504CBB">
            <w:pPr>
              <w:jc w:val="right"/>
              <w:rPr>
                <w:rFonts w:cstheme="minorHAnsi"/>
                <w:b w:val="0"/>
                <w:bCs w:val="0"/>
                <w:i/>
                <w:iCs/>
              </w:rPr>
            </w:pPr>
            <w:r w:rsidRPr="00C66693">
              <w:rPr>
                <w:rFonts w:cstheme="minorHAnsi"/>
                <w:b w:val="0"/>
                <w:bCs w:val="0"/>
                <w:i/>
                <w:iCs/>
              </w:rPr>
              <w:t>2118</w:t>
            </w:r>
          </w:p>
        </w:tc>
        <w:tc>
          <w:tcPr>
            <w:tcW w:w="0" w:type="auto"/>
            <w:noWrap/>
            <w:hideMark/>
          </w:tcPr>
          <w:p w14:paraId="77C0F2E7" w14:textId="77777777" w:rsidR="00C66693" w:rsidRPr="00780E30" w:rsidRDefault="00C66693" w:rsidP="00504CBB">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ETV4</w:t>
            </w:r>
          </w:p>
        </w:tc>
        <w:tc>
          <w:tcPr>
            <w:tcW w:w="0" w:type="auto"/>
            <w:noWrap/>
            <w:hideMark/>
          </w:tcPr>
          <w:p w14:paraId="40338BF1" w14:textId="77777777" w:rsidR="00C66693" w:rsidRPr="00C66693" w:rsidRDefault="00C66693" w:rsidP="00C66693">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color w:val="333333"/>
                <w:sz w:val="22"/>
                <w:szCs w:val="22"/>
              </w:rPr>
            </w:pPr>
          </w:p>
        </w:tc>
        <w:tc>
          <w:tcPr>
            <w:tcW w:w="0" w:type="auto"/>
            <w:noWrap/>
            <w:hideMark/>
          </w:tcPr>
          <w:p w14:paraId="148C787E" w14:textId="77777777" w:rsidR="00C66693" w:rsidRPr="00780E30" w:rsidRDefault="00C66693" w:rsidP="00504CBB">
            <w:pPr>
              <w:jc w:val="right"/>
              <w:cnfStyle w:val="000000100000" w:firstRow="0" w:lastRow="0" w:firstColumn="0" w:lastColumn="0" w:oddVBand="0" w:evenVBand="0" w:oddHBand="1" w:evenHBand="0" w:firstRowFirstColumn="0" w:firstRowLastColumn="0" w:lastRowFirstColumn="0" w:lastRowLastColumn="0"/>
              <w:rPr>
                <w:rFonts w:cstheme="minorHAnsi"/>
                <w:i/>
                <w:iCs/>
              </w:rPr>
            </w:pPr>
            <w:r w:rsidRPr="00780E30">
              <w:rPr>
                <w:rFonts w:cstheme="minorHAnsi"/>
                <w:i/>
                <w:iCs/>
              </w:rPr>
              <w:t>2919</w:t>
            </w:r>
          </w:p>
        </w:tc>
        <w:tc>
          <w:tcPr>
            <w:tcW w:w="0" w:type="auto"/>
            <w:noWrap/>
            <w:hideMark/>
          </w:tcPr>
          <w:p w14:paraId="6BF72860" w14:textId="77777777" w:rsidR="00C66693" w:rsidRPr="00780E30" w:rsidRDefault="00C66693" w:rsidP="00504CBB">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CXCL1</w:t>
            </w:r>
          </w:p>
        </w:tc>
        <w:tc>
          <w:tcPr>
            <w:tcW w:w="0" w:type="auto"/>
            <w:noWrap/>
            <w:hideMark/>
          </w:tcPr>
          <w:p w14:paraId="03D4EA55" w14:textId="77777777" w:rsidR="00C66693" w:rsidRPr="00C66693" w:rsidRDefault="00C66693" w:rsidP="00C66693">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color w:val="333333"/>
                <w:sz w:val="22"/>
                <w:szCs w:val="22"/>
              </w:rPr>
            </w:pPr>
          </w:p>
        </w:tc>
        <w:tc>
          <w:tcPr>
            <w:tcW w:w="0" w:type="auto"/>
            <w:noWrap/>
            <w:hideMark/>
          </w:tcPr>
          <w:p w14:paraId="1A2E714F" w14:textId="77777777" w:rsidR="00C66693" w:rsidRPr="00780E30" w:rsidRDefault="00C66693" w:rsidP="00504CBB">
            <w:pPr>
              <w:jc w:val="right"/>
              <w:cnfStyle w:val="000000100000" w:firstRow="0" w:lastRow="0" w:firstColumn="0" w:lastColumn="0" w:oddVBand="0" w:evenVBand="0" w:oddHBand="1" w:evenHBand="0" w:firstRowFirstColumn="0" w:firstRowLastColumn="0" w:lastRowFirstColumn="0" w:lastRowLastColumn="0"/>
              <w:rPr>
                <w:rFonts w:cstheme="minorHAnsi"/>
                <w:i/>
                <w:iCs/>
              </w:rPr>
            </w:pPr>
            <w:r w:rsidRPr="00780E30">
              <w:rPr>
                <w:rFonts w:cstheme="minorHAnsi"/>
                <w:i/>
                <w:iCs/>
              </w:rPr>
              <w:t>23250</w:t>
            </w:r>
          </w:p>
        </w:tc>
        <w:tc>
          <w:tcPr>
            <w:tcW w:w="0" w:type="auto"/>
            <w:noWrap/>
            <w:hideMark/>
          </w:tcPr>
          <w:p w14:paraId="02BDA08C" w14:textId="77777777" w:rsidR="00C66693" w:rsidRPr="00780E30" w:rsidRDefault="00C66693" w:rsidP="00504CBB">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ATP11A</w:t>
            </w:r>
          </w:p>
        </w:tc>
      </w:tr>
      <w:tr w:rsidR="00C66693" w:rsidRPr="00C66693" w14:paraId="087FB854" w14:textId="77777777" w:rsidTr="00780E30">
        <w:trPr>
          <w:trHeight w:val="399"/>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79412C8A" w14:textId="77777777" w:rsidR="00C66693" w:rsidRPr="00C66693" w:rsidRDefault="00C66693" w:rsidP="00504CBB">
            <w:pPr>
              <w:jc w:val="right"/>
              <w:rPr>
                <w:rFonts w:cstheme="minorHAnsi"/>
                <w:b w:val="0"/>
                <w:bCs w:val="0"/>
                <w:i/>
                <w:iCs/>
              </w:rPr>
            </w:pPr>
            <w:r w:rsidRPr="00C66693">
              <w:rPr>
                <w:rFonts w:cstheme="minorHAnsi"/>
                <w:b w:val="0"/>
                <w:bCs w:val="0"/>
                <w:i/>
                <w:iCs/>
              </w:rPr>
              <w:t>4237</w:t>
            </w:r>
          </w:p>
        </w:tc>
        <w:tc>
          <w:tcPr>
            <w:tcW w:w="0" w:type="auto"/>
            <w:noWrap/>
            <w:hideMark/>
          </w:tcPr>
          <w:p w14:paraId="545697D4" w14:textId="77777777" w:rsidR="00C66693" w:rsidRPr="00780E30" w:rsidRDefault="00C66693" w:rsidP="00504CBB">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MFAP2</w:t>
            </w:r>
          </w:p>
        </w:tc>
        <w:tc>
          <w:tcPr>
            <w:tcW w:w="0" w:type="auto"/>
            <w:noWrap/>
            <w:hideMark/>
          </w:tcPr>
          <w:p w14:paraId="190B76DC" w14:textId="77777777" w:rsidR="00C66693" w:rsidRPr="00C66693" w:rsidRDefault="00C66693" w:rsidP="00C66693">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color w:val="333333"/>
                <w:sz w:val="22"/>
                <w:szCs w:val="22"/>
              </w:rPr>
            </w:pPr>
          </w:p>
        </w:tc>
        <w:tc>
          <w:tcPr>
            <w:tcW w:w="0" w:type="auto"/>
            <w:noWrap/>
            <w:hideMark/>
          </w:tcPr>
          <w:p w14:paraId="67DB9D67" w14:textId="77777777" w:rsidR="00C66693" w:rsidRPr="00780E30" w:rsidRDefault="00C66693" w:rsidP="00504CBB">
            <w:pPr>
              <w:jc w:val="right"/>
              <w:cnfStyle w:val="000000000000" w:firstRow="0" w:lastRow="0" w:firstColumn="0" w:lastColumn="0" w:oddVBand="0" w:evenVBand="0" w:oddHBand="0" w:evenHBand="0" w:firstRowFirstColumn="0" w:firstRowLastColumn="0" w:lastRowFirstColumn="0" w:lastRowLastColumn="0"/>
              <w:rPr>
                <w:rFonts w:cstheme="minorHAnsi"/>
                <w:i/>
                <w:iCs/>
              </w:rPr>
            </w:pPr>
            <w:r w:rsidRPr="00780E30">
              <w:rPr>
                <w:rFonts w:cstheme="minorHAnsi"/>
                <w:i/>
                <w:iCs/>
              </w:rPr>
              <w:t>1846</w:t>
            </w:r>
          </w:p>
        </w:tc>
        <w:tc>
          <w:tcPr>
            <w:tcW w:w="0" w:type="auto"/>
            <w:noWrap/>
            <w:hideMark/>
          </w:tcPr>
          <w:p w14:paraId="6F325D32" w14:textId="77777777" w:rsidR="00C66693" w:rsidRPr="00780E30" w:rsidRDefault="00C66693" w:rsidP="00504CBB">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DUSP4</w:t>
            </w:r>
          </w:p>
        </w:tc>
        <w:tc>
          <w:tcPr>
            <w:tcW w:w="0" w:type="auto"/>
            <w:noWrap/>
            <w:hideMark/>
          </w:tcPr>
          <w:p w14:paraId="7A2E2CC3" w14:textId="77777777" w:rsidR="00C66693" w:rsidRPr="00C66693" w:rsidRDefault="00C66693" w:rsidP="00C66693">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color w:val="333333"/>
                <w:sz w:val="22"/>
                <w:szCs w:val="22"/>
              </w:rPr>
            </w:pPr>
          </w:p>
        </w:tc>
        <w:tc>
          <w:tcPr>
            <w:tcW w:w="0" w:type="auto"/>
            <w:noWrap/>
            <w:hideMark/>
          </w:tcPr>
          <w:p w14:paraId="587840BB" w14:textId="77777777" w:rsidR="00C66693" w:rsidRPr="00780E30" w:rsidRDefault="00C66693" w:rsidP="00504CBB">
            <w:pPr>
              <w:jc w:val="right"/>
              <w:cnfStyle w:val="000000000000" w:firstRow="0" w:lastRow="0" w:firstColumn="0" w:lastColumn="0" w:oddVBand="0" w:evenVBand="0" w:oddHBand="0" w:evenHBand="0" w:firstRowFirstColumn="0" w:firstRowLastColumn="0" w:lastRowFirstColumn="0" w:lastRowLastColumn="0"/>
              <w:rPr>
                <w:rFonts w:cstheme="minorHAnsi"/>
                <w:i/>
                <w:iCs/>
              </w:rPr>
            </w:pPr>
            <w:r w:rsidRPr="00780E30">
              <w:rPr>
                <w:rFonts w:cstheme="minorHAnsi"/>
                <w:i/>
                <w:iCs/>
              </w:rPr>
              <w:t>26586</w:t>
            </w:r>
          </w:p>
        </w:tc>
        <w:tc>
          <w:tcPr>
            <w:tcW w:w="0" w:type="auto"/>
            <w:noWrap/>
            <w:hideMark/>
          </w:tcPr>
          <w:p w14:paraId="18582492" w14:textId="77777777" w:rsidR="00C66693" w:rsidRPr="00780E30" w:rsidRDefault="00C66693" w:rsidP="00504CBB">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CKAP2</w:t>
            </w:r>
          </w:p>
        </w:tc>
      </w:tr>
      <w:tr w:rsidR="00C66693" w:rsidRPr="00C66693" w14:paraId="7BBDC858" w14:textId="77777777" w:rsidTr="00780E30">
        <w:trPr>
          <w:cnfStyle w:val="000000100000" w:firstRow="0" w:lastRow="0" w:firstColumn="0" w:lastColumn="0" w:oddVBand="0" w:evenVBand="0" w:oddHBand="1" w:evenHBand="0" w:firstRowFirstColumn="0" w:firstRowLastColumn="0" w:lastRowFirstColumn="0" w:lastRowLastColumn="0"/>
          <w:trHeight w:val="399"/>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26CF2657" w14:textId="77777777" w:rsidR="00C66693" w:rsidRPr="00C66693" w:rsidRDefault="00C66693" w:rsidP="00504CBB">
            <w:pPr>
              <w:jc w:val="right"/>
              <w:rPr>
                <w:rFonts w:cstheme="minorHAnsi"/>
                <w:b w:val="0"/>
                <w:bCs w:val="0"/>
                <w:i/>
                <w:iCs/>
              </w:rPr>
            </w:pPr>
            <w:r w:rsidRPr="00C66693">
              <w:rPr>
                <w:rFonts w:cstheme="minorHAnsi"/>
                <w:b w:val="0"/>
                <w:bCs w:val="0"/>
                <w:i/>
                <w:iCs/>
              </w:rPr>
              <w:t>4320</w:t>
            </w:r>
          </w:p>
        </w:tc>
        <w:tc>
          <w:tcPr>
            <w:tcW w:w="0" w:type="auto"/>
            <w:noWrap/>
            <w:hideMark/>
          </w:tcPr>
          <w:p w14:paraId="73FE9771" w14:textId="77777777" w:rsidR="00C66693" w:rsidRPr="00780E30" w:rsidRDefault="00C66693" w:rsidP="00504CBB">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MMP11</w:t>
            </w:r>
          </w:p>
        </w:tc>
        <w:tc>
          <w:tcPr>
            <w:tcW w:w="0" w:type="auto"/>
            <w:noWrap/>
            <w:hideMark/>
          </w:tcPr>
          <w:p w14:paraId="0904C0F7" w14:textId="77777777" w:rsidR="00C66693" w:rsidRPr="00C66693" w:rsidRDefault="00C66693" w:rsidP="00C66693">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color w:val="333333"/>
                <w:sz w:val="22"/>
                <w:szCs w:val="22"/>
              </w:rPr>
            </w:pPr>
          </w:p>
        </w:tc>
        <w:tc>
          <w:tcPr>
            <w:tcW w:w="0" w:type="auto"/>
            <w:noWrap/>
            <w:hideMark/>
          </w:tcPr>
          <w:p w14:paraId="166B8166" w14:textId="77777777" w:rsidR="00C66693" w:rsidRPr="00780E30" w:rsidRDefault="00C66693" w:rsidP="00504CBB">
            <w:pPr>
              <w:jc w:val="right"/>
              <w:cnfStyle w:val="000000100000" w:firstRow="0" w:lastRow="0" w:firstColumn="0" w:lastColumn="0" w:oddVBand="0" w:evenVBand="0" w:oddHBand="1" w:evenHBand="0" w:firstRowFirstColumn="0" w:firstRowLastColumn="0" w:lastRowFirstColumn="0" w:lastRowLastColumn="0"/>
              <w:rPr>
                <w:rFonts w:cstheme="minorHAnsi"/>
                <w:i/>
                <w:iCs/>
              </w:rPr>
            </w:pPr>
            <w:r w:rsidRPr="00780E30">
              <w:rPr>
                <w:rFonts w:cstheme="minorHAnsi"/>
                <w:i/>
                <w:iCs/>
              </w:rPr>
              <w:t>120071</w:t>
            </w:r>
          </w:p>
        </w:tc>
        <w:tc>
          <w:tcPr>
            <w:tcW w:w="0" w:type="auto"/>
            <w:noWrap/>
            <w:hideMark/>
          </w:tcPr>
          <w:p w14:paraId="354FEC57" w14:textId="77777777" w:rsidR="00C66693" w:rsidRPr="00780E30" w:rsidRDefault="00C66693" w:rsidP="00504CBB">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LARGE2</w:t>
            </w:r>
          </w:p>
        </w:tc>
        <w:tc>
          <w:tcPr>
            <w:tcW w:w="0" w:type="auto"/>
            <w:noWrap/>
            <w:hideMark/>
          </w:tcPr>
          <w:p w14:paraId="562A879E" w14:textId="77777777" w:rsidR="00C66693" w:rsidRPr="00C66693" w:rsidRDefault="00C66693" w:rsidP="00C66693">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color w:val="333333"/>
                <w:sz w:val="22"/>
                <w:szCs w:val="22"/>
              </w:rPr>
            </w:pPr>
          </w:p>
        </w:tc>
        <w:tc>
          <w:tcPr>
            <w:tcW w:w="0" w:type="auto"/>
            <w:noWrap/>
            <w:hideMark/>
          </w:tcPr>
          <w:p w14:paraId="38A19336" w14:textId="77777777" w:rsidR="00C66693" w:rsidRPr="00780E30" w:rsidRDefault="00C66693" w:rsidP="00504CBB">
            <w:pPr>
              <w:jc w:val="right"/>
              <w:cnfStyle w:val="000000100000" w:firstRow="0" w:lastRow="0" w:firstColumn="0" w:lastColumn="0" w:oddVBand="0" w:evenVBand="0" w:oddHBand="1" w:evenHBand="0" w:firstRowFirstColumn="0" w:firstRowLastColumn="0" w:lastRowFirstColumn="0" w:lastRowLastColumn="0"/>
              <w:rPr>
                <w:rFonts w:cstheme="minorHAnsi"/>
                <w:i/>
                <w:iCs/>
              </w:rPr>
            </w:pPr>
            <w:r w:rsidRPr="00780E30">
              <w:rPr>
                <w:rFonts w:cstheme="minorHAnsi"/>
                <w:i/>
                <w:iCs/>
              </w:rPr>
              <w:t>79007</w:t>
            </w:r>
          </w:p>
        </w:tc>
        <w:tc>
          <w:tcPr>
            <w:tcW w:w="0" w:type="auto"/>
            <w:noWrap/>
            <w:hideMark/>
          </w:tcPr>
          <w:p w14:paraId="29995E27" w14:textId="77777777" w:rsidR="00C66693" w:rsidRPr="00780E30" w:rsidRDefault="00C66693" w:rsidP="00504CBB">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DBNDD1</w:t>
            </w:r>
          </w:p>
        </w:tc>
      </w:tr>
      <w:tr w:rsidR="00C66693" w:rsidRPr="00C66693" w14:paraId="06C9E99E" w14:textId="77777777" w:rsidTr="00780E30">
        <w:trPr>
          <w:trHeight w:val="399"/>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3ABBD16E" w14:textId="77777777" w:rsidR="00C66693" w:rsidRPr="00C66693" w:rsidRDefault="00C66693" w:rsidP="00504CBB">
            <w:pPr>
              <w:jc w:val="right"/>
              <w:rPr>
                <w:rFonts w:cstheme="minorHAnsi"/>
                <w:b w:val="0"/>
                <w:bCs w:val="0"/>
                <w:i/>
                <w:iCs/>
              </w:rPr>
            </w:pPr>
            <w:r w:rsidRPr="00C66693">
              <w:rPr>
                <w:rFonts w:cstheme="minorHAnsi"/>
                <w:b w:val="0"/>
                <w:bCs w:val="0"/>
                <w:i/>
                <w:iCs/>
              </w:rPr>
              <w:t>3730</w:t>
            </w:r>
          </w:p>
        </w:tc>
        <w:tc>
          <w:tcPr>
            <w:tcW w:w="0" w:type="auto"/>
            <w:noWrap/>
            <w:hideMark/>
          </w:tcPr>
          <w:p w14:paraId="525E2D5F" w14:textId="77777777" w:rsidR="00C66693" w:rsidRPr="00780E30" w:rsidRDefault="00C66693" w:rsidP="00504CBB">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ANOS1</w:t>
            </w:r>
          </w:p>
        </w:tc>
        <w:tc>
          <w:tcPr>
            <w:tcW w:w="0" w:type="auto"/>
            <w:noWrap/>
            <w:hideMark/>
          </w:tcPr>
          <w:p w14:paraId="01FF6923" w14:textId="77777777" w:rsidR="00C66693" w:rsidRPr="00C66693" w:rsidRDefault="00C66693" w:rsidP="00C66693">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color w:val="333333"/>
                <w:sz w:val="22"/>
                <w:szCs w:val="22"/>
              </w:rPr>
            </w:pPr>
          </w:p>
        </w:tc>
        <w:tc>
          <w:tcPr>
            <w:tcW w:w="0" w:type="auto"/>
            <w:noWrap/>
            <w:hideMark/>
          </w:tcPr>
          <w:p w14:paraId="3E710C1A" w14:textId="77777777" w:rsidR="00C66693" w:rsidRPr="00780E30" w:rsidRDefault="00C66693" w:rsidP="00504CBB">
            <w:pPr>
              <w:jc w:val="right"/>
              <w:cnfStyle w:val="000000000000" w:firstRow="0" w:lastRow="0" w:firstColumn="0" w:lastColumn="0" w:oddVBand="0" w:evenVBand="0" w:oddHBand="0" w:evenHBand="0" w:firstRowFirstColumn="0" w:firstRowLastColumn="0" w:lastRowFirstColumn="0" w:lastRowLastColumn="0"/>
              <w:rPr>
                <w:rFonts w:cstheme="minorHAnsi"/>
                <w:i/>
                <w:iCs/>
              </w:rPr>
            </w:pPr>
            <w:r w:rsidRPr="00780E30">
              <w:rPr>
                <w:rFonts w:cstheme="minorHAnsi"/>
                <w:i/>
                <w:iCs/>
              </w:rPr>
              <w:t>11065</w:t>
            </w:r>
          </w:p>
        </w:tc>
        <w:tc>
          <w:tcPr>
            <w:tcW w:w="0" w:type="auto"/>
            <w:noWrap/>
            <w:hideMark/>
          </w:tcPr>
          <w:p w14:paraId="11EA179E" w14:textId="77777777" w:rsidR="00C66693" w:rsidRPr="00780E30" w:rsidRDefault="00C66693" w:rsidP="00504CBB">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UBE2C</w:t>
            </w:r>
          </w:p>
        </w:tc>
        <w:tc>
          <w:tcPr>
            <w:tcW w:w="0" w:type="auto"/>
            <w:noWrap/>
            <w:hideMark/>
          </w:tcPr>
          <w:p w14:paraId="5C98CE88" w14:textId="77777777" w:rsidR="00C66693" w:rsidRPr="00C66693" w:rsidRDefault="00C66693" w:rsidP="00C66693">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color w:val="333333"/>
                <w:sz w:val="22"/>
                <w:szCs w:val="22"/>
              </w:rPr>
            </w:pPr>
          </w:p>
        </w:tc>
        <w:tc>
          <w:tcPr>
            <w:tcW w:w="0" w:type="auto"/>
            <w:noWrap/>
            <w:hideMark/>
          </w:tcPr>
          <w:p w14:paraId="6D3811D8" w14:textId="77777777" w:rsidR="00C66693" w:rsidRPr="00780E30" w:rsidRDefault="00C66693" w:rsidP="00504CBB">
            <w:pPr>
              <w:jc w:val="right"/>
              <w:cnfStyle w:val="000000000000" w:firstRow="0" w:lastRow="0" w:firstColumn="0" w:lastColumn="0" w:oddVBand="0" w:evenVBand="0" w:oddHBand="0" w:evenHBand="0" w:firstRowFirstColumn="0" w:firstRowLastColumn="0" w:lastRowFirstColumn="0" w:lastRowLastColumn="0"/>
              <w:rPr>
                <w:rFonts w:cstheme="minorHAnsi"/>
                <w:i/>
                <w:iCs/>
              </w:rPr>
            </w:pPr>
            <w:r w:rsidRPr="00780E30">
              <w:rPr>
                <w:rFonts w:cstheme="minorHAnsi"/>
                <w:i/>
                <w:iCs/>
              </w:rPr>
              <w:t>6004</w:t>
            </w:r>
          </w:p>
        </w:tc>
        <w:tc>
          <w:tcPr>
            <w:tcW w:w="0" w:type="auto"/>
            <w:noWrap/>
            <w:hideMark/>
          </w:tcPr>
          <w:p w14:paraId="1B116E87" w14:textId="77777777" w:rsidR="00C66693" w:rsidRPr="00780E30" w:rsidRDefault="00C66693" w:rsidP="00504CBB">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RGS16</w:t>
            </w:r>
          </w:p>
        </w:tc>
      </w:tr>
      <w:tr w:rsidR="00C66693" w:rsidRPr="00C66693" w14:paraId="3DD3D25A" w14:textId="77777777" w:rsidTr="00780E30">
        <w:trPr>
          <w:cnfStyle w:val="000000100000" w:firstRow="0" w:lastRow="0" w:firstColumn="0" w:lastColumn="0" w:oddVBand="0" w:evenVBand="0" w:oddHBand="1" w:evenHBand="0" w:firstRowFirstColumn="0" w:firstRowLastColumn="0" w:lastRowFirstColumn="0" w:lastRowLastColumn="0"/>
          <w:trHeight w:val="399"/>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0B140B33" w14:textId="77777777" w:rsidR="00C66693" w:rsidRPr="00C66693" w:rsidRDefault="00C66693" w:rsidP="00504CBB">
            <w:pPr>
              <w:jc w:val="right"/>
              <w:rPr>
                <w:rFonts w:cstheme="minorHAnsi"/>
                <w:b w:val="0"/>
                <w:bCs w:val="0"/>
                <w:i/>
                <w:iCs/>
              </w:rPr>
            </w:pPr>
            <w:r w:rsidRPr="00C66693">
              <w:rPr>
                <w:rFonts w:cstheme="minorHAnsi"/>
                <w:b w:val="0"/>
                <w:bCs w:val="0"/>
                <w:i/>
                <w:iCs/>
              </w:rPr>
              <w:t>9075</w:t>
            </w:r>
          </w:p>
        </w:tc>
        <w:tc>
          <w:tcPr>
            <w:tcW w:w="0" w:type="auto"/>
            <w:noWrap/>
            <w:hideMark/>
          </w:tcPr>
          <w:p w14:paraId="1AFE4ADE" w14:textId="77777777" w:rsidR="00C66693" w:rsidRPr="00780E30" w:rsidRDefault="00C66693" w:rsidP="00504CBB">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CLDN2</w:t>
            </w:r>
          </w:p>
        </w:tc>
        <w:tc>
          <w:tcPr>
            <w:tcW w:w="0" w:type="auto"/>
            <w:noWrap/>
            <w:hideMark/>
          </w:tcPr>
          <w:p w14:paraId="288AE7FD" w14:textId="77777777" w:rsidR="00C66693" w:rsidRPr="00C66693" w:rsidRDefault="00C66693" w:rsidP="00C66693">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color w:val="333333"/>
                <w:sz w:val="22"/>
                <w:szCs w:val="22"/>
              </w:rPr>
            </w:pPr>
          </w:p>
        </w:tc>
        <w:tc>
          <w:tcPr>
            <w:tcW w:w="0" w:type="auto"/>
            <w:noWrap/>
            <w:hideMark/>
          </w:tcPr>
          <w:p w14:paraId="73F2975E" w14:textId="77777777" w:rsidR="00C66693" w:rsidRPr="00780E30" w:rsidRDefault="00C66693" w:rsidP="00504CBB">
            <w:pPr>
              <w:jc w:val="right"/>
              <w:cnfStyle w:val="000000100000" w:firstRow="0" w:lastRow="0" w:firstColumn="0" w:lastColumn="0" w:oddVBand="0" w:evenVBand="0" w:oddHBand="1" w:evenHBand="0" w:firstRowFirstColumn="0" w:firstRowLastColumn="0" w:lastRowFirstColumn="0" w:lastRowLastColumn="0"/>
              <w:rPr>
                <w:rFonts w:cstheme="minorHAnsi"/>
                <w:i/>
                <w:iCs/>
              </w:rPr>
            </w:pPr>
            <w:r w:rsidRPr="00780E30">
              <w:rPr>
                <w:rFonts w:cstheme="minorHAnsi"/>
                <w:i/>
                <w:iCs/>
              </w:rPr>
              <w:t>8140</w:t>
            </w:r>
          </w:p>
        </w:tc>
        <w:tc>
          <w:tcPr>
            <w:tcW w:w="0" w:type="auto"/>
            <w:noWrap/>
            <w:hideMark/>
          </w:tcPr>
          <w:p w14:paraId="3CA5F5C6" w14:textId="77777777" w:rsidR="00C66693" w:rsidRPr="00780E30" w:rsidRDefault="00C66693" w:rsidP="00504CBB">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SLC7A5</w:t>
            </w:r>
          </w:p>
        </w:tc>
        <w:tc>
          <w:tcPr>
            <w:tcW w:w="0" w:type="auto"/>
            <w:noWrap/>
            <w:hideMark/>
          </w:tcPr>
          <w:p w14:paraId="45D273E3" w14:textId="77777777" w:rsidR="00C66693" w:rsidRPr="00C66693" w:rsidRDefault="00C66693" w:rsidP="00C66693">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color w:val="333333"/>
                <w:sz w:val="22"/>
                <w:szCs w:val="22"/>
              </w:rPr>
            </w:pPr>
          </w:p>
        </w:tc>
        <w:tc>
          <w:tcPr>
            <w:tcW w:w="0" w:type="auto"/>
            <w:noWrap/>
            <w:hideMark/>
          </w:tcPr>
          <w:p w14:paraId="35B4A5D4" w14:textId="77777777" w:rsidR="00C66693" w:rsidRPr="00780E30" w:rsidRDefault="00C66693" w:rsidP="00504CBB">
            <w:pPr>
              <w:jc w:val="right"/>
              <w:cnfStyle w:val="000000100000" w:firstRow="0" w:lastRow="0" w:firstColumn="0" w:lastColumn="0" w:oddVBand="0" w:evenVBand="0" w:oddHBand="1" w:evenHBand="0" w:firstRowFirstColumn="0" w:firstRowLastColumn="0" w:lastRowFirstColumn="0" w:lastRowLastColumn="0"/>
              <w:rPr>
                <w:rFonts w:cstheme="minorHAnsi"/>
                <w:i/>
                <w:iCs/>
              </w:rPr>
            </w:pPr>
            <w:r w:rsidRPr="00780E30">
              <w:rPr>
                <w:rFonts w:cstheme="minorHAnsi"/>
                <w:i/>
                <w:iCs/>
              </w:rPr>
              <w:t>8061</w:t>
            </w:r>
          </w:p>
        </w:tc>
        <w:tc>
          <w:tcPr>
            <w:tcW w:w="0" w:type="auto"/>
            <w:noWrap/>
            <w:hideMark/>
          </w:tcPr>
          <w:p w14:paraId="6E4A921A" w14:textId="77777777" w:rsidR="00C66693" w:rsidRPr="00780E30" w:rsidRDefault="00C66693" w:rsidP="00504CBB">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FOSL1</w:t>
            </w:r>
          </w:p>
        </w:tc>
      </w:tr>
      <w:tr w:rsidR="00C66693" w:rsidRPr="00C66693" w14:paraId="4173D71F" w14:textId="77777777" w:rsidTr="00780E30">
        <w:trPr>
          <w:trHeight w:val="399"/>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0239978C" w14:textId="77777777" w:rsidR="00C66693" w:rsidRPr="00C66693" w:rsidRDefault="00C66693" w:rsidP="00504CBB">
            <w:pPr>
              <w:jc w:val="right"/>
              <w:rPr>
                <w:rFonts w:cstheme="minorHAnsi"/>
                <w:b w:val="0"/>
                <w:bCs w:val="0"/>
                <w:i/>
                <w:iCs/>
              </w:rPr>
            </w:pPr>
            <w:r w:rsidRPr="00C66693">
              <w:rPr>
                <w:rFonts w:cstheme="minorHAnsi"/>
                <w:b w:val="0"/>
                <w:bCs w:val="0"/>
                <w:i/>
                <w:iCs/>
              </w:rPr>
              <w:t>4312</w:t>
            </w:r>
          </w:p>
        </w:tc>
        <w:tc>
          <w:tcPr>
            <w:tcW w:w="0" w:type="auto"/>
            <w:noWrap/>
            <w:hideMark/>
          </w:tcPr>
          <w:p w14:paraId="767788F5" w14:textId="77777777" w:rsidR="00C66693" w:rsidRPr="00780E30" w:rsidRDefault="00C66693" w:rsidP="00504CBB">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MMP1</w:t>
            </w:r>
          </w:p>
        </w:tc>
        <w:tc>
          <w:tcPr>
            <w:tcW w:w="0" w:type="auto"/>
            <w:noWrap/>
            <w:hideMark/>
          </w:tcPr>
          <w:p w14:paraId="62CE1A90" w14:textId="77777777" w:rsidR="00C66693" w:rsidRPr="00C66693" w:rsidRDefault="00C66693" w:rsidP="00C66693">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color w:val="333333"/>
                <w:sz w:val="22"/>
                <w:szCs w:val="22"/>
              </w:rPr>
            </w:pPr>
          </w:p>
        </w:tc>
        <w:tc>
          <w:tcPr>
            <w:tcW w:w="0" w:type="auto"/>
            <w:noWrap/>
            <w:hideMark/>
          </w:tcPr>
          <w:p w14:paraId="17DDE4F3" w14:textId="77777777" w:rsidR="00C66693" w:rsidRPr="00780E30" w:rsidRDefault="00C66693" w:rsidP="00504CBB">
            <w:pPr>
              <w:jc w:val="right"/>
              <w:cnfStyle w:val="000000000000" w:firstRow="0" w:lastRow="0" w:firstColumn="0" w:lastColumn="0" w:oddVBand="0" w:evenVBand="0" w:oddHBand="0" w:evenHBand="0" w:firstRowFirstColumn="0" w:firstRowLastColumn="0" w:lastRowFirstColumn="0" w:lastRowLastColumn="0"/>
              <w:rPr>
                <w:rFonts w:cstheme="minorHAnsi"/>
                <w:i/>
                <w:iCs/>
              </w:rPr>
            </w:pPr>
            <w:r w:rsidRPr="00780E30">
              <w:rPr>
                <w:rFonts w:cstheme="minorHAnsi"/>
                <w:i/>
                <w:iCs/>
              </w:rPr>
              <w:t>85409</w:t>
            </w:r>
          </w:p>
        </w:tc>
        <w:tc>
          <w:tcPr>
            <w:tcW w:w="0" w:type="auto"/>
            <w:noWrap/>
            <w:hideMark/>
          </w:tcPr>
          <w:p w14:paraId="36A50190" w14:textId="77777777" w:rsidR="00C66693" w:rsidRPr="00780E30" w:rsidRDefault="00C66693" w:rsidP="00504CBB">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NKD2</w:t>
            </w:r>
          </w:p>
        </w:tc>
        <w:tc>
          <w:tcPr>
            <w:tcW w:w="0" w:type="auto"/>
            <w:noWrap/>
            <w:hideMark/>
          </w:tcPr>
          <w:p w14:paraId="7339CF7F" w14:textId="77777777" w:rsidR="00C66693" w:rsidRPr="00C66693" w:rsidRDefault="00C66693" w:rsidP="00C66693">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color w:val="333333"/>
                <w:sz w:val="22"/>
                <w:szCs w:val="22"/>
              </w:rPr>
            </w:pPr>
          </w:p>
        </w:tc>
        <w:tc>
          <w:tcPr>
            <w:tcW w:w="0" w:type="auto"/>
            <w:noWrap/>
            <w:hideMark/>
          </w:tcPr>
          <w:p w14:paraId="0BDA2158" w14:textId="77777777" w:rsidR="00C66693" w:rsidRPr="00780E30" w:rsidRDefault="00C66693" w:rsidP="00504CBB">
            <w:pPr>
              <w:jc w:val="right"/>
              <w:cnfStyle w:val="000000000000" w:firstRow="0" w:lastRow="0" w:firstColumn="0" w:lastColumn="0" w:oddVBand="0" w:evenVBand="0" w:oddHBand="0" w:evenHBand="0" w:firstRowFirstColumn="0" w:firstRowLastColumn="0" w:lastRowFirstColumn="0" w:lastRowLastColumn="0"/>
              <w:rPr>
                <w:rFonts w:cstheme="minorHAnsi"/>
                <w:i/>
                <w:iCs/>
              </w:rPr>
            </w:pPr>
            <w:r w:rsidRPr="00780E30">
              <w:rPr>
                <w:rFonts w:cstheme="minorHAnsi"/>
                <w:i/>
                <w:iCs/>
              </w:rPr>
              <w:t>57460</w:t>
            </w:r>
          </w:p>
        </w:tc>
        <w:tc>
          <w:tcPr>
            <w:tcW w:w="0" w:type="auto"/>
            <w:noWrap/>
            <w:hideMark/>
          </w:tcPr>
          <w:p w14:paraId="4A3DD727" w14:textId="77777777" w:rsidR="00C66693" w:rsidRPr="00780E30" w:rsidRDefault="00C66693" w:rsidP="00504CBB">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PPM1H</w:t>
            </w:r>
          </w:p>
        </w:tc>
      </w:tr>
      <w:tr w:rsidR="00C66693" w:rsidRPr="00C66693" w14:paraId="542DC309" w14:textId="77777777" w:rsidTr="00780E30">
        <w:trPr>
          <w:cnfStyle w:val="000000100000" w:firstRow="0" w:lastRow="0" w:firstColumn="0" w:lastColumn="0" w:oddVBand="0" w:evenVBand="0" w:oddHBand="1" w:evenHBand="0" w:firstRowFirstColumn="0" w:firstRowLastColumn="0" w:lastRowFirstColumn="0" w:lastRowLastColumn="0"/>
          <w:trHeight w:val="399"/>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1410A5F1" w14:textId="77777777" w:rsidR="00C66693" w:rsidRPr="00C66693" w:rsidRDefault="00C66693" w:rsidP="00504CBB">
            <w:pPr>
              <w:jc w:val="right"/>
              <w:rPr>
                <w:rFonts w:cstheme="minorHAnsi"/>
                <w:b w:val="0"/>
                <w:bCs w:val="0"/>
                <w:i/>
                <w:iCs/>
              </w:rPr>
            </w:pPr>
            <w:r w:rsidRPr="00C66693">
              <w:rPr>
                <w:rFonts w:cstheme="minorHAnsi"/>
                <w:b w:val="0"/>
                <w:bCs w:val="0"/>
                <w:i/>
                <w:iCs/>
              </w:rPr>
              <w:t>221416</w:t>
            </w:r>
          </w:p>
        </w:tc>
        <w:tc>
          <w:tcPr>
            <w:tcW w:w="0" w:type="auto"/>
            <w:noWrap/>
            <w:hideMark/>
          </w:tcPr>
          <w:p w14:paraId="5DBAD4AF" w14:textId="77777777" w:rsidR="00C66693" w:rsidRPr="00780E30" w:rsidRDefault="00C66693" w:rsidP="00504CBB">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LINC03040</w:t>
            </w:r>
          </w:p>
        </w:tc>
        <w:tc>
          <w:tcPr>
            <w:tcW w:w="0" w:type="auto"/>
            <w:noWrap/>
            <w:hideMark/>
          </w:tcPr>
          <w:p w14:paraId="637E1803" w14:textId="77777777" w:rsidR="00C66693" w:rsidRPr="00C66693" w:rsidRDefault="00C66693" w:rsidP="00C66693">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color w:val="333333"/>
                <w:sz w:val="22"/>
                <w:szCs w:val="22"/>
              </w:rPr>
            </w:pPr>
          </w:p>
        </w:tc>
        <w:tc>
          <w:tcPr>
            <w:tcW w:w="0" w:type="auto"/>
            <w:noWrap/>
            <w:hideMark/>
          </w:tcPr>
          <w:p w14:paraId="776C0E24" w14:textId="77777777" w:rsidR="00C66693" w:rsidRPr="00780E30" w:rsidRDefault="00C66693" w:rsidP="00504CBB">
            <w:pPr>
              <w:jc w:val="right"/>
              <w:cnfStyle w:val="000000100000" w:firstRow="0" w:lastRow="0" w:firstColumn="0" w:lastColumn="0" w:oddVBand="0" w:evenVBand="0" w:oddHBand="1" w:evenHBand="0" w:firstRowFirstColumn="0" w:firstRowLastColumn="0" w:lastRowFirstColumn="0" w:lastRowLastColumn="0"/>
              <w:rPr>
                <w:rFonts w:cstheme="minorHAnsi"/>
                <w:i/>
                <w:iCs/>
              </w:rPr>
            </w:pPr>
            <w:r w:rsidRPr="00780E30">
              <w:rPr>
                <w:rFonts w:cstheme="minorHAnsi"/>
                <w:i/>
                <w:iCs/>
              </w:rPr>
              <w:t>23213</w:t>
            </w:r>
          </w:p>
        </w:tc>
        <w:tc>
          <w:tcPr>
            <w:tcW w:w="0" w:type="auto"/>
            <w:noWrap/>
            <w:hideMark/>
          </w:tcPr>
          <w:p w14:paraId="0767803B" w14:textId="77777777" w:rsidR="00C66693" w:rsidRPr="00780E30" w:rsidRDefault="00C66693" w:rsidP="00504CBB">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SULF1</w:t>
            </w:r>
          </w:p>
        </w:tc>
        <w:tc>
          <w:tcPr>
            <w:tcW w:w="0" w:type="auto"/>
            <w:noWrap/>
            <w:hideMark/>
          </w:tcPr>
          <w:p w14:paraId="28AF025F" w14:textId="77777777" w:rsidR="00C66693" w:rsidRPr="00C66693" w:rsidRDefault="00C66693" w:rsidP="00C66693">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color w:val="333333"/>
                <w:sz w:val="22"/>
                <w:szCs w:val="22"/>
              </w:rPr>
            </w:pPr>
          </w:p>
        </w:tc>
        <w:tc>
          <w:tcPr>
            <w:tcW w:w="0" w:type="auto"/>
            <w:noWrap/>
            <w:hideMark/>
          </w:tcPr>
          <w:p w14:paraId="5CFAAD0F" w14:textId="77777777" w:rsidR="00C66693" w:rsidRPr="00780E30" w:rsidRDefault="00C66693" w:rsidP="00504CBB">
            <w:pPr>
              <w:jc w:val="right"/>
              <w:cnfStyle w:val="000000100000" w:firstRow="0" w:lastRow="0" w:firstColumn="0" w:lastColumn="0" w:oddVBand="0" w:evenVBand="0" w:oddHBand="1" w:evenHBand="0" w:firstRowFirstColumn="0" w:firstRowLastColumn="0" w:lastRowFirstColumn="0" w:lastRowLastColumn="0"/>
              <w:rPr>
                <w:rFonts w:cstheme="minorHAnsi"/>
                <w:i/>
                <w:iCs/>
              </w:rPr>
            </w:pPr>
            <w:r w:rsidRPr="00780E30">
              <w:rPr>
                <w:rFonts w:cstheme="minorHAnsi"/>
                <w:i/>
                <w:iCs/>
              </w:rPr>
              <w:t>10953</w:t>
            </w:r>
          </w:p>
        </w:tc>
        <w:tc>
          <w:tcPr>
            <w:tcW w:w="0" w:type="auto"/>
            <w:noWrap/>
            <w:hideMark/>
          </w:tcPr>
          <w:p w14:paraId="17CDFB48" w14:textId="77777777" w:rsidR="00C66693" w:rsidRPr="00780E30" w:rsidRDefault="00C66693" w:rsidP="00504CBB">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TOMM34</w:t>
            </w:r>
          </w:p>
        </w:tc>
      </w:tr>
      <w:tr w:rsidR="00C66693" w:rsidRPr="00C66693" w14:paraId="3F19A1ED" w14:textId="77777777" w:rsidTr="00780E30">
        <w:trPr>
          <w:trHeight w:val="399"/>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7AA00DDA" w14:textId="77777777" w:rsidR="00C66693" w:rsidRPr="00C66693" w:rsidRDefault="00C66693" w:rsidP="00504CBB">
            <w:pPr>
              <w:jc w:val="right"/>
              <w:rPr>
                <w:rFonts w:cstheme="minorHAnsi"/>
                <w:b w:val="0"/>
                <w:bCs w:val="0"/>
                <w:i/>
                <w:iCs/>
              </w:rPr>
            </w:pPr>
            <w:r w:rsidRPr="00C66693">
              <w:rPr>
                <w:rFonts w:cstheme="minorHAnsi"/>
                <w:b w:val="0"/>
                <w:bCs w:val="0"/>
                <w:i/>
                <w:iCs/>
              </w:rPr>
              <w:t>1116</w:t>
            </w:r>
          </w:p>
        </w:tc>
        <w:tc>
          <w:tcPr>
            <w:tcW w:w="0" w:type="auto"/>
            <w:noWrap/>
            <w:hideMark/>
          </w:tcPr>
          <w:p w14:paraId="69405F60" w14:textId="77777777" w:rsidR="00C66693" w:rsidRPr="00780E30" w:rsidRDefault="00C66693" w:rsidP="00504CBB">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CHI3L1</w:t>
            </w:r>
          </w:p>
        </w:tc>
        <w:tc>
          <w:tcPr>
            <w:tcW w:w="0" w:type="auto"/>
            <w:noWrap/>
            <w:hideMark/>
          </w:tcPr>
          <w:p w14:paraId="6597D764" w14:textId="77777777" w:rsidR="00C66693" w:rsidRPr="00C66693" w:rsidRDefault="00C66693" w:rsidP="00C66693">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color w:val="333333"/>
                <w:sz w:val="22"/>
                <w:szCs w:val="22"/>
              </w:rPr>
            </w:pPr>
          </w:p>
        </w:tc>
        <w:tc>
          <w:tcPr>
            <w:tcW w:w="0" w:type="auto"/>
            <w:noWrap/>
            <w:hideMark/>
          </w:tcPr>
          <w:p w14:paraId="0D2EF84A" w14:textId="77777777" w:rsidR="00C66693" w:rsidRPr="00780E30" w:rsidRDefault="00C66693" w:rsidP="00504CBB">
            <w:pPr>
              <w:jc w:val="right"/>
              <w:cnfStyle w:val="000000000000" w:firstRow="0" w:lastRow="0" w:firstColumn="0" w:lastColumn="0" w:oddVBand="0" w:evenVBand="0" w:oddHBand="0" w:evenHBand="0" w:firstRowFirstColumn="0" w:firstRowLastColumn="0" w:lastRowFirstColumn="0" w:lastRowLastColumn="0"/>
              <w:rPr>
                <w:rFonts w:cstheme="minorHAnsi"/>
                <w:i/>
                <w:iCs/>
              </w:rPr>
            </w:pPr>
            <w:r w:rsidRPr="00780E30">
              <w:rPr>
                <w:rFonts w:cstheme="minorHAnsi"/>
                <w:i/>
                <w:iCs/>
              </w:rPr>
              <w:t>7058</w:t>
            </w:r>
          </w:p>
        </w:tc>
        <w:tc>
          <w:tcPr>
            <w:tcW w:w="0" w:type="auto"/>
            <w:noWrap/>
            <w:hideMark/>
          </w:tcPr>
          <w:p w14:paraId="5DF7E401" w14:textId="77777777" w:rsidR="00C66693" w:rsidRPr="00780E30" w:rsidRDefault="00C66693" w:rsidP="00504CBB">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THBS2</w:t>
            </w:r>
          </w:p>
        </w:tc>
        <w:tc>
          <w:tcPr>
            <w:tcW w:w="0" w:type="auto"/>
            <w:noWrap/>
            <w:hideMark/>
          </w:tcPr>
          <w:p w14:paraId="09F2F241" w14:textId="77777777" w:rsidR="00C66693" w:rsidRPr="00C66693" w:rsidRDefault="00C66693" w:rsidP="00C66693">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color w:val="333333"/>
                <w:sz w:val="22"/>
                <w:szCs w:val="22"/>
              </w:rPr>
            </w:pPr>
          </w:p>
        </w:tc>
        <w:tc>
          <w:tcPr>
            <w:tcW w:w="0" w:type="auto"/>
            <w:noWrap/>
            <w:hideMark/>
          </w:tcPr>
          <w:p w14:paraId="48444CB4" w14:textId="77777777" w:rsidR="00C66693" w:rsidRPr="00780E30" w:rsidRDefault="00C66693" w:rsidP="00504CBB">
            <w:pPr>
              <w:jc w:val="right"/>
              <w:cnfStyle w:val="000000000000" w:firstRow="0" w:lastRow="0" w:firstColumn="0" w:lastColumn="0" w:oddVBand="0" w:evenVBand="0" w:oddHBand="0" w:evenHBand="0" w:firstRowFirstColumn="0" w:firstRowLastColumn="0" w:lastRowFirstColumn="0" w:lastRowLastColumn="0"/>
              <w:rPr>
                <w:rFonts w:cstheme="minorHAnsi"/>
                <w:i/>
                <w:iCs/>
              </w:rPr>
            </w:pPr>
            <w:r w:rsidRPr="00780E30">
              <w:rPr>
                <w:rFonts w:cstheme="minorHAnsi"/>
                <w:i/>
                <w:iCs/>
              </w:rPr>
              <w:t>346389</w:t>
            </w:r>
          </w:p>
        </w:tc>
        <w:tc>
          <w:tcPr>
            <w:tcW w:w="0" w:type="auto"/>
            <w:noWrap/>
            <w:hideMark/>
          </w:tcPr>
          <w:p w14:paraId="7F3F6BDB" w14:textId="77777777" w:rsidR="00C66693" w:rsidRPr="00780E30" w:rsidRDefault="00C66693" w:rsidP="00504CBB">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MACC1</w:t>
            </w:r>
          </w:p>
        </w:tc>
      </w:tr>
      <w:tr w:rsidR="00C66693" w:rsidRPr="00C66693" w14:paraId="309B2BB5" w14:textId="77777777" w:rsidTr="00780E30">
        <w:trPr>
          <w:cnfStyle w:val="000000100000" w:firstRow="0" w:lastRow="0" w:firstColumn="0" w:lastColumn="0" w:oddVBand="0" w:evenVBand="0" w:oddHBand="1" w:evenHBand="0" w:firstRowFirstColumn="0" w:firstRowLastColumn="0" w:lastRowFirstColumn="0" w:lastRowLastColumn="0"/>
          <w:trHeight w:val="399"/>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5565D431" w14:textId="77777777" w:rsidR="00C66693" w:rsidRPr="00C66693" w:rsidRDefault="00C66693" w:rsidP="00504CBB">
            <w:pPr>
              <w:jc w:val="right"/>
              <w:rPr>
                <w:rFonts w:cstheme="minorHAnsi"/>
                <w:b w:val="0"/>
                <w:bCs w:val="0"/>
                <w:i/>
                <w:iCs/>
              </w:rPr>
            </w:pPr>
            <w:r w:rsidRPr="00C66693">
              <w:rPr>
                <w:rFonts w:cstheme="minorHAnsi"/>
                <w:b w:val="0"/>
                <w:bCs w:val="0"/>
                <w:i/>
                <w:iCs/>
              </w:rPr>
              <w:lastRenderedPageBreak/>
              <w:t>23650</w:t>
            </w:r>
          </w:p>
        </w:tc>
        <w:tc>
          <w:tcPr>
            <w:tcW w:w="0" w:type="auto"/>
            <w:noWrap/>
            <w:hideMark/>
          </w:tcPr>
          <w:p w14:paraId="3E8A4680" w14:textId="77777777" w:rsidR="00C66693" w:rsidRPr="00780E30" w:rsidRDefault="00C66693" w:rsidP="00504CBB">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TRIM29</w:t>
            </w:r>
          </w:p>
        </w:tc>
        <w:tc>
          <w:tcPr>
            <w:tcW w:w="0" w:type="auto"/>
            <w:noWrap/>
            <w:hideMark/>
          </w:tcPr>
          <w:p w14:paraId="59BF6927" w14:textId="77777777" w:rsidR="00C66693" w:rsidRPr="00C66693" w:rsidRDefault="00C66693" w:rsidP="00C66693">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color w:val="333333"/>
                <w:sz w:val="22"/>
                <w:szCs w:val="22"/>
              </w:rPr>
            </w:pPr>
          </w:p>
        </w:tc>
        <w:tc>
          <w:tcPr>
            <w:tcW w:w="0" w:type="auto"/>
            <w:noWrap/>
            <w:hideMark/>
          </w:tcPr>
          <w:p w14:paraId="1F31D00A" w14:textId="77777777" w:rsidR="00C66693" w:rsidRPr="00780E30" w:rsidRDefault="00C66693" w:rsidP="00504CBB">
            <w:pPr>
              <w:jc w:val="right"/>
              <w:cnfStyle w:val="000000100000" w:firstRow="0" w:lastRow="0" w:firstColumn="0" w:lastColumn="0" w:oddVBand="0" w:evenVBand="0" w:oddHBand="1" w:evenHBand="0" w:firstRowFirstColumn="0" w:firstRowLastColumn="0" w:lastRowFirstColumn="0" w:lastRowLastColumn="0"/>
              <w:rPr>
                <w:rFonts w:cstheme="minorHAnsi"/>
                <w:i/>
                <w:iCs/>
              </w:rPr>
            </w:pPr>
            <w:r w:rsidRPr="00780E30">
              <w:rPr>
                <w:rFonts w:cstheme="minorHAnsi"/>
                <w:i/>
                <w:iCs/>
              </w:rPr>
              <w:t>55083</w:t>
            </w:r>
          </w:p>
        </w:tc>
        <w:tc>
          <w:tcPr>
            <w:tcW w:w="0" w:type="auto"/>
            <w:noWrap/>
            <w:hideMark/>
          </w:tcPr>
          <w:p w14:paraId="5506E56D" w14:textId="77777777" w:rsidR="00C66693" w:rsidRPr="00780E30" w:rsidRDefault="00C66693" w:rsidP="00504CBB">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KIF26B</w:t>
            </w:r>
          </w:p>
        </w:tc>
        <w:tc>
          <w:tcPr>
            <w:tcW w:w="0" w:type="auto"/>
            <w:noWrap/>
            <w:hideMark/>
          </w:tcPr>
          <w:p w14:paraId="049C5F9E" w14:textId="77777777" w:rsidR="00C66693" w:rsidRPr="00C66693" w:rsidRDefault="00C66693" w:rsidP="00C66693">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color w:val="333333"/>
                <w:sz w:val="22"/>
                <w:szCs w:val="22"/>
              </w:rPr>
            </w:pPr>
          </w:p>
        </w:tc>
        <w:tc>
          <w:tcPr>
            <w:tcW w:w="0" w:type="auto"/>
            <w:noWrap/>
            <w:hideMark/>
          </w:tcPr>
          <w:p w14:paraId="7E0CDBC7" w14:textId="77777777" w:rsidR="00C66693" w:rsidRPr="00780E30" w:rsidRDefault="00C66693" w:rsidP="00504CBB">
            <w:pPr>
              <w:jc w:val="right"/>
              <w:cnfStyle w:val="000000100000" w:firstRow="0" w:lastRow="0" w:firstColumn="0" w:lastColumn="0" w:oddVBand="0" w:evenVBand="0" w:oddHBand="1" w:evenHBand="0" w:firstRowFirstColumn="0" w:firstRowLastColumn="0" w:lastRowFirstColumn="0" w:lastRowLastColumn="0"/>
              <w:rPr>
                <w:rFonts w:cstheme="minorHAnsi"/>
                <w:i/>
                <w:iCs/>
              </w:rPr>
            </w:pPr>
            <w:r w:rsidRPr="00780E30">
              <w:rPr>
                <w:rFonts w:cstheme="minorHAnsi"/>
                <w:i/>
                <w:iCs/>
              </w:rPr>
              <w:t>1594</w:t>
            </w:r>
          </w:p>
        </w:tc>
        <w:tc>
          <w:tcPr>
            <w:tcW w:w="0" w:type="auto"/>
            <w:noWrap/>
            <w:hideMark/>
          </w:tcPr>
          <w:p w14:paraId="4E586803" w14:textId="77777777" w:rsidR="00C66693" w:rsidRPr="00780E30" w:rsidRDefault="00C66693" w:rsidP="00504CBB">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CYP27B1</w:t>
            </w:r>
          </w:p>
        </w:tc>
      </w:tr>
      <w:tr w:rsidR="00C66693" w:rsidRPr="00C66693" w14:paraId="309A4DD1" w14:textId="77777777" w:rsidTr="00780E30">
        <w:trPr>
          <w:trHeight w:val="399"/>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4BE898D1" w14:textId="77777777" w:rsidR="00C66693" w:rsidRPr="00C66693" w:rsidRDefault="00C66693" w:rsidP="00504CBB">
            <w:pPr>
              <w:jc w:val="right"/>
              <w:rPr>
                <w:rFonts w:cstheme="minorHAnsi"/>
                <w:b w:val="0"/>
                <w:bCs w:val="0"/>
                <w:i/>
                <w:iCs/>
              </w:rPr>
            </w:pPr>
            <w:r w:rsidRPr="00C66693">
              <w:rPr>
                <w:rFonts w:cstheme="minorHAnsi"/>
                <w:b w:val="0"/>
                <w:bCs w:val="0"/>
                <w:i/>
                <w:iCs/>
              </w:rPr>
              <w:t>1277</w:t>
            </w:r>
          </w:p>
        </w:tc>
        <w:tc>
          <w:tcPr>
            <w:tcW w:w="0" w:type="auto"/>
            <w:noWrap/>
            <w:hideMark/>
          </w:tcPr>
          <w:p w14:paraId="353B7081" w14:textId="77777777" w:rsidR="00C66693" w:rsidRPr="00780E30" w:rsidRDefault="00C66693" w:rsidP="00504CBB">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COL1A1</w:t>
            </w:r>
          </w:p>
        </w:tc>
        <w:tc>
          <w:tcPr>
            <w:tcW w:w="0" w:type="auto"/>
            <w:noWrap/>
            <w:hideMark/>
          </w:tcPr>
          <w:p w14:paraId="4457D1E4" w14:textId="77777777" w:rsidR="00C66693" w:rsidRPr="00C66693" w:rsidRDefault="00C66693" w:rsidP="00C66693">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color w:val="333333"/>
                <w:sz w:val="22"/>
                <w:szCs w:val="22"/>
              </w:rPr>
            </w:pPr>
          </w:p>
        </w:tc>
        <w:tc>
          <w:tcPr>
            <w:tcW w:w="0" w:type="auto"/>
            <w:noWrap/>
            <w:hideMark/>
          </w:tcPr>
          <w:p w14:paraId="781BE72D" w14:textId="77777777" w:rsidR="00C66693" w:rsidRPr="00780E30" w:rsidRDefault="00C66693" w:rsidP="00504CBB">
            <w:pPr>
              <w:jc w:val="right"/>
              <w:cnfStyle w:val="000000000000" w:firstRow="0" w:lastRow="0" w:firstColumn="0" w:lastColumn="0" w:oddVBand="0" w:evenVBand="0" w:oddHBand="0" w:evenHBand="0" w:firstRowFirstColumn="0" w:firstRowLastColumn="0" w:lastRowFirstColumn="0" w:lastRowLastColumn="0"/>
              <w:rPr>
                <w:rFonts w:cstheme="minorHAnsi"/>
                <w:i/>
                <w:iCs/>
              </w:rPr>
            </w:pPr>
            <w:r w:rsidRPr="00780E30">
              <w:rPr>
                <w:rFonts w:cstheme="minorHAnsi"/>
                <w:i/>
                <w:iCs/>
              </w:rPr>
              <w:t>56938</w:t>
            </w:r>
          </w:p>
        </w:tc>
        <w:tc>
          <w:tcPr>
            <w:tcW w:w="0" w:type="auto"/>
            <w:noWrap/>
            <w:hideMark/>
          </w:tcPr>
          <w:p w14:paraId="618090E6" w14:textId="77777777" w:rsidR="00C66693" w:rsidRPr="00780E30" w:rsidRDefault="00C66693" w:rsidP="00504CBB">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BMAL2</w:t>
            </w:r>
          </w:p>
        </w:tc>
        <w:tc>
          <w:tcPr>
            <w:tcW w:w="0" w:type="auto"/>
            <w:noWrap/>
            <w:hideMark/>
          </w:tcPr>
          <w:p w14:paraId="1C43A298" w14:textId="77777777" w:rsidR="00C66693" w:rsidRPr="00C66693" w:rsidRDefault="00C66693" w:rsidP="00C66693">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color w:val="333333"/>
                <w:sz w:val="22"/>
                <w:szCs w:val="22"/>
              </w:rPr>
            </w:pPr>
          </w:p>
        </w:tc>
        <w:tc>
          <w:tcPr>
            <w:tcW w:w="0" w:type="auto"/>
            <w:noWrap/>
            <w:hideMark/>
          </w:tcPr>
          <w:p w14:paraId="69C16F4B" w14:textId="77777777" w:rsidR="00C66693" w:rsidRPr="00780E30" w:rsidRDefault="00C66693" w:rsidP="00504CBB">
            <w:pPr>
              <w:jc w:val="right"/>
              <w:cnfStyle w:val="000000000000" w:firstRow="0" w:lastRow="0" w:firstColumn="0" w:lastColumn="0" w:oddVBand="0" w:evenVBand="0" w:oddHBand="0" w:evenHBand="0" w:firstRowFirstColumn="0" w:firstRowLastColumn="0" w:lastRowFirstColumn="0" w:lastRowLastColumn="0"/>
              <w:rPr>
                <w:rFonts w:cstheme="minorHAnsi"/>
                <w:i/>
                <w:iCs/>
              </w:rPr>
            </w:pPr>
            <w:r w:rsidRPr="00780E30">
              <w:rPr>
                <w:rFonts w:cstheme="minorHAnsi"/>
                <w:i/>
                <w:iCs/>
              </w:rPr>
              <w:t>430</w:t>
            </w:r>
          </w:p>
        </w:tc>
        <w:tc>
          <w:tcPr>
            <w:tcW w:w="0" w:type="auto"/>
            <w:noWrap/>
            <w:hideMark/>
          </w:tcPr>
          <w:p w14:paraId="3CD7746D" w14:textId="77777777" w:rsidR="00C66693" w:rsidRPr="00780E30" w:rsidRDefault="00C66693" w:rsidP="00504CBB">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ASCL2</w:t>
            </w:r>
          </w:p>
        </w:tc>
      </w:tr>
      <w:tr w:rsidR="00C66693" w:rsidRPr="00C66693" w14:paraId="236EAAB6" w14:textId="77777777" w:rsidTr="00780E30">
        <w:trPr>
          <w:cnfStyle w:val="000000100000" w:firstRow="0" w:lastRow="0" w:firstColumn="0" w:lastColumn="0" w:oddVBand="0" w:evenVBand="0" w:oddHBand="1" w:evenHBand="0" w:firstRowFirstColumn="0" w:firstRowLastColumn="0" w:lastRowFirstColumn="0" w:lastRowLastColumn="0"/>
          <w:trHeight w:val="399"/>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2AA82B0F" w14:textId="77777777" w:rsidR="00C66693" w:rsidRPr="00C66693" w:rsidRDefault="00C66693" w:rsidP="00504CBB">
            <w:pPr>
              <w:jc w:val="right"/>
              <w:rPr>
                <w:rFonts w:cstheme="minorHAnsi"/>
                <w:b w:val="0"/>
                <w:bCs w:val="0"/>
                <w:i/>
                <w:iCs/>
              </w:rPr>
            </w:pPr>
            <w:r w:rsidRPr="00C66693">
              <w:rPr>
                <w:rFonts w:cstheme="minorHAnsi"/>
                <w:b w:val="0"/>
                <w:bCs w:val="0"/>
                <w:i/>
                <w:iCs/>
              </w:rPr>
              <w:t>100127888</w:t>
            </w:r>
          </w:p>
        </w:tc>
        <w:tc>
          <w:tcPr>
            <w:tcW w:w="0" w:type="auto"/>
            <w:noWrap/>
            <w:hideMark/>
          </w:tcPr>
          <w:p w14:paraId="1088BA04" w14:textId="77777777" w:rsidR="00C66693" w:rsidRPr="00780E30" w:rsidRDefault="00C66693" w:rsidP="00504CBB">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SLCO4A1-AS1</w:t>
            </w:r>
          </w:p>
        </w:tc>
        <w:tc>
          <w:tcPr>
            <w:tcW w:w="0" w:type="auto"/>
            <w:noWrap/>
            <w:hideMark/>
          </w:tcPr>
          <w:p w14:paraId="6854DD94" w14:textId="77777777" w:rsidR="00C66693" w:rsidRPr="00C66693" w:rsidRDefault="00C66693" w:rsidP="00C66693">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color w:val="333333"/>
                <w:sz w:val="22"/>
                <w:szCs w:val="22"/>
              </w:rPr>
            </w:pPr>
          </w:p>
        </w:tc>
        <w:tc>
          <w:tcPr>
            <w:tcW w:w="0" w:type="auto"/>
            <w:noWrap/>
            <w:hideMark/>
          </w:tcPr>
          <w:p w14:paraId="1AC56477" w14:textId="77777777" w:rsidR="00C66693" w:rsidRPr="00780E30" w:rsidRDefault="00C66693" w:rsidP="00504CBB">
            <w:pPr>
              <w:jc w:val="right"/>
              <w:cnfStyle w:val="000000100000" w:firstRow="0" w:lastRow="0" w:firstColumn="0" w:lastColumn="0" w:oddVBand="0" w:evenVBand="0" w:oddHBand="1" w:evenHBand="0" w:firstRowFirstColumn="0" w:firstRowLastColumn="0" w:lastRowFirstColumn="0" w:lastRowLastColumn="0"/>
              <w:rPr>
                <w:rFonts w:cstheme="minorHAnsi"/>
                <w:i/>
                <w:iCs/>
              </w:rPr>
            </w:pPr>
            <w:r w:rsidRPr="00780E30">
              <w:rPr>
                <w:rFonts w:cstheme="minorHAnsi"/>
                <w:i/>
                <w:iCs/>
              </w:rPr>
              <w:t>6424</w:t>
            </w:r>
          </w:p>
        </w:tc>
        <w:tc>
          <w:tcPr>
            <w:tcW w:w="0" w:type="auto"/>
            <w:noWrap/>
            <w:hideMark/>
          </w:tcPr>
          <w:p w14:paraId="21ABD9B6" w14:textId="77777777" w:rsidR="00C66693" w:rsidRPr="00780E30" w:rsidRDefault="00C66693" w:rsidP="00504CBB">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SFRP4</w:t>
            </w:r>
          </w:p>
        </w:tc>
        <w:tc>
          <w:tcPr>
            <w:tcW w:w="0" w:type="auto"/>
            <w:noWrap/>
            <w:hideMark/>
          </w:tcPr>
          <w:p w14:paraId="58CBE299" w14:textId="77777777" w:rsidR="00C66693" w:rsidRPr="00C66693" w:rsidRDefault="00C66693" w:rsidP="00C66693">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color w:val="333333"/>
                <w:sz w:val="22"/>
                <w:szCs w:val="22"/>
              </w:rPr>
            </w:pPr>
          </w:p>
        </w:tc>
        <w:tc>
          <w:tcPr>
            <w:tcW w:w="0" w:type="auto"/>
            <w:noWrap/>
            <w:hideMark/>
          </w:tcPr>
          <w:p w14:paraId="20C0EC5D" w14:textId="77777777" w:rsidR="00C66693" w:rsidRPr="00780E30" w:rsidRDefault="00C66693" w:rsidP="00504CBB">
            <w:pPr>
              <w:jc w:val="right"/>
              <w:cnfStyle w:val="000000100000" w:firstRow="0" w:lastRow="0" w:firstColumn="0" w:lastColumn="0" w:oddVBand="0" w:evenVBand="0" w:oddHBand="1" w:evenHBand="0" w:firstRowFirstColumn="0" w:firstRowLastColumn="0" w:lastRowFirstColumn="0" w:lastRowLastColumn="0"/>
              <w:rPr>
                <w:rFonts w:cstheme="minorHAnsi"/>
                <w:i/>
                <w:iCs/>
              </w:rPr>
            </w:pPr>
            <w:r w:rsidRPr="00780E30">
              <w:rPr>
                <w:rFonts w:cstheme="minorHAnsi"/>
                <w:i/>
                <w:iCs/>
              </w:rPr>
              <w:t>79628</w:t>
            </w:r>
          </w:p>
        </w:tc>
        <w:tc>
          <w:tcPr>
            <w:tcW w:w="0" w:type="auto"/>
            <w:noWrap/>
            <w:hideMark/>
          </w:tcPr>
          <w:p w14:paraId="24386B07" w14:textId="77777777" w:rsidR="00C66693" w:rsidRPr="00780E30" w:rsidRDefault="00C66693" w:rsidP="00504CBB">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SH3TC2</w:t>
            </w:r>
          </w:p>
        </w:tc>
      </w:tr>
      <w:tr w:rsidR="00C66693" w:rsidRPr="00C66693" w14:paraId="400D2CC3" w14:textId="77777777" w:rsidTr="00780E30">
        <w:trPr>
          <w:trHeight w:val="399"/>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6797C050" w14:textId="77777777" w:rsidR="00C66693" w:rsidRPr="00C66693" w:rsidRDefault="00C66693" w:rsidP="00504CBB">
            <w:pPr>
              <w:jc w:val="right"/>
              <w:rPr>
                <w:rFonts w:cstheme="minorHAnsi"/>
                <w:b w:val="0"/>
                <w:bCs w:val="0"/>
                <w:i/>
                <w:iCs/>
              </w:rPr>
            </w:pPr>
            <w:r w:rsidRPr="00C66693">
              <w:rPr>
                <w:rFonts w:cstheme="minorHAnsi"/>
                <w:b w:val="0"/>
                <w:bCs w:val="0"/>
                <w:i/>
                <w:iCs/>
              </w:rPr>
              <w:t>9076</w:t>
            </w:r>
          </w:p>
        </w:tc>
        <w:tc>
          <w:tcPr>
            <w:tcW w:w="0" w:type="auto"/>
            <w:noWrap/>
            <w:hideMark/>
          </w:tcPr>
          <w:p w14:paraId="43B99FBE" w14:textId="77777777" w:rsidR="00C66693" w:rsidRPr="00780E30" w:rsidRDefault="00C66693" w:rsidP="00504CBB">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CLDN1</w:t>
            </w:r>
          </w:p>
        </w:tc>
        <w:tc>
          <w:tcPr>
            <w:tcW w:w="0" w:type="auto"/>
            <w:noWrap/>
            <w:hideMark/>
          </w:tcPr>
          <w:p w14:paraId="43321E54" w14:textId="77777777" w:rsidR="00C66693" w:rsidRPr="00C66693" w:rsidRDefault="00C66693" w:rsidP="00C66693">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color w:val="333333"/>
                <w:sz w:val="22"/>
                <w:szCs w:val="22"/>
              </w:rPr>
            </w:pPr>
          </w:p>
        </w:tc>
        <w:tc>
          <w:tcPr>
            <w:tcW w:w="0" w:type="auto"/>
            <w:noWrap/>
            <w:hideMark/>
          </w:tcPr>
          <w:p w14:paraId="74C26257" w14:textId="6AEE6609" w:rsidR="00C66693" w:rsidRPr="00780E30" w:rsidRDefault="00C66693" w:rsidP="00504CBB">
            <w:pPr>
              <w:jc w:val="right"/>
              <w:cnfStyle w:val="000000000000" w:firstRow="0" w:lastRow="0" w:firstColumn="0" w:lastColumn="0" w:oddVBand="0" w:evenVBand="0" w:oddHBand="0" w:evenHBand="0" w:firstRowFirstColumn="0" w:firstRowLastColumn="0" w:lastRowFirstColumn="0" w:lastRowLastColumn="0"/>
              <w:rPr>
                <w:rFonts w:cstheme="minorHAnsi"/>
                <w:i/>
                <w:iCs/>
              </w:rPr>
            </w:pPr>
            <w:r w:rsidRPr="00780E30">
              <w:rPr>
                <w:rFonts w:cstheme="minorHAnsi"/>
                <w:i/>
                <w:iCs/>
              </w:rPr>
              <w:t>100170841</w:t>
            </w:r>
          </w:p>
        </w:tc>
        <w:tc>
          <w:tcPr>
            <w:tcW w:w="0" w:type="auto"/>
            <w:noWrap/>
            <w:hideMark/>
          </w:tcPr>
          <w:p w14:paraId="60439E09" w14:textId="77777777" w:rsidR="00C66693" w:rsidRPr="00780E30" w:rsidRDefault="00C66693" w:rsidP="00504CBB">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EPOP</w:t>
            </w:r>
          </w:p>
        </w:tc>
        <w:tc>
          <w:tcPr>
            <w:tcW w:w="0" w:type="auto"/>
            <w:noWrap/>
            <w:hideMark/>
          </w:tcPr>
          <w:p w14:paraId="1D12B7FB" w14:textId="77777777" w:rsidR="00C66693" w:rsidRPr="00C66693" w:rsidRDefault="00C66693" w:rsidP="00C66693">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color w:val="333333"/>
                <w:sz w:val="22"/>
                <w:szCs w:val="22"/>
              </w:rPr>
            </w:pPr>
          </w:p>
        </w:tc>
        <w:tc>
          <w:tcPr>
            <w:tcW w:w="0" w:type="auto"/>
            <w:noWrap/>
            <w:hideMark/>
          </w:tcPr>
          <w:p w14:paraId="7228E38F" w14:textId="77777777" w:rsidR="00C66693" w:rsidRPr="00780E30" w:rsidRDefault="00C66693" w:rsidP="00504CBB">
            <w:pPr>
              <w:jc w:val="right"/>
              <w:cnfStyle w:val="000000000000" w:firstRow="0" w:lastRow="0" w:firstColumn="0" w:lastColumn="0" w:oddVBand="0" w:evenVBand="0" w:oddHBand="0" w:evenHBand="0" w:firstRowFirstColumn="0" w:firstRowLastColumn="0" w:lastRowFirstColumn="0" w:lastRowLastColumn="0"/>
              <w:rPr>
                <w:rFonts w:cstheme="minorHAnsi"/>
                <w:i/>
                <w:iCs/>
              </w:rPr>
            </w:pPr>
            <w:r w:rsidRPr="00780E30">
              <w:rPr>
                <w:rFonts w:cstheme="minorHAnsi"/>
                <w:i/>
                <w:iCs/>
              </w:rPr>
              <w:t>138065</w:t>
            </w:r>
          </w:p>
        </w:tc>
        <w:tc>
          <w:tcPr>
            <w:tcW w:w="0" w:type="auto"/>
            <w:noWrap/>
            <w:hideMark/>
          </w:tcPr>
          <w:p w14:paraId="25AEDAD0" w14:textId="77777777" w:rsidR="00C66693" w:rsidRPr="00780E30" w:rsidRDefault="00C66693" w:rsidP="00504CBB">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RNF183</w:t>
            </w:r>
          </w:p>
        </w:tc>
      </w:tr>
      <w:tr w:rsidR="00C66693" w:rsidRPr="00C66693" w14:paraId="47391E76" w14:textId="77777777" w:rsidTr="00780E30">
        <w:trPr>
          <w:cnfStyle w:val="000000100000" w:firstRow="0" w:lastRow="0" w:firstColumn="0" w:lastColumn="0" w:oddVBand="0" w:evenVBand="0" w:oddHBand="1" w:evenHBand="0" w:firstRowFirstColumn="0" w:firstRowLastColumn="0" w:lastRowFirstColumn="0" w:lastRowLastColumn="0"/>
          <w:trHeight w:val="399"/>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547B0E74" w14:textId="77777777" w:rsidR="00C66693" w:rsidRPr="00C66693" w:rsidRDefault="00C66693" w:rsidP="00504CBB">
            <w:pPr>
              <w:jc w:val="right"/>
              <w:rPr>
                <w:rFonts w:cstheme="minorHAnsi"/>
                <w:b w:val="0"/>
                <w:bCs w:val="0"/>
                <w:i/>
                <w:iCs/>
              </w:rPr>
            </w:pPr>
            <w:r w:rsidRPr="00C66693">
              <w:rPr>
                <w:rFonts w:cstheme="minorHAnsi"/>
                <w:b w:val="0"/>
                <w:bCs w:val="0"/>
                <w:i/>
                <w:iCs/>
              </w:rPr>
              <w:t>27132</w:t>
            </w:r>
          </w:p>
        </w:tc>
        <w:tc>
          <w:tcPr>
            <w:tcW w:w="0" w:type="auto"/>
            <w:noWrap/>
            <w:hideMark/>
          </w:tcPr>
          <w:p w14:paraId="0FE65B46" w14:textId="77777777" w:rsidR="00C66693" w:rsidRPr="00780E30" w:rsidRDefault="00C66693" w:rsidP="00504CBB">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CPNE7</w:t>
            </w:r>
          </w:p>
        </w:tc>
        <w:tc>
          <w:tcPr>
            <w:tcW w:w="0" w:type="auto"/>
            <w:noWrap/>
            <w:hideMark/>
          </w:tcPr>
          <w:p w14:paraId="13484BD2" w14:textId="77777777" w:rsidR="00C66693" w:rsidRPr="00C66693" w:rsidRDefault="00C66693" w:rsidP="00C66693">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color w:val="333333"/>
                <w:sz w:val="22"/>
                <w:szCs w:val="22"/>
              </w:rPr>
            </w:pPr>
          </w:p>
        </w:tc>
        <w:tc>
          <w:tcPr>
            <w:tcW w:w="0" w:type="auto"/>
            <w:noWrap/>
            <w:hideMark/>
          </w:tcPr>
          <w:p w14:paraId="57918464" w14:textId="77777777" w:rsidR="00C66693" w:rsidRPr="00780E30" w:rsidRDefault="00C66693" w:rsidP="00504CBB">
            <w:pPr>
              <w:jc w:val="right"/>
              <w:cnfStyle w:val="000000100000" w:firstRow="0" w:lastRow="0" w:firstColumn="0" w:lastColumn="0" w:oddVBand="0" w:evenVBand="0" w:oddHBand="1" w:evenHBand="0" w:firstRowFirstColumn="0" w:firstRowLastColumn="0" w:lastRowFirstColumn="0" w:lastRowLastColumn="0"/>
              <w:rPr>
                <w:rFonts w:cstheme="minorHAnsi"/>
                <w:i/>
                <w:iCs/>
              </w:rPr>
            </w:pPr>
            <w:r w:rsidRPr="00780E30">
              <w:rPr>
                <w:rFonts w:cstheme="minorHAnsi"/>
                <w:i/>
                <w:iCs/>
              </w:rPr>
              <w:t>255738</w:t>
            </w:r>
          </w:p>
        </w:tc>
        <w:tc>
          <w:tcPr>
            <w:tcW w:w="0" w:type="auto"/>
            <w:noWrap/>
            <w:hideMark/>
          </w:tcPr>
          <w:p w14:paraId="0490C6A6" w14:textId="77777777" w:rsidR="00C66693" w:rsidRPr="00780E30" w:rsidRDefault="00C66693" w:rsidP="00504CBB">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PCSK9</w:t>
            </w:r>
          </w:p>
        </w:tc>
        <w:tc>
          <w:tcPr>
            <w:tcW w:w="0" w:type="auto"/>
            <w:noWrap/>
            <w:hideMark/>
          </w:tcPr>
          <w:p w14:paraId="41218B5F" w14:textId="77777777" w:rsidR="00C66693" w:rsidRPr="00C66693" w:rsidRDefault="00C66693" w:rsidP="00C66693">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color w:val="333333"/>
                <w:sz w:val="22"/>
                <w:szCs w:val="22"/>
              </w:rPr>
            </w:pPr>
          </w:p>
        </w:tc>
        <w:tc>
          <w:tcPr>
            <w:tcW w:w="0" w:type="auto"/>
            <w:noWrap/>
            <w:hideMark/>
          </w:tcPr>
          <w:p w14:paraId="3EEC96C6" w14:textId="77777777" w:rsidR="00C66693" w:rsidRPr="00780E30" w:rsidRDefault="00C66693" w:rsidP="00504CBB">
            <w:pPr>
              <w:jc w:val="right"/>
              <w:cnfStyle w:val="000000100000" w:firstRow="0" w:lastRow="0" w:firstColumn="0" w:lastColumn="0" w:oddVBand="0" w:evenVBand="0" w:oddHBand="1" w:evenHBand="0" w:firstRowFirstColumn="0" w:firstRowLastColumn="0" w:lastRowFirstColumn="0" w:lastRowLastColumn="0"/>
              <w:rPr>
                <w:rFonts w:cstheme="minorHAnsi"/>
                <w:i/>
                <w:iCs/>
              </w:rPr>
            </w:pPr>
            <w:r w:rsidRPr="00780E30">
              <w:rPr>
                <w:rFonts w:cstheme="minorHAnsi"/>
                <w:i/>
                <w:iCs/>
              </w:rPr>
              <w:t>57670</w:t>
            </w:r>
          </w:p>
        </w:tc>
        <w:tc>
          <w:tcPr>
            <w:tcW w:w="0" w:type="auto"/>
            <w:noWrap/>
            <w:hideMark/>
          </w:tcPr>
          <w:p w14:paraId="15610CEA" w14:textId="77777777" w:rsidR="00C66693" w:rsidRPr="00780E30" w:rsidRDefault="00C66693" w:rsidP="00504CBB">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KIAA1549</w:t>
            </w:r>
          </w:p>
        </w:tc>
      </w:tr>
      <w:tr w:rsidR="00C66693" w:rsidRPr="00C66693" w14:paraId="3B9AA402" w14:textId="77777777" w:rsidTr="00780E30">
        <w:trPr>
          <w:trHeight w:val="399"/>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75526A35" w14:textId="77777777" w:rsidR="00C66693" w:rsidRPr="00C66693" w:rsidRDefault="00C66693" w:rsidP="00504CBB">
            <w:pPr>
              <w:jc w:val="right"/>
              <w:rPr>
                <w:rFonts w:cstheme="minorHAnsi"/>
                <w:b w:val="0"/>
                <w:bCs w:val="0"/>
                <w:i/>
                <w:iCs/>
              </w:rPr>
            </w:pPr>
            <w:r w:rsidRPr="00C66693">
              <w:rPr>
                <w:rFonts w:cstheme="minorHAnsi"/>
                <w:b w:val="0"/>
                <w:bCs w:val="0"/>
                <w:i/>
                <w:iCs/>
              </w:rPr>
              <w:t>28231</w:t>
            </w:r>
          </w:p>
        </w:tc>
        <w:tc>
          <w:tcPr>
            <w:tcW w:w="0" w:type="auto"/>
            <w:noWrap/>
            <w:hideMark/>
          </w:tcPr>
          <w:p w14:paraId="75C16F2F" w14:textId="77777777" w:rsidR="00C66693" w:rsidRPr="00780E30" w:rsidRDefault="00C66693" w:rsidP="00504CBB">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SLCO4A1</w:t>
            </w:r>
          </w:p>
        </w:tc>
        <w:tc>
          <w:tcPr>
            <w:tcW w:w="0" w:type="auto"/>
            <w:noWrap/>
            <w:hideMark/>
          </w:tcPr>
          <w:p w14:paraId="18D348B3" w14:textId="77777777" w:rsidR="00C66693" w:rsidRPr="00C66693" w:rsidRDefault="00C66693" w:rsidP="00C66693">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color w:val="333333"/>
                <w:sz w:val="22"/>
                <w:szCs w:val="22"/>
              </w:rPr>
            </w:pPr>
          </w:p>
        </w:tc>
        <w:tc>
          <w:tcPr>
            <w:tcW w:w="0" w:type="auto"/>
            <w:noWrap/>
            <w:hideMark/>
          </w:tcPr>
          <w:p w14:paraId="7C98C0C8" w14:textId="77777777" w:rsidR="00C66693" w:rsidRPr="00780E30" w:rsidRDefault="00C66693" w:rsidP="00504CBB">
            <w:pPr>
              <w:jc w:val="right"/>
              <w:cnfStyle w:val="000000000000" w:firstRow="0" w:lastRow="0" w:firstColumn="0" w:lastColumn="0" w:oddVBand="0" w:evenVBand="0" w:oddHBand="0" w:evenHBand="0" w:firstRowFirstColumn="0" w:firstRowLastColumn="0" w:lastRowFirstColumn="0" w:lastRowLastColumn="0"/>
              <w:rPr>
                <w:rFonts w:cstheme="minorHAnsi"/>
                <w:i/>
                <w:iCs/>
              </w:rPr>
            </w:pPr>
            <w:r w:rsidRPr="00780E30">
              <w:rPr>
                <w:rFonts w:cstheme="minorHAnsi"/>
                <w:i/>
                <w:iCs/>
              </w:rPr>
              <w:t>1894</w:t>
            </w:r>
          </w:p>
        </w:tc>
        <w:tc>
          <w:tcPr>
            <w:tcW w:w="0" w:type="auto"/>
            <w:noWrap/>
            <w:hideMark/>
          </w:tcPr>
          <w:p w14:paraId="0B28BCFC" w14:textId="77777777" w:rsidR="00C66693" w:rsidRPr="00780E30" w:rsidRDefault="00C66693" w:rsidP="00504CBB">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ECT2</w:t>
            </w:r>
          </w:p>
        </w:tc>
        <w:tc>
          <w:tcPr>
            <w:tcW w:w="0" w:type="auto"/>
            <w:noWrap/>
            <w:hideMark/>
          </w:tcPr>
          <w:p w14:paraId="34E6BAA2" w14:textId="77777777" w:rsidR="00C66693" w:rsidRPr="00C66693" w:rsidRDefault="00C66693" w:rsidP="00C66693">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color w:val="333333"/>
                <w:sz w:val="22"/>
                <w:szCs w:val="22"/>
              </w:rPr>
            </w:pPr>
          </w:p>
        </w:tc>
        <w:tc>
          <w:tcPr>
            <w:tcW w:w="0" w:type="auto"/>
            <w:noWrap/>
            <w:hideMark/>
          </w:tcPr>
          <w:p w14:paraId="12929D57" w14:textId="77777777" w:rsidR="00C66693" w:rsidRPr="00780E30" w:rsidRDefault="00C66693" w:rsidP="00504CBB">
            <w:pPr>
              <w:jc w:val="right"/>
              <w:cnfStyle w:val="000000000000" w:firstRow="0" w:lastRow="0" w:firstColumn="0" w:lastColumn="0" w:oddVBand="0" w:evenVBand="0" w:oddHBand="0" w:evenHBand="0" w:firstRowFirstColumn="0" w:firstRowLastColumn="0" w:lastRowFirstColumn="0" w:lastRowLastColumn="0"/>
              <w:rPr>
                <w:rFonts w:cstheme="minorHAnsi"/>
                <w:i/>
                <w:iCs/>
              </w:rPr>
            </w:pPr>
            <w:r w:rsidRPr="00780E30">
              <w:rPr>
                <w:rFonts w:cstheme="minorHAnsi"/>
                <w:i/>
                <w:iCs/>
              </w:rPr>
              <w:t>11178</w:t>
            </w:r>
          </w:p>
        </w:tc>
        <w:tc>
          <w:tcPr>
            <w:tcW w:w="0" w:type="auto"/>
            <w:noWrap/>
            <w:hideMark/>
          </w:tcPr>
          <w:p w14:paraId="1DAAC6D5" w14:textId="77777777" w:rsidR="00C66693" w:rsidRPr="00780E30" w:rsidRDefault="00C66693" w:rsidP="00504CBB">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LZTS1</w:t>
            </w:r>
          </w:p>
        </w:tc>
      </w:tr>
      <w:tr w:rsidR="00C66693" w:rsidRPr="00C66693" w14:paraId="492DF283" w14:textId="77777777" w:rsidTr="00780E30">
        <w:trPr>
          <w:cnfStyle w:val="000000100000" w:firstRow="0" w:lastRow="0" w:firstColumn="0" w:lastColumn="0" w:oddVBand="0" w:evenVBand="0" w:oddHBand="1" w:evenHBand="0" w:firstRowFirstColumn="0" w:firstRowLastColumn="0" w:lastRowFirstColumn="0" w:lastRowLastColumn="0"/>
          <w:trHeight w:val="399"/>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3692B745" w14:textId="77777777" w:rsidR="00C66693" w:rsidRPr="00C66693" w:rsidRDefault="00C66693" w:rsidP="00504CBB">
            <w:pPr>
              <w:jc w:val="right"/>
              <w:rPr>
                <w:rFonts w:cstheme="minorHAnsi"/>
                <w:b w:val="0"/>
                <w:bCs w:val="0"/>
                <w:i/>
                <w:iCs/>
              </w:rPr>
            </w:pPr>
            <w:r w:rsidRPr="00C66693">
              <w:rPr>
                <w:rFonts w:cstheme="minorHAnsi"/>
                <w:b w:val="0"/>
                <w:bCs w:val="0"/>
                <w:i/>
                <w:iCs/>
              </w:rPr>
              <w:t>81792</w:t>
            </w:r>
          </w:p>
        </w:tc>
        <w:tc>
          <w:tcPr>
            <w:tcW w:w="0" w:type="auto"/>
            <w:noWrap/>
            <w:hideMark/>
          </w:tcPr>
          <w:p w14:paraId="358DA40A" w14:textId="77777777" w:rsidR="00C66693" w:rsidRPr="00780E30" w:rsidRDefault="00C66693" w:rsidP="00504CBB">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ADAMTS12</w:t>
            </w:r>
          </w:p>
        </w:tc>
        <w:tc>
          <w:tcPr>
            <w:tcW w:w="0" w:type="auto"/>
            <w:noWrap/>
            <w:hideMark/>
          </w:tcPr>
          <w:p w14:paraId="15DAE289" w14:textId="77777777" w:rsidR="00C66693" w:rsidRPr="00C66693" w:rsidRDefault="00C66693" w:rsidP="00C66693">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color w:val="333333"/>
                <w:sz w:val="22"/>
                <w:szCs w:val="22"/>
              </w:rPr>
            </w:pPr>
          </w:p>
        </w:tc>
        <w:tc>
          <w:tcPr>
            <w:tcW w:w="0" w:type="auto"/>
            <w:noWrap/>
            <w:hideMark/>
          </w:tcPr>
          <w:p w14:paraId="09315F84" w14:textId="77777777" w:rsidR="00C66693" w:rsidRPr="00780E30" w:rsidRDefault="00C66693" w:rsidP="00504CBB">
            <w:pPr>
              <w:jc w:val="right"/>
              <w:cnfStyle w:val="000000100000" w:firstRow="0" w:lastRow="0" w:firstColumn="0" w:lastColumn="0" w:oddVBand="0" w:evenVBand="0" w:oddHBand="1" w:evenHBand="0" w:firstRowFirstColumn="0" w:firstRowLastColumn="0" w:lastRowFirstColumn="0" w:lastRowLastColumn="0"/>
              <w:rPr>
                <w:rFonts w:cstheme="minorHAnsi"/>
                <w:i/>
                <w:iCs/>
              </w:rPr>
            </w:pPr>
            <w:r w:rsidRPr="00780E30">
              <w:rPr>
                <w:rFonts w:cstheme="minorHAnsi"/>
                <w:i/>
                <w:iCs/>
              </w:rPr>
              <w:t>366</w:t>
            </w:r>
          </w:p>
        </w:tc>
        <w:tc>
          <w:tcPr>
            <w:tcW w:w="0" w:type="auto"/>
            <w:noWrap/>
            <w:hideMark/>
          </w:tcPr>
          <w:p w14:paraId="4629F1D7" w14:textId="77777777" w:rsidR="00C66693" w:rsidRPr="00780E30" w:rsidRDefault="00C66693" w:rsidP="00504CBB">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AQP9</w:t>
            </w:r>
          </w:p>
        </w:tc>
        <w:tc>
          <w:tcPr>
            <w:tcW w:w="0" w:type="auto"/>
            <w:noWrap/>
            <w:hideMark/>
          </w:tcPr>
          <w:p w14:paraId="522FA95C" w14:textId="77777777" w:rsidR="00C66693" w:rsidRPr="00C66693" w:rsidRDefault="00C66693" w:rsidP="00C66693">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color w:val="333333"/>
                <w:sz w:val="22"/>
                <w:szCs w:val="22"/>
              </w:rPr>
            </w:pPr>
          </w:p>
        </w:tc>
        <w:tc>
          <w:tcPr>
            <w:tcW w:w="0" w:type="auto"/>
            <w:noWrap/>
            <w:hideMark/>
          </w:tcPr>
          <w:p w14:paraId="0981099D" w14:textId="77777777" w:rsidR="00C66693" w:rsidRPr="00780E30" w:rsidRDefault="00C66693" w:rsidP="00504CBB">
            <w:pPr>
              <w:jc w:val="right"/>
              <w:cnfStyle w:val="000000100000" w:firstRow="0" w:lastRow="0" w:firstColumn="0" w:lastColumn="0" w:oddVBand="0" w:evenVBand="0" w:oddHBand="1" w:evenHBand="0" w:firstRowFirstColumn="0" w:firstRowLastColumn="0" w:lastRowFirstColumn="0" w:lastRowLastColumn="0"/>
              <w:rPr>
                <w:rFonts w:cstheme="minorHAnsi"/>
                <w:i/>
                <w:iCs/>
              </w:rPr>
            </w:pPr>
            <w:r w:rsidRPr="00780E30">
              <w:rPr>
                <w:rFonts w:cstheme="minorHAnsi"/>
                <w:i/>
                <w:iCs/>
              </w:rPr>
              <w:t>9603</w:t>
            </w:r>
          </w:p>
        </w:tc>
        <w:tc>
          <w:tcPr>
            <w:tcW w:w="0" w:type="auto"/>
            <w:noWrap/>
            <w:hideMark/>
          </w:tcPr>
          <w:p w14:paraId="365A81AF" w14:textId="77777777" w:rsidR="00C66693" w:rsidRPr="00780E30" w:rsidRDefault="00C66693" w:rsidP="00504CBB">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NFE2L3</w:t>
            </w:r>
          </w:p>
        </w:tc>
      </w:tr>
      <w:tr w:rsidR="00C66693" w:rsidRPr="00C66693" w14:paraId="2D064206" w14:textId="77777777" w:rsidTr="00780E30">
        <w:trPr>
          <w:trHeight w:val="399"/>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02BD6090" w14:textId="77777777" w:rsidR="00C66693" w:rsidRPr="00C66693" w:rsidRDefault="00C66693" w:rsidP="00504CBB">
            <w:pPr>
              <w:jc w:val="right"/>
              <w:rPr>
                <w:rFonts w:cstheme="minorHAnsi"/>
                <w:b w:val="0"/>
                <w:bCs w:val="0"/>
                <w:i/>
                <w:iCs/>
              </w:rPr>
            </w:pPr>
            <w:r w:rsidRPr="00C66693">
              <w:rPr>
                <w:rFonts w:cstheme="minorHAnsi"/>
                <w:b w:val="0"/>
                <w:bCs w:val="0"/>
                <w:i/>
                <w:iCs/>
              </w:rPr>
              <w:t>2191</w:t>
            </w:r>
          </w:p>
        </w:tc>
        <w:tc>
          <w:tcPr>
            <w:tcW w:w="0" w:type="auto"/>
            <w:noWrap/>
            <w:hideMark/>
          </w:tcPr>
          <w:p w14:paraId="362E270A" w14:textId="77777777" w:rsidR="00C66693" w:rsidRPr="00780E30" w:rsidRDefault="00C66693" w:rsidP="00504CBB">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FAP</w:t>
            </w:r>
          </w:p>
        </w:tc>
        <w:tc>
          <w:tcPr>
            <w:tcW w:w="0" w:type="auto"/>
            <w:noWrap/>
            <w:hideMark/>
          </w:tcPr>
          <w:p w14:paraId="239C835A" w14:textId="77777777" w:rsidR="00C66693" w:rsidRPr="00C66693" w:rsidRDefault="00C66693" w:rsidP="00C66693">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color w:val="333333"/>
                <w:sz w:val="22"/>
                <w:szCs w:val="22"/>
              </w:rPr>
            </w:pPr>
          </w:p>
        </w:tc>
        <w:tc>
          <w:tcPr>
            <w:tcW w:w="0" w:type="auto"/>
            <w:noWrap/>
            <w:hideMark/>
          </w:tcPr>
          <w:p w14:paraId="4667E092" w14:textId="77777777" w:rsidR="00C66693" w:rsidRPr="00780E30" w:rsidRDefault="00C66693" w:rsidP="00504CBB">
            <w:pPr>
              <w:jc w:val="right"/>
              <w:cnfStyle w:val="000000000000" w:firstRow="0" w:lastRow="0" w:firstColumn="0" w:lastColumn="0" w:oddVBand="0" w:evenVBand="0" w:oddHBand="0" w:evenHBand="0" w:firstRowFirstColumn="0" w:firstRowLastColumn="0" w:lastRowFirstColumn="0" w:lastRowLastColumn="0"/>
              <w:rPr>
                <w:rFonts w:cstheme="minorHAnsi"/>
                <w:i/>
                <w:iCs/>
              </w:rPr>
            </w:pPr>
            <w:r w:rsidRPr="00780E30">
              <w:rPr>
                <w:rFonts w:cstheme="minorHAnsi"/>
                <w:i/>
                <w:iCs/>
              </w:rPr>
              <w:t>22822</w:t>
            </w:r>
          </w:p>
        </w:tc>
        <w:tc>
          <w:tcPr>
            <w:tcW w:w="0" w:type="auto"/>
            <w:noWrap/>
            <w:hideMark/>
          </w:tcPr>
          <w:p w14:paraId="1A1F28D1" w14:textId="77777777" w:rsidR="00C66693" w:rsidRPr="00780E30" w:rsidRDefault="00C66693" w:rsidP="00504CBB">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PHLDA1</w:t>
            </w:r>
          </w:p>
        </w:tc>
        <w:tc>
          <w:tcPr>
            <w:tcW w:w="0" w:type="auto"/>
            <w:noWrap/>
            <w:hideMark/>
          </w:tcPr>
          <w:p w14:paraId="386DA35B" w14:textId="77777777" w:rsidR="00C66693" w:rsidRPr="00C66693" w:rsidRDefault="00C66693" w:rsidP="00C66693">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color w:val="333333"/>
                <w:sz w:val="22"/>
                <w:szCs w:val="22"/>
              </w:rPr>
            </w:pPr>
          </w:p>
        </w:tc>
        <w:tc>
          <w:tcPr>
            <w:tcW w:w="0" w:type="auto"/>
            <w:noWrap/>
            <w:hideMark/>
          </w:tcPr>
          <w:p w14:paraId="6120B432" w14:textId="77777777" w:rsidR="00C66693" w:rsidRPr="00780E30" w:rsidRDefault="00C66693" w:rsidP="00504CBB">
            <w:pPr>
              <w:jc w:val="right"/>
              <w:cnfStyle w:val="000000000000" w:firstRow="0" w:lastRow="0" w:firstColumn="0" w:lastColumn="0" w:oddVBand="0" w:evenVBand="0" w:oddHBand="0" w:evenHBand="0" w:firstRowFirstColumn="0" w:firstRowLastColumn="0" w:lastRowFirstColumn="0" w:lastRowLastColumn="0"/>
              <w:rPr>
                <w:rFonts w:cstheme="minorHAnsi"/>
                <w:i/>
                <w:iCs/>
              </w:rPr>
            </w:pPr>
            <w:r w:rsidRPr="00780E30">
              <w:rPr>
                <w:rFonts w:cstheme="minorHAnsi"/>
                <w:i/>
                <w:iCs/>
              </w:rPr>
              <w:t>563</w:t>
            </w:r>
          </w:p>
        </w:tc>
        <w:tc>
          <w:tcPr>
            <w:tcW w:w="0" w:type="auto"/>
            <w:noWrap/>
            <w:hideMark/>
          </w:tcPr>
          <w:p w14:paraId="3EADCFB6" w14:textId="77777777" w:rsidR="00C66693" w:rsidRPr="00780E30" w:rsidRDefault="00C66693" w:rsidP="00504CBB">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AZGP1</w:t>
            </w:r>
          </w:p>
        </w:tc>
      </w:tr>
      <w:tr w:rsidR="00C66693" w:rsidRPr="00C66693" w14:paraId="18B2CAF1" w14:textId="77777777" w:rsidTr="00780E30">
        <w:trPr>
          <w:cnfStyle w:val="000000100000" w:firstRow="0" w:lastRow="0" w:firstColumn="0" w:lastColumn="0" w:oddVBand="0" w:evenVBand="0" w:oddHBand="1" w:evenHBand="0" w:firstRowFirstColumn="0" w:firstRowLastColumn="0" w:lastRowFirstColumn="0" w:lastRowLastColumn="0"/>
          <w:trHeight w:val="399"/>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641FAFE7" w14:textId="77777777" w:rsidR="00C66693" w:rsidRPr="00C66693" w:rsidRDefault="00C66693" w:rsidP="00504CBB">
            <w:pPr>
              <w:jc w:val="right"/>
              <w:rPr>
                <w:rFonts w:cstheme="minorHAnsi"/>
                <w:b w:val="0"/>
                <w:bCs w:val="0"/>
                <w:i/>
                <w:iCs/>
              </w:rPr>
            </w:pPr>
            <w:r w:rsidRPr="00C66693">
              <w:rPr>
                <w:rFonts w:cstheme="minorHAnsi"/>
                <w:b w:val="0"/>
                <w:bCs w:val="0"/>
                <w:i/>
                <w:iCs/>
              </w:rPr>
              <w:t>57464</w:t>
            </w:r>
          </w:p>
        </w:tc>
        <w:tc>
          <w:tcPr>
            <w:tcW w:w="0" w:type="auto"/>
            <w:noWrap/>
            <w:hideMark/>
          </w:tcPr>
          <w:p w14:paraId="2EAC14F3" w14:textId="77777777" w:rsidR="00C66693" w:rsidRPr="00780E30" w:rsidRDefault="00C66693" w:rsidP="00504CBB">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STRIP2</w:t>
            </w:r>
          </w:p>
        </w:tc>
        <w:tc>
          <w:tcPr>
            <w:tcW w:w="0" w:type="auto"/>
            <w:noWrap/>
            <w:hideMark/>
          </w:tcPr>
          <w:p w14:paraId="1AAC7490" w14:textId="77777777" w:rsidR="00C66693" w:rsidRPr="00C66693" w:rsidRDefault="00C66693" w:rsidP="00C66693">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color w:val="333333"/>
                <w:sz w:val="22"/>
                <w:szCs w:val="22"/>
              </w:rPr>
            </w:pPr>
          </w:p>
        </w:tc>
        <w:tc>
          <w:tcPr>
            <w:tcW w:w="0" w:type="auto"/>
            <w:noWrap/>
            <w:hideMark/>
          </w:tcPr>
          <w:p w14:paraId="65007A53" w14:textId="77777777" w:rsidR="00C66693" w:rsidRPr="00780E30" w:rsidRDefault="00C66693" w:rsidP="00504CBB">
            <w:pPr>
              <w:jc w:val="right"/>
              <w:cnfStyle w:val="000000100000" w:firstRow="0" w:lastRow="0" w:firstColumn="0" w:lastColumn="0" w:oddVBand="0" w:evenVBand="0" w:oddHBand="1" w:evenHBand="0" w:firstRowFirstColumn="0" w:firstRowLastColumn="0" w:lastRowFirstColumn="0" w:lastRowLastColumn="0"/>
              <w:rPr>
                <w:rFonts w:cstheme="minorHAnsi"/>
                <w:i/>
                <w:iCs/>
              </w:rPr>
            </w:pPr>
            <w:r w:rsidRPr="00780E30">
              <w:rPr>
                <w:rFonts w:cstheme="minorHAnsi"/>
                <w:i/>
                <w:iCs/>
              </w:rPr>
              <w:t>1282</w:t>
            </w:r>
          </w:p>
        </w:tc>
        <w:tc>
          <w:tcPr>
            <w:tcW w:w="0" w:type="auto"/>
            <w:noWrap/>
            <w:hideMark/>
          </w:tcPr>
          <w:p w14:paraId="5E619CF7" w14:textId="77777777" w:rsidR="00C66693" w:rsidRPr="00780E30" w:rsidRDefault="00C66693" w:rsidP="00504CBB">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COL4A1</w:t>
            </w:r>
          </w:p>
        </w:tc>
        <w:tc>
          <w:tcPr>
            <w:tcW w:w="0" w:type="auto"/>
            <w:noWrap/>
            <w:hideMark/>
          </w:tcPr>
          <w:p w14:paraId="61CF8F43" w14:textId="77777777" w:rsidR="00C66693" w:rsidRPr="00C66693" w:rsidRDefault="00C66693" w:rsidP="00C66693">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color w:val="333333"/>
                <w:sz w:val="22"/>
                <w:szCs w:val="22"/>
              </w:rPr>
            </w:pPr>
          </w:p>
        </w:tc>
        <w:tc>
          <w:tcPr>
            <w:tcW w:w="0" w:type="auto"/>
            <w:noWrap/>
            <w:hideMark/>
          </w:tcPr>
          <w:p w14:paraId="72B7EDE1" w14:textId="77777777" w:rsidR="00C66693" w:rsidRPr="00780E30" w:rsidRDefault="00C66693" w:rsidP="00504CBB">
            <w:pPr>
              <w:jc w:val="right"/>
              <w:cnfStyle w:val="000000100000" w:firstRow="0" w:lastRow="0" w:firstColumn="0" w:lastColumn="0" w:oddVBand="0" w:evenVBand="0" w:oddHBand="1" w:evenHBand="0" w:firstRowFirstColumn="0" w:firstRowLastColumn="0" w:lastRowFirstColumn="0" w:lastRowLastColumn="0"/>
              <w:rPr>
                <w:rFonts w:cstheme="minorHAnsi"/>
                <w:i/>
                <w:iCs/>
              </w:rPr>
            </w:pPr>
            <w:r w:rsidRPr="00780E30">
              <w:rPr>
                <w:rFonts w:cstheme="minorHAnsi"/>
                <w:i/>
                <w:iCs/>
              </w:rPr>
              <w:t>283120</w:t>
            </w:r>
          </w:p>
        </w:tc>
        <w:tc>
          <w:tcPr>
            <w:tcW w:w="0" w:type="auto"/>
            <w:noWrap/>
            <w:hideMark/>
          </w:tcPr>
          <w:p w14:paraId="152DCA33" w14:textId="77777777" w:rsidR="00C66693" w:rsidRPr="00780E30" w:rsidRDefault="00C66693" w:rsidP="00504CBB">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H19</w:t>
            </w:r>
          </w:p>
        </w:tc>
      </w:tr>
      <w:tr w:rsidR="00C66693" w:rsidRPr="00C66693" w14:paraId="3BA942AF" w14:textId="77777777" w:rsidTr="00780E30">
        <w:trPr>
          <w:trHeight w:val="399"/>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1E202CCF" w14:textId="77777777" w:rsidR="00C66693" w:rsidRPr="00C66693" w:rsidRDefault="00C66693" w:rsidP="00504CBB">
            <w:pPr>
              <w:jc w:val="right"/>
              <w:rPr>
                <w:rFonts w:cstheme="minorHAnsi"/>
                <w:b w:val="0"/>
                <w:bCs w:val="0"/>
                <w:i/>
                <w:iCs/>
              </w:rPr>
            </w:pPr>
            <w:r w:rsidRPr="00C66693">
              <w:rPr>
                <w:rFonts w:cstheme="minorHAnsi"/>
                <w:b w:val="0"/>
                <w:bCs w:val="0"/>
                <w:i/>
                <w:iCs/>
              </w:rPr>
              <w:t>7804</w:t>
            </w:r>
          </w:p>
        </w:tc>
        <w:tc>
          <w:tcPr>
            <w:tcW w:w="0" w:type="auto"/>
            <w:noWrap/>
            <w:hideMark/>
          </w:tcPr>
          <w:p w14:paraId="5363CFF3" w14:textId="77777777" w:rsidR="00C66693" w:rsidRPr="00780E30" w:rsidRDefault="00C66693" w:rsidP="00504CBB">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LRP8</w:t>
            </w:r>
          </w:p>
        </w:tc>
        <w:tc>
          <w:tcPr>
            <w:tcW w:w="0" w:type="auto"/>
            <w:noWrap/>
            <w:hideMark/>
          </w:tcPr>
          <w:p w14:paraId="372D7372" w14:textId="77777777" w:rsidR="00C66693" w:rsidRPr="00C66693" w:rsidRDefault="00C66693" w:rsidP="00C66693">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color w:val="333333"/>
                <w:sz w:val="22"/>
                <w:szCs w:val="22"/>
              </w:rPr>
            </w:pPr>
          </w:p>
        </w:tc>
        <w:tc>
          <w:tcPr>
            <w:tcW w:w="0" w:type="auto"/>
            <w:noWrap/>
            <w:hideMark/>
          </w:tcPr>
          <w:p w14:paraId="65B2B1E8" w14:textId="77777777" w:rsidR="00C66693" w:rsidRPr="00780E30" w:rsidRDefault="00C66693" w:rsidP="00504CBB">
            <w:pPr>
              <w:jc w:val="right"/>
              <w:cnfStyle w:val="000000000000" w:firstRow="0" w:lastRow="0" w:firstColumn="0" w:lastColumn="0" w:oddVBand="0" w:evenVBand="0" w:oddHBand="0" w:evenHBand="0" w:firstRowFirstColumn="0" w:firstRowLastColumn="0" w:lastRowFirstColumn="0" w:lastRowLastColumn="0"/>
              <w:rPr>
                <w:rFonts w:cstheme="minorHAnsi"/>
                <w:i/>
                <w:iCs/>
              </w:rPr>
            </w:pPr>
            <w:r w:rsidRPr="00780E30">
              <w:rPr>
                <w:rFonts w:cstheme="minorHAnsi"/>
                <w:i/>
                <w:iCs/>
              </w:rPr>
              <w:t>60681</w:t>
            </w:r>
          </w:p>
        </w:tc>
        <w:tc>
          <w:tcPr>
            <w:tcW w:w="0" w:type="auto"/>
            <w:noWrap/>
            <w:hideMark/>
          </w:tcPr>
          <w:p w14:paraId="135FF4CA" w14:textId="77777777" w:rsidR="00C66693" w:rsidRPr="00780E30" w:rsidRDefault="00C66693" w:rsidP="00504CBB">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FKBP10</w:t>
            </w:r>
          </w:p>
        </w:tc>
        <w:tc>
          <w:tcPr>
            <w:tcW w:w="0" w:type="auto"/>
            <w:noWrap/>
            <w:hideMark/>
          </w:tcPr>
          <w:p w14:paraId="633EA540" w14:textId="77777777" w:rsidR="00C66693" w:rsidRPr="00C66693" w:rsidRDefault="00C66693" w:rsidP="00C66693">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color w:val="333333"/>
                <w:sz w:val="22"/>
                <w:szCs w:val="22"/>
              </w:rPr>
            </w:pPr>
          </w:p>
        </w:tc>
        <w:tc>
          <w:tcPr>
            <w:tcW w:w="0" w:type="auto"/>
            <w:noWrap/>
            <w:hideMark/>
          </w:tcPr>
          <w:p w14:paraId="7556671B" w14:textId="77777777" w:rsidR="00C66693" w:rsidRPr="00780E30" w:rsidRDefault="00C66693" w:rsidP="00504CBB">
            <w:pPr>
              <w:jc w:val="right"/>
              <w:cnfStyle w:val="000000000000" w:firstRow="0" w:lastRow="0" w:firstColumn="0" w:lastColumn="0" w:oddVBand="0" w:evenVBand="0" w:oddHBand="0" w:evenHBand="0" w:firstRowFirstColumn="0" w:firstRowLastColumn="0" w:lastRowFirstColumn="0" w:lastRowLastColumn="0"/>
              <w:rPr>
                <w:rFonts w:cstheme="minorHAnsi"/>
                <w:i/>
                <w:iCs/>
              </w:rPr>
            </w:pPr>
            <w:r w:rsidRPr="00780E30">
              <w:rPr>
                <w:rFonts w:cstheme="minorHAnsi"/>
                <w:i/>
                <w:iCs/>
              </w:rPr>
              <w:t>7130</w:t>
            </w:r>
          </w:p>
        </w:tc>
        <w:tc>
          <w:tcPr>
            <w:tcW w:w="0" w:type="auto"/>
            <w:noWrap/>
            <w:hideMark/>
          </w:tcPr>
          <w:p w14:paraId="0EBE755E" w14:textId="77777777" w:rsidR="00C66693" w:rsidRPr="00780E30" w:rsidRDefault="00C66693" w:rsidP="00504CBB">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TNFAIP6</w:t>
            </w:r>
          </w:p>
        </w:tc>
      </w:tr>
      <w:tr w:rsidR="00C66693" w:rsidRPr="00C66693" w14:paraId="47F41A68" w14:textId="77777777" w:rsidTr="00780E30">
        <w:trPr>
          <w:cnfStyle w:val="000000100000" w:firstRow="0" w:lastRow="0" w:firstColumn="0" w:lastColumn="0" w:oddVBand="0" w:evenVBand="0" w:oddHBand="1" w:evenHBand="0" w:firstRowFirstColumn="0" w:firstRowLastColumn="0" w:lastRowFirstColumn="0" w:lastRowLastColumn="0"/>
          <w:trHeight w:val="399"/>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676FFB81" w14:textId="77777777" w:rsidR="00C66693" w:rsidRPr="00C66693" w:rsidRDefault="00C66693" w:rsidP="00504CBB">
            <w:pPr>
              <w:jc w:val="right"/>
              <w:rPr>
                <w:rFonts w:cstheme="minorHAnsi"/>
                <w:b w:val="0"/>
                <w:bCs w:val="0"/>
                <w:i/>
                <w:iCs/>
              </w:rPr>
            </w:pPr>
            <w:r w:rsidRPr="00C66693">
              <w:rPr>
                <w:rFonts w:cstheme="minorHAnsi"/>
                <w:b w:val="0"/>
                <w:bCs w:val="0"/>
                <w:i/>
                <w:iCs/>
              </w:rPr>
              <w:t>57167</w:t>
            </w:r>
          </w:p>
        </w:tc>
        <w:tc>
          <w:tcPr>
            <w:tcW w:w="0" w:type="auto"/>
            <w:noWrap/>
            <w:hideMark/>
          </w:tcPr>
          <w:p w14:paraId="4E106C17" w14:textId="77777777" w:rsidR="00C66693" w:rsidRPr="00780E30" w:rsidRDefault="00C66693" w:rsidP="00504CBB">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SALL4</w:t>
            </w:r>
          </w:p>
        </w:tc>
        <w:tc>
          <w:tcPr>
            <w:tcW w:w="0" w:type="auto"/>
            <w:noWrap/>
            <w:hideMark/>
          </w:tcPr>
          <w:p w14:paraId="670F7B3B" w14:textId="77777777" w:rsidR="00C66693" w:rsidRPr="00C66693" w:rsidRDefault="00C66693" w:rsidP="00C66693">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color w:val="333333"/>
                <w:sz w:val="22"/>
                <w:szCs w:val="22"/>
              </w:rPr>
            </w:pPr>
          </w:p>
        </w:tc>
        <w:tc>
          <w:tcPr>
            <w:tcW w:w="0" w:type="auto"/>
            <w:noWrap/>
            <w:hideMark/>
          </w:tcPr>
          <w:p w14:paraId="57F76E35" w14:textId="77777777" w:rsidR="00C66693" w:rsidRPr="00780E30" w:rsidRDefault="00C66693" w:rsidP="00504CBB">
            <w:pPr>
              <w:jc w:val="right"/>
              <w:cnfStyle w:val="000000100000" w:firstRow="0" w:lastRow="0" w:firstColumn="0" w:lastColumn="0" w:oddVBand="0" w:evenVBand="0" w:oddHBand="1" w:evenHBand="0" w:firstRowFirstColumn="0" w:firstRowLastColumn="0" w:lastRowFirstColumn="0" w:lastRowLastColumn="0"/>
              <w:rPr>
                <w:rFonts w:cstheme="minorHAnsi"/>
                <w:i/>
                <w:iCs/>
              </w:rPr>
            </w:pPr>
            <w:r w:rsidRPr="00780E30">
              <w:rPr>
                <w:rFonts w:cstheme="minorHAnsi"/>
                <w:i/>
                <w:iCs/>
              </w:rPr>
              <w:t>3651</w:t>
            </w:r>
          </w:p>
        </w:tc>
        <w:tc>
          <w:tcPr>
            <w:tcW w:w="0" w:type="auto"/>
            <w:noWrap/>
            <w:hideMark/>
          </w:tcPr>
          <w:p w14:paraId="4A4BD70C" w14:textId="77777777" w:rsidR="00C66693" w:rsidRPr="00780E30" w:rsidRDefault="00C66693" w:rsidP="00504CBB">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PDX1</w:t>
            </w:r>
          </w:p>
        </w:tc>
        <w:tc>
          <w:tcPr>
            <w:tcW w:w="0" w:type="auto"/>
            <w:noWrap/>
            <w:hideMark/>
          </w:tcPr>
          <w:p w14:paraId="5A85C17F" w14:textId="77777777" w:rsidR="00C66693" w:rsidRPr="00C66693" w:rsidRDefault="00C66693" w:rsidP="00C66693">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color w:val="333333"/>
                <w:sz w:val="22"/>
                <w:szCs w:val="22"/>
              </w:rPr>
            </w:pPr>
          </w:p>
        </w:tc>
        <w:tc>
          <w:tcPr>
            <w:tcW w:w="0" w:type="auto"/>
            <w:noWrap/>
            <w:hideMark/>
          </w:tcPr>
          <w:p w14:paraId="585D12AE" w14:textId="77777777" w:rsidR="00C66693" w:rsidRPr="00780E30" w:rsidRDefault="00C66693" w:rsidP="00504CBB">
            <w:pPr>
              <w:jc w:val="right"/>
              <w:cnfStyle w:val="000000100000" w:firstRow="0" w:lastRow="0" w:firstColumn="0" w:lastColumn="0" w:oddVBand="0" w:evenVBand="0" w:oddHBand="1" w:evenHBand="0" w:firstRowFirstColumn="0" w:firstRowLastColumn="0" w:lastRowFirstColumn="0" w:lastRowLastColumn="0"/>
              <w:rPr>
                <w:rFonts w:cstheme="minorHAnsi"/>
                <w:i/>
                <w:iCs/>
              </w:rPr>
            </w:pPr>
            <w:r w:rsidRPr="00780E30">
              <w:rPr>
                <w:rFonts w:cstheme="minorHAnsi"/>
                <w:i/>
                <w:iCs/>
              </w:rPr>
              <w:t>9456</w:t>
            </w:r>
          </w:p>
        </w:tc>
        <w:tc>
          <w:tcPr>
            <w:tcW w:w="0" w:type="auto"/>
            <w:noWrap/>
            <w:hideMark/>
          </w:tcPr>
          <w:p w14:paraId="05A28C7C" w14:textId="77777777" w:rsidR="00C66693" w:rsidRPr="00780E30" w:rsidRDefault="00C66693" w:rsidP="00504CBB">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HOMER1</w:t>
            </w:r>
          </w:p>
        </w:tc>
      </w:tr>
      <w:tr w:rsidR="00C66693" w:rsidRPr="00C66693" w14:paraId="22D2B670" w14:textId="77777777" w:rsidTr="00780E30">
        <w:trPr>
          <w:trHeight w:val="399"/>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7AA5EBCF" w14:textId="77777777" w:rsidR="00C66693" w:rsidRPr="00C66693" w:rsidRDefault="00C66693" w:rsidP="00504CBB">
            <w:pPr>
              <w:jc w:val="right"/>
              <w:rPr>
                <w:rFonts w:cstheme="minorHAnsi"/>
                <w:b w:val="0"/>
                <w:bCs w:val="0"/>
                <w:i/>
                <w:iCs/>
              </w:rPr>
            </w:pPr>
            <w:r w:rsidRPr="00C66693">
              <w:rPr>
                <w:rFonts w:cstheme="minorHAnsi"/>
                <w:b w:val="0"/>
                <w:bCs w:val="0"/>
                <w:i/>
                <w:iCs/>
              </w:rPr>
              <w:t>94234</w:t>
            </w:r>
          </w:p>
        </w:tc>
        <w:tc>
          <w:tcPr>
            <w:tcW w:w="0" w:type="auto"/>
            <w:noWrap/>
            <w:hideMark/>
          </w:tcPr>
          <w:p w14:paraId="4A5450D8" w14:textId="77777777" w:rsidR="00C66693" w:rsidRPr="00780E30" w:rsidRDefault="00C66693" w:rsidP="00504CBB">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FOXQ1</w:t>
            </w:r>
          </w:p>
        </w:tc>
        <w:tc>
          <w:tcPr>
            <w:tcW w:w="0" w:type="auto"/>
            <w:noWrap/>
            <w:hideMark/>
          </w:tcPr>
          <w:p w14:paraId="1FAE56FF" w14:textId="77777777" w:rsidR="00C66693" w:rsidRPr="00C66693" w:rsidRDefault="00C66693" w:rsidP="00C66693">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color w:val="333333"/>
                <w:sz w:val="22"/>
                <w:szCs w:val="22"/>
              </w:rPr>
            </w:pPr>
          </w:p>
        </w:tc>
        <w:tc>
          <w:tcPr>
            <w:tcW w:w="0" w:type="auto"/>
            <w:noWrap/>
            <w:hideMark/>
          </w:tcPr>
          <w:p w14:paraId="7E4C3705" w14:textId="77777777" w:rsidR="00C66693" w:rsidRPr="00780E30" w:rsidRDefault="00C66693" w:rsidP="00504CBB">
            <w:pPr>
              <w:jc w:val="right"/>
              <w:cnfStyle w:val="000000000000" w:firstRow="0" w:lastRow="0" w:firstColumn="0" w:lastColumn="0" w:oddVBand="0" w:evenVBand="0" w:oddHBand="0" w:evenHBand="0" w:firstRowFirstColumn="0" w:firstRowLastColumn="0" w:lastRowFirstColumn="0" w:lastRowLastColumn="0"/>
              <w:rPr>
                <w:rFonts w:cstheme="minorHAnsi"/>
                <w:i/>
                <w:iCs/>
              </w:rPr>
            </w:pPr>
            <w:r w:rsidRPr="00780E30">
              <w:rPr>
                <w:rFonts w:cstheme="minorHAnsi"/>
                <w:i/>
                <w:iCs/>
              </w:rPr>
              <w:t>25907</w:t>
            </w:r>
          </w:p>
        </w:tc>
        <w:tc>
          <w:tcPr>
            <w:tcW w:w="0" w:type="auto"/>
            <w:noWrap/>
            <w:hideMark/>
          </w:tcPr>
          <w:p w14:paraId="4CE7B878" w14:textId="77777777" w:rsidR="00C66693" w:rsidRPr="00780E30" w:rsidRDefault="00C66693" w:rsidP="00504CBB">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TMEM158</w:t>
            </w:r>
          </w:p>
        </w:tc>
        <w:tc>
          <w:tcPr>
            <w:tcW w:w="0" w:type="auto"/>
            <w:noWrap/>
            <w:hideMark/>
          </w:tcPr>
          <w:p w14:paraId="709CC4F5" w14:textId="77777777" w:rsidR="00C66693" w:rsidRPr="00C66693" w:rsidRDefault="00C66693" w:rsidP="00C66693">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color w:val="333333"/>
                <w:sz w:val="22"/>
                <w:szCs w:val="22"/>
              </w:rPr>
            </w:pPr>
          </w:p>
        </w:tc>
        <w:tc>
          <w:tcPr>
            <w:tcW w:w="0" w:type="auto"/>
            <w:noWrap/>
            <w:hideMark/>
          </w:tcPr>
          <w:p w14:paraId="493CE463" w14:textId="77777777" w:rsidR="00C66693" w:rsidRPr="00780E30" w:rsidRDefault="00C66693" w:rsidP="00504CBB">
            <w:pPr>
              <w:jc w:val="right"/>
              <w:cnfStyle w:val="000000000000" w:firstRow="0" w:lastRow="0" w:firstColumn="0" w:lastColumn="0" w:oddVBand="0" w:evenVBand="0" w:oddHBand="0" w:evenHBand="0" w:firstRowFirstColumn="0" w:firstRowLastColumn="0" w:lastRowFirstColumn="0" w:lastRowLastColumn="0"/>
              <w:rPr>
                <w:rFonts w:cstheme="minorHAnsi"/>
                <w:i/>
                <w:iCs/>
              </w:rPr>
            </w:pPr>
            <w:r w:rsidRPr="00780E30">
              <w:rPr>
                <w:rFonts w:cstheme="minorHAnsi"/>
                <w:i/>
                <w:iCs/>
              </w:rPr>
              <w:t>10799</w:t>
            </w:r>
          </w:p>
        </w:tc>
        <w:tc>
          <w:tcPr>
            <w:tcW w:w="0" w:type="auto"/>
            <w:noWrap/>
            <w:hideMark/>
          </w:tcPr>
          <w:p w14:paraId="40128DB2" w14:textId="77777777" w:rsidR="00C66693" w:rsidRPr="00780E30" w:rsidRDefault="00C66693" w:rsidP="00504CBB">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RPP40</w:t>
            </w:r>
          </w:p>
        </w:tc>
      </w:tr>
      <w:tr w:rsidR="00C66693" w:rsidRPr="00C66693" w14:paraId="0109623B" w14:textId="77777777" w:rsidTr="00780E30">
        <w:trPr>
          <w:cnfStyle w:val="000000100000" w:firstRow="0" w:lastRow="0" w:firstColumn="0" w:lastColumn="0" w:oddVBand="0" w:evenVBand="0" w:oddHBand="1" w:evenHBand="0" w:firstRowFirstColumn="0" w:firstRowLastColumn="0" w:lastRowFirstColumn="0" w:lastRowLastColumn="0"/>
          <w:trHeight w:val="399"/>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08ADB930" w14:textId="77777777" w:rsidR="00C66693" w:rsidRPr="00C66693" w:rsidRDefault="00C66693" w:rsidP="00504CBB">
            <w:pPr>
              <w:jc w:val="right"/>
              <w:rPr>
                <w:rFonts w:cstheme="minorHAnsi"/>
                <w:b w:val="0"/>
                <w:bCs w:val="0"/>
                <w:i/>
                <w:iCs/>
              </w:rPr>
            </w:pPr>
            <w:r w:rsidRPr="00C66693">
              <w:rPr>
                <w:rFonts w:cstheme="minorHAnsi"/>
                <w:b w:val="0"/>
                <w:bCs w:val="0"/>
                <w:i/>
                <w:iCs/>
              </w:rPr>
              <w:t>4188</w:t>
            </w:r>
          </w:p>
        </w:tc>
        <w:tc>
          <w:tcPr>
            <w:tcW w:w="0" w:type="auto"/>
            <w:noWrap/>
            <w:hideMark/>
          </w:tcPr>
          <w:p w14:paraId="0BA61964" w14:textId="77777777" w:rsidR="00C66693" w:rsidRPr="00780E30" w:rsidRDefault="00C66693" w:rsidP="00504CBB">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MDFI</w:t>
            </w:r>
          </w:p>
        </w:tc>
        <w:tc>
          <w:tcPr>
            <w:tcW w:w="0" w:type="auto"/>
            <w:noWrap/>
            <w:hideMark/>
          </w:tcPr>
          <w:p w14:paraId="7E28D895" w14:textId="77777777" w:rsidR="00C66693" w:rsidRPr="00C66693" w:rsidRDefault="00C66693" w:rsidP="00C66693">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color w:val="333333"/>
                <w:sz w:val="22"/>
                <w:szCs w:val="22"/>
              </w:rPr>
            </w:pPr>
          </w:p>
        </w:tc>
        <w:tc>
          <w:tcPr>
            <w:tcW w:w="0" w:type="auto"/>
            <w:noWrap/>
            <w:hideMark/>
          </w:tcPr>
          <w:p w14:paraId="0009C25F" w14:textId="77777777" w:rsidR="00C66693" w:rsidRPr="00780E30" w:rsidRDefault="00C66693" w:rsidP="00504CBB">
            <w:pPr>
              <w:jc w:val="right"/>
              <w:cnfStyle w:val="000000100000" w:firstRow="0" w:lastRow="0" w:firstColumn="0" w:lastColumn="0" w:oddVBand="0" w:evenVBand="0" w:oddHBand="1" w:evenHBand="0" w:firstRowFirstColumn="0" w:firstRowLastColumn="0" w:lastRowFirstColumn="0" w:lastRowLastColumn="0"/>
              <w:rPr>
                <w:rFonts w:cstheme="minorHAnsi"/>
                <w:i/>
                <w:iCs/>
              </w:rPr>
            </w:pPr>
            <w:r w:rsidRPr="00780E30">
              <w:rPr>
                <w:rFonts w:cstheme="minorHAnsi"/>
                <w:i/>
                <w:iCs/>
              </w:rPr>
              <w:t>23594</w:t>
            </w:r>
          </w:p>
        </w:tc>
        <w:tc>
          <w:tcPr>
            <w:tcW w:w="0" w:type="auto"/>
            <w:noWrap/>
            <w:hideMark/>
          </w:tcPr>
          <w:p w14:paraId="11725BE7" w14:textId="77777777" w:rsidR="00C66693" w:rsidRPr="00780E30" w:rsidRDefault="00C66693" w:rsidP="00504CBB">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ORC6</w:t>
            </w:r>
          </w:p>
        </w:tc>
        <w:tc>
          <w:tcPr>
            <w:tcW w:w="0" w:type="auto"/>
            <w:noWrap/>
            <w:hideMark/>
          </w:tcPr>
          <w:p w14:paraId="6B3C78E5" w14:textId="77777777" w:rsidR="00C66693" w:rsidRPr="00C66693" w:rsidRDefault="00C66693" w:rsidP="00C66693">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color w:val="333333"/>
                <w:sz w:val="22"/>
                <w:szCs w:val="22"/>
              </w:rPr>
            </w:pPr>
          </w:p>
        </w:tc>
        <w:tc>
          <w:tcPr>
            <w:tcW w:w="0" w:type="auto"/>
            <w:noWrap/>
            <w:hideMark/>
          </w:tcPr>
          <w:p w14:paraId="09F6D7BC" w14:textId="77777777" w:rsidR="00C66693" w:rsidRPr="00780E30" w:rsidRDefault="00C66693" w:rsidP="00504CBB">
            <w:pPr>
              <w:jc w:val="right"/>
              <w:cnfStyle w:val="000000100000" w:firstRow="0" w:lastRow="0" w:firstColumn="0" w:lastColumn="0" w:oddVBand="0" w:evenVBand="0" w:oddHBand="1" w:evenHBand="0" w:firstRowFirstColumn="0" w:firstRowLastColumn="0" w:lastRowFirstColumn="0" w:lastRowLastColumn="0"/>
              <w:rPr>
                <w:rFonts w:cstheme="minorHAnsi"/>
                <w:i/>
                <w:iCs/>
              </w:rPr>
            </w:pPr>
            <w:r w:rsidRPr="00780E30">
              <w:rPr>
                <w:rFonts w:cstheme="minorHAnsi"/>
                <w:i/>
                <w:iCs/>
              </w:rPr>
              <w:t>54517</w:t>
            </w:r>
          </w:p>
        </w:tc>
        <w:tc>
          <w:tcPr>
            <w:tcW w:w="0" w:type="auto"/>
            <w:noWrap/>
            <w:hideMark/>
          </w:tcPr>
          <w:p w14:paraId="5DBEEFFB" w14:textId="77777777" w:rsidR="00C66693" w:rsidRPr="00780E30" w:rsidRDefault="00C66693" w:rsidP="00504CBB">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PUS7</w:t>
            </w:r>
          </w:p>
        </w:tc>
      </w:tr>
      <w:tr w:rsidR="00C66693" w:rsidRPr="00C66693" w14:paraId="0A16DEE0" w14:textId="77777777" w:rsidTr="00780E30">
        <w:trPr>
          <w:trHeight w:val="399"/>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600A1014" w14:textId="77777777" w:rsidR="00C66693" w:rsidRPr="00C66693" w:rsidRDefault="00C66693" w:rsidP="00504CBB">
            <w:pPr>
              <w:jc w:val="right"/>
              <w:rPr>
                <w:rFonts w:cstheme="minorHAnsi"/>
                <w:b w:val="0"/>
                <w:bCs w:val="0"/>
                <w:i/>
                <w:iCs/>
              </w:rPr>
            </w:pPr>
            <w:r w:rsidRPr="00C66693">
              <w:rPr>
                <w:rFonts w:cstheme="minorHAnsi"/>
                <w:b w:val="0"/>
                <w:bCs w:val="0"/>
                <w:i/>
                <w:iCs/>
              </w:rPr>
              <w:t>84733</w:t>
            </w:r>
          </w:p>
        </w:tc>
        <w:tc>
          <w:tcPr>
            <w:tcW w:w="0" w:type="auto"/>
            <w:noWrap/>
            <w:hideMark/>
          </w:tcPr>
          <w:p w14:paraId="7D17B444" w14:textId="77777777" w:rsidR="00C66693" w:rsidRPr="00780E30" w:rsidRDefault="00C66693" w:rsidP="00504CBB">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CBX2</w:t>
            </w:r>
          </w:p>
        </w:tc>
        <w:tc>
          <w:tcPr>
            <w:tcW w:w="0" w:type="auto"/>
            <w:noWrap/>
            <w:hideMark/>
          </w:tcPr>
          <w:p w14:paraId="116B9AAE" w14:textId="77777777" w:rsidR="00C66693" w:rsidRPr="00C66693" w:rsidRDefault="00C66693" w:rsidP="00C66693">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color w:val="333333"/>
                <w:sz w:val="22"/>
                <w:szCs w:val="22"/>
              </w:rPr>
            </w:pPr>
          </w:p>
        </w:tc>
        <w:tc>
          <w:tcPr>
            <w:tcW w:w="0" w:type="auto"/>
            <w:noWrap/>
            <w:hideMark/>
          </w:tcPr>
          <w:p w14:paraId="6819AFFE" w14:textId="77777777" w:rsidR="00C66693" w:rsidRPr="00780E30" w:rsidRDefault="00C66693" w:rsidP="00504CBB">
            <w:pPr>
              <w:jc w:val="right"/>
              <w:cnfStyle w:val="000000000000" w:firstRow="0" w:lastRow="0" w:firstColumn="0" w:lastColumn="0" w:oddVBand="0" w:evenVBand="0" w:oddHBand="0" w:evenHBand="0" w:firstRowFirstColumn="0" w:firstRowLastColumn="0" w:lastRowFirstColumn="0" w:lastRowLastColumn="0"/>
              <w:rPr>
                <w:rFonts w:cstheme="minorHAnsi"/>
                <w:i/>
                <w:iCs/>
              </w:rPr>
            </w:pPr>
            <w:r w:rsidRPr="00780E30">
              <w:rPr>
                <w:rFonts w:cstheme="minorHAnsi"/>
                <w:i/>
                <w:iCs/>
              </w:rPr>
              <w:t>4017</w:t>
            </w:r>
          </w:p>
        </w:tc>
        <w:tc>
          <w:tcPr>
            <w:tcW w:w="0" w:type="auto"/>
            <w:noWrap/>
            <w:hideMark/>
          </w:tcPr>
          <w:p w14:paraId="3C81989D" w14:textId="77777777" w:rsidR="00C66693" w:rsidRPr="00780E30" w:rsidRDefault="00C66693" w:rsidP="00504CBB">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LOXL2</w:t>
            </w:r>
          </w:p>
        </w:tc>
        <w:tc>
          <w:tcPr>
            <w:tcW w:w="0" w:type="auto"/>
            <w:noWrap/>
            <w:hideMark/>
          </w:tcPr>
          <w:p w14:paraId="52C883BE" w14:textId="77777777" w:rsidR="00C66693" w:rsidRPr="00C66693" w:rsidRDefault="00C66693" w:rsidP="00C66693">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color w:val="333333"/>
                <w:sz w:val="22"/>
                <w:szCs w:val="22"/>
              </w:rPr>
            </w:pPr>
          </w:p>
        </w:tc>
        <w:tc>
          <w:tcPr>
            <w:tcW w:w="0" w:type="auto"/>
            <w:noWrap/>
            <w:hideMark/>
          </w:tcPr>
          <w:p w14:paraId="7172FF84" w14:textId="77777777" w:rsidR="00C66693" w:rsidRPr="00780E30" w:rsidRDefault="00C66693" w:rsidP="00504CBB">
            <w:pPr>
              <w:jc w:val="right"/>
              <w:cnfStyle w:val="000000000000" w:firstRow="0" w:lastRow="0" w:firstColumn="0" w:lastColumn="0" w:oddVBand="0" w:evenVBand="0" w:oddHBand="0" w:evenHBand="0" w:firstRowFirstColumn="0" w:firstRowLastColumn="0" w:lastRowFirstColumn="0" w:lastRowLastColumn="0"/>
              <w:rPr>
                <w:rFonts w:cstheme="minorHAnsi"/>
                <w:i/>
                <w:iCs/>
              </w:rPr>
            </w:pPr>
            <w:r w:rsidRPr="00780E30">
              <w:rPr>
                <w:rFonts w:cstheme="minorHAnsi"/>
                <w:i/>
                <w:iCs/>
              </w:rPr>
              <w:t>27143</w:t>
            </w:r>
          </w:p>
        </w:tc>
        <w:tc>
          <w:tcPr>
            <w:tcW w:w="0" w:type="auto"/>
            <w:noWrap/>
            <w:hideMark/>
          </w:tcPr>
          <w:p w14:paraId="63C14F94" w14:textId="77777777" w:rsidR="00C66693" w:rsidRPr="00780E30" w:rsidRDefault="00C66693" w:rsidP="00504CBB">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PALD1</w:t>
            </w:r>
          </w:p>
        </w:tc>
      </w:tr>
      <w:tr w:rsidR="00C66693" w:rsidRPr="00C66693" w14:paraId="4FC17A59" w14:textId="77777777" w:rsidTr="00780E30">
        <w:trPr>
          <w:cnfStyle w:val="000000100000" w:firstRow="0" w:lastRow="0" w:firstColumn="0" w:lastColumn="0" w:oddVBand="0" w:evenVBand="0" w:oddHBand="1" w:evenHBand="0" w:firstRowFirstColumn="0" w:firstRowLastColumn="0" w:lastRowFirstColumn="0" w:lastRowLastColumn="0"/>
          <w:trHeight w:val="399"/>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2A70DF63" w14:textId="77777777" w:rsidR="00C66693" w:rsidRPr="00C66693" w:rsidRDefault="00C66693" w:rsidP="00504CBB">
            <w:pPr>
              <w:jc w:val="right"/>
              <w:rPr>
                <w:rFonts w:cstheme="minorHAnsi"/>
                <w:b w:val="0"/>
                <w:bCs w:val="0"/>
                <w:i/>
                <w:iCs/>
              </w:rPr>
            </w:pPr>
            <w:r w:rsidRPr="00C66693">
              <w:rPr>
                <w:rFonts w:cstheme="minorHAnsi"/>
                <w:b w:val="0"/>
                <w:bCs w:val="0"/>
                <w:i/>
                <w:iCs/>
              </w:rPr>
              <w:t>64063</w:t>
            </w:r>
          </w:p>
        </w:tc>
        <w:tc>
          <w:tcPr>
            <w:tcW w:w="0" w:type="auto"/>
            <w:noWrap/>
            <w:hideMark/>
          </w:tcPr>
          <w:p w14:paraId="4736B2A7" w14:textId="77777777" w:rsidR="00C66693" w:rsidRPr="00780E30" w:rsidRDefault="00C66693" w:rsidP="00504CBB">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PRSS22</w:t>
            </w:r>
          </w:p>
        </w:tc>
        <w:tc>
          <w:tcPr>
            <w:tcW w:w="0" w:type="auto"/>
            <w:noWrap/>
            <w:hideMark/>
          </w:tcPr>
          <w:p w14:paraId="18709AC5" w14:textId="77777777" w:rsidR="00C66693" w:rsidRPr="00C66693" w:rsidRDefault="00C66693" w:rsidP="00C66693">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color w:val="333333"/>
                <w:sz w:val="22"/>
                <w:szCs w:val="22"/>
              </w:rPr>
            </w:pPr>
          </w:p>
        </w:tc>
        <w:tc>
          <w:tcPr>
            <w:tcW w:w="0" w:type="auto"/>
            <w:noWrap/>
            <w:hideMark/>
          </w:tcPr>
          <w:p w14:paraId="32EE32D6" w14:textId="77777777" w:rsidR="00C66693" w:rsidRPr="00780E30" w:rsidRDefault="00C66693" w:rsidP="00504CBB">
            <w:pPr>
              <w:jc w:val="right"/>
              <w:cnfStyle w:val="000000100000" w:firstRow="0" w:lastRow="0" w:firstColumn="0" w:lastColumn="0" w:oddVBand="0" w:evenVBand="0" w:oddHBand="1" w:evenHBand="0" w:firstRowFirstColumn="0" w:firstRowLastColumn="0" w:lastRowFirstColumn="0" w:lastRowLastColumn="0"/>
              <w:rPr>
                <w:rFonts w:cstheme="minorHAnsi"/>
                <w:i/>
                <w:iCs/>
              </w:rPr>
            </w:pPr>
            <w:r w:rsidRPr="00780E30">
              <w:rPr>
                <w:rFonts w:cstheme="minorHAnsi"/>
                <w:i/>
                <w:iCs/>
              </w:rPr>
              <w:t>29128</w:t>
            </w:r>
          </w:p>
        </w:tc>
        <w:tc>
          <w:tcPr>
            <w:tcW w:w="0" w:type="auto"/>
            <w:noWrap/>
            <w:hideMark/>
          </w:tcPr>
          <w:p w14:paraId="77210937" w14:textId="77777777" w:rsidR="00C66693" w:rsidRPr="00780E30" w:rsidRDefault="00C66693" w:rsidP="00504CBB">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UHRF1</w:t>
            </w:r>
          </w:p>
        </w:tc>
        <w:tc>
          <w:tcPr>
            <w:tcW w:w="0" w:type="auto"/>
            <w:noWrap/>
            <w:hideMark/>
          </w:tcPr>
          <w:p w14:paraId="496B7C24" w14:textId="77777777" w:rsidR="00C66693" w:rsidRPr="00C66693" w:rsidRDefault="00C66693" w:rsidP="00C66693">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color w:val="333333"/>
                <w:sz w:val="22"/>
                <w:szCs w:val="22"/>
              </w:rPr>
            </w:pPr>
          </w:p>
        </w:tc>
        <w:tc>
          <w:tcPr>
            <w:tcW w:w="0" w:type="auto"/>
            <w:noWrap/>
            <w:hideMark/>
          </w:tcPr>
          <w:p w14:paraId="3B863FFA" w14:textId="77777777" w:rsidR="00C66693" w:rsidRPr="00780E30" w:rsidRDefault="00C66693" w:rsidP="00504CBB">
            <w:pPr>
              <w:jc w:val="right"/>
              <w:cnfStyle w:val="000000100000" w:firstRow="0" w:lastRow="0" w:firstColumn="0" w:lastColumn="0" w:oddVBand="0" w:evenVBand="0" w:oddHBand="1" w:evenHBand="0" w:firstRowFirstColumn="0" w:firstRowLastColumn="0" w:lastRowFirstColumn="0" w:lastRowLastColumn="0"/>
              <w:rPr>
                <w:rFonts w:cstheme="minorHAnsi"/>
                <w:i/>
                <w:iCs/>
              </w:rPr>
            </w:pPr>
            <w:r w:rsidRPr="00780E30">
              <w:rPr>
                <w:rFonts w:cstheme="minorHAnsi"/>
                <w:i/>
                <w:iCs/>
              </w:rPr>
              <w:t>6319</w:t>
            </w:r>
          </w:p>
        </w:tc>
        <w:tc>
          <w:tcPr>
            <w:tcW w:w="0" w:type="auto"/>
            <w:noWrap/>
            <w:hideMark/>
          </w:tcPr>
          <w:p w14:paraId="28513DED" w14:textId="77777777" w:rsidR="00C66693" w:rsidRPr="00780E30" w:rsidRDefault="00C66693" w:rsidP="00504CBB">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SCD</w:t>
            </w:r>
          </w:p>
        </w:tc>
      </w:tr>
      <w:tr w:rsidR="00C66693" w:rsidRPr="00C66693" w14:paraId="5E13F1E2" w14:textId="77777777" w:rsidTr="00780E30">
        <w:trPr>
          <w:trHeight w:val="399"/>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4C7F8C96" w14:textId="77777777" w:rsidR="00C66693" w:rsidRPr="00C66693" w:rsidRDefault="00C66693" w:rsidP="00504CBB">
            <w:pPr>
              <w:jc w:val="right"/>
              <w:rPr>
                <w:rFonts w:cstheme="minorHAnsi"/>
                <w:b w:val="0"/>
                <w:bCs w:val="0"/>
                <w:i/>
                <w:iCs/>
              </w:rPr>
            </w:pPr>
            <w:r w:rsidRPr="00C66693">
              <w:rPr>
                <w:rFonts w:cstheme="minorHAnsi"/>
                <w:b w:val="0"/>
                <w:bCs w:val="0"/>
                <w:i/>
                <w:iCs/>
              </w:rPr>
              <w:t>9319</w:t>
            </w:r>
          </w:p>
        </w:tc>
        <w:tc>
          <w:tcPr>
            <w:tcW w:w="0" w:type="auto"/>
            <w:noWrap/>
            <w:hideMark/>
          </w:tcPr>
          <w:p w14:paraId="544131AE" w14:textId="77777777" w:rsidR="00C66693" w:rsidRPr="00780E30" w:rsidRDefault="00C66693" w:rsidP="00504CBB">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TRIP13</w:t>
            </w:r>
          </w:p>
        </w:tc>
        <w:tc>
          <w:tcPr>
            <w:tcW w:w="0" w:type="auto"/>
            <w:noWrap/>
            <w:hideMark/>
          </w:tcPr>
          <w:p w14:paraId="641BBC39" w14:textId="77777777" w:rsidR="00C66693" w:rsidRPr="00C66693" w:rsidRDefault="00C66693" w:rsidP="00C66693">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color w:val="333333"/>
                <w:sz w:val="22"/>
                <w:szCs w:val="22"/>
              </w:rPr>
            </w:pPr>
          </w:p>
        </w:tc>
        <w:tc>
          <w:tcPr>
            <w:tcW w:w="0" w:type="auto"/>
            <w:noWrap/>
            <w:hideMark/>
          </w:tcPr>
          <w:p w14:paraId="1710B2A6" w14:textId="77777777" w:rsidR="00C66693" w:rsidRPr="00780E30" w:rsidRDefault="00C66693" w:rsidP="00504CBB">
            <w:pPr>
              <w:jc w:val="right"/>
              <w:cnfStyle w:val="000000000000" w:firstRow="0" w:lastRow="0" w:firstColumn="0" w:lastColumn="0" w:oddVBand="0" w:evenVBand="0" w:oddHBand="0" w:evenHBand="0" w:firstRowFirstColumn="0" w:firstRowLastColumn="0" w:lastRowFirstColumn="0" w:lastRowLastColumn="0"/>
              <w:rPr>
                <w:rFonts w:cstheme="minorHAnsi"/>
                <w:i/>
                <w:iCs/>
              </w:rPr>
            </w:pPr>
            <w:r w:rsidRPr="00780E30">
              <w:rPr>
                <w:rFonts w:cstheme="minorHAnsi"/>
                <w:i/>
                <w:iCs/>
              </w:rPr>
              <w:t>221150</w:t>
            </w:r>
          </w:p>
        </w:tc>
        <w:tc>
          <w:tcPr>
            <w:tcW w:w="0" w:type="auto"/>
            <w:noWrap/>
            <w:hideMark/>
          </w:tcPr>
          <w:p w14:paraId="76A238E8" w14:textId="77777777" w:rsidR="00C66693" w:rsidRPr="00780E30" w:rsidRDefault="00C66693" w:rsidP="00504CBB">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SKA3</w:t>
            </w:r>
          </w:p>
        </w:tc>
        <w:tc>
          <w:tcPr>
            <w:tcW w:w="0" w:type="auto"/>
            <w:noWrap/>
            <w:hideMark/>
          </w:tcPr>
          <w:p w14:paraId="486E1BBC" w14:textId="77777777" w:rsidR="00C66693" w:rsidRPr="00C66693" w:rsidRDefault="00C66693" w:rsidP="00C66693">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color w:val="333333"/>
                <w:sz w:val="22"/>
                <w:szCs w:val="22"/>
              </w:rPr>
            </w:pPr>
          </w:p>
        </w:tc>
        <w:tc>
          <w:tcPr>
            <w:tcW w:w="0" w:type="auto"/>
            <w:noWrap/>
            <w:hideMark/>
          </w:tcPr>
          <w:p w14:paraId="432AD416" w14:textId="77777777" w:rsidR="00C66693" w:rsidRPr="00780E30" w:rsidRDefault="00C66693" w:rsidP="00504CBB">
            <w:pPr>
              <w:jc w:val="right"/>
              <w:cnfStyle w:val="000000000000" w:firstRow="0" w:lastRow="0" w:firstColumn="0" w:lastColumn="0" w:oddVBand="0" w:evenVBand="0" w:oddHBand="0" w:evenHBand="0" w:firstRowFirstColumn="0" w:firstRowLastColumn="0" w:lastRowFirstColumn="0" w:lastRowLastColumn="0"/>
              <w:rPr>
                <w:rFonts w:cstheme="minorHAnsi"/>
                <w:i/>
                <w:iCs/>
              </w:rPr>
            </w:pPr>
            <w:r w:rsidRPr="00780E30">
              <w:rPr>
                <w:rFonts w:cstheme="minorHAnsi"/>
                <w:i/>
                <w:iCs/>
              </w:rPr>
              <w:t>1503</w:t>
            </w:r>
          </w:p>
        </w:tc>
        <w:tc>
          <w:tcPr>
            <w:tcW w:w="0" w:type="auto"/>
            <w:noWrap/>
            <w:hideMark/>
          </w:tcPr>
          <w:p w14:paraId="5D173332" w14:textId="77777777" w:rsidR="00C66693" w:rsidRPr="00780E30" w:rsidRDefault="00C66693" w:rsidP="00504CBB">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CTPS1</w:t>
            </w:r>
          </w:p>
        </w:tc>
      </w:tr>
      <w:tr w:rsidR="00C66693" w:rsidRPr="00C66693" w14:paraId="4BFBB85F" w14:textId="77777777" w:rsidTr="00780E30">
        <w:trPr>
          <w:cnfStyle w:val="000000100000" w:firstRow="0" w:lastRow="0" w:firstColumn="0" w:lastColumn="0" w:oddVBand="0" w:evenVBand="0" w:oddHBand="1" w:evenHBand="0" w:firstRowFirstColumn="0" w:firstRowLastColumn="0" w:lastRowFirstColumn="0" w:lastRowLastColumn="0"/>
          <w:trHeight w:val="399"/>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3E335A72" w14:textId="77777777" w:rsidR="00C66693" w:rsidRPr="00C66693" w:rsidRDefault="00C66693" w:rsidP="00504CBB">
            <w:pPr>
              <w:jc w:val="right"/>
              <w:rPr>
                <w:rFonts w:cstheme="minorHAnsi"/>
                <w:b w:val="0"/>
                <w:bCs w:val="0"/>
                <w:i/>
                <w:iCs/>
              </w:rPr>
            </w:pPr>
            <w:r w:rsidRPr="00C66693">
              <w:rPr>
                <w:rFonts w:cstheme="minorHAnsi"/>
                <w:b w:val="0"/>
                <w:bCs w:val="0"/>
                <w:i/>
                <w:iCs/>
              </w:rPr>
              <w:t>8614</w:t>
            </w:r>
          </w:p>
        </w:tc>
        <w:tc>
          <w:tcPr>
            <w:tcW w:w="0" w:type="auto"/>
            <w:noWrap/>
            <w:hideMark/>
          </w:tcPr>
          <w:p w14:paraId="53219E1B" w14:textId="77777777" w:rsidR="00C66693" w:rsidRPr="00780E30" w:rsidRDefault="00C66693" w:rsidP="00504CBB">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STC2</w:t>
            </w:r>
          </w:p>
        </w:tc>
        <w:tc>
          <w:tcPr>
            <w:tcW w:w="0" w:type="auto"/>
            <w:noWrap/>
            <w:hideMark/>
          </w:tcPr>
          <w:p w14:paraId="4BBB51B7" w14:textId="77777777" w:rsidR="00C66693" w:rsidRPr="00C66693" w:rsidRDefault="00C66693" w:rsidP="00C66693">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color w:val="333333"/>
                <w:sz w:val="22"/>
                <w:szCs w:val="22"/>
              </w:rPr>
            </w:pPr>
          </w:p>
        </w:tc>
        <w:tc>
          <w:tcPr>
            <w:tcW w:w="0" w:type="auto"/>
            <w:noWrap/>
            <w:hideMark/>
          </w:tcPr>
          <w:p w14:paraId="6C3AC680" w14:textId="77777777" w:rsidR="00C66693" w:rsidRPr="00780E30" w:rsidRDefault="00C66693" w:rsidP="00504CBB">
            <w:pPr>
              <w:jc w:val="right"/>
              <w:cnfStyle w:val="000000100000" w:firstRow="0" w:lastRow="0" w:firstColumn="0" w:lastColumn="0" w:oddVBand="0" w:evenVBand="0" w:oddHBand="1" w:evenHBand="0" w:firstRowFirstColumn="0" w:firstRowLastColumn="0" w:lastRowFirstColumn="0" w:lastRowLastColumn="0"/>
              <w:rPr>
                <w:rFonts w:cstheme="minorHAnsi"/>
                <w:i/>
                <w:iCs/>
              </w:rPr>
            </w:pPr>
            <w:r w:rsidRPr="00780E30">
              <w:rPr>
                <w:rFonts w:cstheme="minorHAnsi"/>
                <w:i/>
                <w:iCs/>
              </w:rPr>
              <w:t>83540</w:t>
            </w:r>
          </w:p>
        </w:tc>
        <w:tc>
          <w:tcPr>
            <w:tcW w:w="0" w:type="auto"/>
            <w:noWrap/>
            <w:hideMark/>
          </w:tcPr>
          <w:p w14:paraId="25DE015B" w14:textId="77777777" w:rsidR="00C66693" w:rsidRPr="00780E30" w:rsidRDefault="00C66693" w:rsidP="00504CBB">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NUF2</w:t>
            </w:r>
          </w:p>
        </w:tc>
        <w:tc>
          <w:tcPr>
            <w:tcW w:w="0" w:type="auto"/>
            <w:noWrap/>
            <w:hideMark/>
          </w:tcPr>
          <w:p w14:paraId="50E6C66A" w14:textId="77777777" w:rsidR="00C66693" w:rsidRPr="00C66693" w:rsidRDefault="00C66693" w:rsidP="00C66693">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color w:val="333333"/>
                <w:sz w:val="22"/>
                <w:szCs w:val="22"/>
              </w:rPr>
            </w:pPr>
          </w:p>
        </w:tc>
        <w:tc>
          <w:tcPr>
            <w:tcW w:w="0" w:type="auto"/>
            <w:noWrap/>
            <w:hideMark/>
          </w:tcPr>
          <w:p w14:paraId="4056BFDA" w14:textId="77777777" w:rsidR="00C66693" w:rsidRPr="00780E30" w:rsidRDefault="00C66693" w:rsidP="00504CBB">
            <w:pPr>
              <w:jc w:val="right"/>
              <w:cnfStyle w:val="000000100000" w:firstRow="0" w:lastRow="0" w:firstColumn="0" w:lastColumn="0" w:oddVBand="0" w:evenVBand="0" w:oddHBand="1" w:evenHBand="0" w:firstRowFirstColumn="0" w:firstRowLastColumn="0" w:lastRowFirstColumn="0" w:lastRowLastColumn="0"/>
              <w:rPr>
                <w:rFonts w:cstheme="minorHAnsi"/>
                <w:i/>
                <w:iCs/>
              </w:rPr>
            </w:pPr>
            <w:r w:rsidRPr="00780E30">
              <w:rPr>
                <w:rFonts w:cstheme="minorHAnsi"/>
                <w:i/>
                <w:iCs/>
              </w:rPr>
              <w:t>10410</w:t>
            </w:r>
          </w:p>
        </w:tc>
        <w:tc>
          <w:tcPr>
            <w:tcW w:w="0" w:type="auto"/>
            <w:noWrap/>
            <w:hideMark/>
          </w:tcPr>
          <w:p w14:paraId="5B0AE4E3" w14:textId="77777777" w:rsidR="00C66693" w:rsidRPr="00780E30" w:rsidRDefault="00C66693" w:rsidP="00504CBB">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IFITM3</w:t>
            </w:r>
          </w:p>
        </w:tc>
      </w:tr>
      <w:tr w:rsidR="00C66693" w:rsidRPr="00C66693" w14:paraId="30D53B0D" w14:textId="77777777" w:rsidTr="00780E30">
        <w:trPr>
          <w:trHeight w:val="399"/>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12DD0189" w14:textId="77777777" w:rsidR="00C66693" w:rsidRPr="00C66693" w:rsidRDefault="00C66693" w:rsidP="00504CBB">
            <w:pPr>
              <w:jc w:val="right"/>
              <w:rPr>
                <w:rFonts w:cstheme="minorHAnsi"/>
                <w:b w:val="0"/>
                <w:bCs w:val="0"/>
                <w:i/>
                <w:iCs/>
              </w:rPr>
            </w:pPr>
            <w:r w:rsidRPr="00C66693">
              <w:rPr>
                <w:rFonts w:cstheme="minorHAnsi"/>
                <w:b w:val="0"/>
                <w:bCs w:val="0"/>
                <w:i/>
                <w:iCs/>
              </w:rPr>
              <w:t>54498</w:t>
            </w:r>
          </w:p>
        </w:tc>
        <w:tc>
          <w:tcPr>
            <w:tcW w:w="0" w:type="auto"/>
            <w:noWrap/>
            <w:hideMark/>
          </w:tcPr>
          <w:p w14:paraId="4390A343" w14:textId="77777777" w:rsidR="00C66693" w:rsidRPr="00780E30" w:rsidRDefault="00C66693" w:rsidP="00504CBB">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SMOX</w:t>
            </w:r>
          </w:p>
        </w:tc>
        <w:tc>
          <w:tcPr>
            <w:tcW w:w="0" w:type="auto"/>
            <w:noWrap/>
            <w:hideMark/>
          </w:tcPr>
          <w:p w14:paraId="1ED4078D" w14:textId="77777777" w:rsidR="00C66693" w:rsidRPr="00C66693" w:rsidRDefault="00C66693" w:rsidP="00C66693">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color w:val="333333"/>
                <w:sz w:val="22"/>
                <w:szCs w:val="22"/>
              </w:rPr>
            </w:pPr>
          </w:p>
        </w:tc>
        <w:tc>
          <w:tcPr>
            <w:tcW w:w="0" w:type="auto"/>
            <w:noWrap/>
            <w:hideMark/>
          </w:tcPr>
          <w:p w14:paraId="47326744" w14:textId="77777777" w:rsidR="00C66693" w:rsidRPr="00780E30" w:rsidRDefault="00C66693" w:rsidP="00504CBB">
            <w:pPr>
              <w:jc w:val="right"/>
              <w:cnfStyle w:val="000000000000" w:firstRow="0" w:lastRow="0" w:firstColumn="0" w:lastColumn="0" w:oddVBand="0" w:evenVBand="0" w:oddHBand="0" w:evenHBand="0" w:firstRowFirstColumn="0" w:firstRowLastColumn="0" w:lastRowFirstColumn="0" w:lastRowLastColumn="0"/>
              <w:rPr>
                <w:rFonts w:cstheme="minorHAnsi"/>
                <w:i/>
                <w:iCs/>
              </w:rPr>
            </w:pPr>
            <w:r w:rsidRPr="00780E30">
              <w:rPr>
                <w:rFonts w:cstheme="minorHAnsi"/>
                <w:i/>
                <w:iCs/>
              </w:rPr>
              <w:t>7291</w:t>
            </w:r>
          </w:p>
        </w:tc>
        <w:tc>
          <w:tcPr>
            <w:tcW w:w="0" w:type="auto"/>
            <w:noWrap/>
            <w:hideMark/>
          </w:tcPr>
          <w:p w14:paraId="73B07AA2" w14:textId="77777777" w:rsidR="00C66693" w:rsidRPr="00780E30" w:rsidRDefault="00C66693" w:rsidP="00504CBB">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TWIST1</w:t>
            </w:r>
          </w:p>
        </w:tc>
        <w:tc>
          <w:tcPr>
            <w:tcW w:w="0" w:type="auto"/>
            <w:noWrap/>
            <w:hideMark/>
          </w:tcPr>
          <w:p w14:paraId="545D9E5F" w14:textId="77777777" w:rsidR="00C66693" w:rsidRPr="00C66693" w:rsidRDefault="00C66693" w:rsidP="00C66693">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color w:val="333333"/>
                <w:sz w:val="22"/>
                <w:szCs w:val="22"/>
              </w:rPr>
            </w:pPr>
          </w:p>
        </w:tc>
        <w:tc>
          <w:tcPr>
            <w:tcW w:w="0" w:type="auto"/>
            <w:noWrap/>
            <w:hideMark/>
          </w:tcPr>
          <w:p w14:paraId="269196BA" w14:textId="77777777" w:rsidR="00C66693" w:rsidRPr="00780E30" w:rsidRDefault="00C66693" w:rsidP="00504CBB">
            <w:pPr>
              <w:jc w:val="right"/>
              <w:cnfStyle w:val="000000000000" w:firstRow="0" w:lastRow="0" w:firstColumn="0" w:lastColumn="0" w:oddVBand="0" w:evenVBand="0" w:oddHBand="0" w:evenHBand="0" w:firstRowFirstColumn="0" w:firstRowLastColumn="0" w:lastRowFirstColumn="0" w:lastRowLastColumn="0"/>
              <w:rPr>
                <w:rFonts w:cstheme="minorHAnsi"/>
                <w:i/>
                <w:iCs/>
              </w:rPr>
            </w:pPr>
            <w:r w:rsidRPr="00780E30">
              <w:rPr>
                <w:rFonts w:cstheme="minorHAnsi"/>
                <w:i/>
                <w:iCs/>
              </w:rPr>
              <w:t>79989</w:t>
            </w:r>
          </w:p>
        </w:tc>
        <w:tc>
          <w:tcPr>
            <w:tcW w:w="0" w:type="auto"/>
            <w:noWrap/>
            <w:hideMark/>
          </w:tcPr>
          <w:p w14:paraId="3A502CD8" w14:textId="77777777" w:rsidR="00C66693" w:rsidRPr="00780E30" w:rsidRDefault="00C66693" w:rsidP="00504CBB">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IFT56</w:t>
            </w:r>
          </w:p>
        </w:tc>
      </w:tr>
      <w:tr w:rsidR="00C66693" w:rsidRPr="00C66693" w14:paraId="0DADC41B" w14:textId="77777777" w:rsidTr="00780E30">
        <w:trPr>
          <w:cnfStyle w:val="000000100000" w:firstRow="0" w:lastRow="0" w:firstColumn="0" w:lastColumn="0" w:oddVBand="0" w:evenVBand="0" w:oddHBand="1" w:evenHBand="0" w:firstRowFirstColumn="0" w:firstRowLastColumn="0" w:lastRowFirstColumn="0" w:lastRowLastColumn="0"/>
          <w:trHeight w:val="399"/>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7F4740BA" w14:textId="77777777" w:rsidR="00C66693" w:rsidRPr="00C66693" w:rsidRDefault="00C66693" w:rsidP="00504CBB">
            <w:pPr>
              <w:jc w:val="right"/>
              <w:rPr>
                <w:rFonts w:cstheme="minorHAnsi"/>
                <w:b w:val="0"/>
                <w:bCs w:val="0"/>
                <w:i/>
                <w:iCs/>
              </w:rPr>
            </w:pPr>
            <w:r w:rsidRPr="00C66693">
              <w:rPr>
                <w:rFonts w:cstheme="minorHAnsi"/>
                <w:b w:val="0"/>
                <w:bCs w:val="0"/>
                <w:i/>
                <w:iCs/>
              </w:rPr>
              <w:t>2906</w:t>
            </w:r>
          </w:p>
        </w:tc>
        <w:tc>
          <w:tcPr>
            <w:tcW w:w="0" w:type="auto"/>
            <w:noWrap/>
            <w:hideMark/>
          </w:tcPr>
          <w:p w14:paraId="6B8B2C0F" w14:textId="77777777" w:rsidR="00C66693" w:rsidRPr="00780E30" w:rsidRDefault="00C66693" w:rsidP="00504CBB">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GRIN2D</w:t>
            </w:r>
          </w:p>
        </w:tc>
        <w:tc>
          <w:tcPr>
            <w:tcW w:w="0" w:type="auto"/>
            <w:noWrap/>
            <w:hideMark/>
          </w:tcPr>
          <w:p w14:paraId="55262B77" w14:textId="77777777" w:rsidR="00C66693" w:rsidRPr="00C66693" w:rsidRDefault="00C66693" w:rsidP="00C66693">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color w:val="333333"/>
                <w:sz w:val="22"/>
                <w:szCs w:val="22"/>
              </w:rPr>
            </w:pPr>
          </w:p>
        </w:tc>
        <w:tc>
          <w:tcPr>
            <w:tcW w:w="0" w:type="auto"/>
            <w:noWrap/>
            <w:hideMark/>
          </w:tcPr>
          <w:p w14:paraId="345E635A" w14:textId="77777777" w:rsidR="00C66693" w:rsidRPr="00780E30" w:rsidRDefault="00C66693" w:rsidP="00504CBB">
            <w:pPr>
              <w:jc w:val="right"/>
              <w:cnfStyle w:val="000000100000" w:firstRow="0" w:lastRow="0" w:firstColumn="0" w:lastColumn="0" w:oddVBand="0" w:evenVBand="0" w:oddHBand="1" w:evenHBand="0" w:firstRowFirstColumn="0" w:firstRowLastColumn="0" w:lastRowFirstColumn="0" w:lastRowLastColumn="0"/>
              <w:rPr>
                <w:rFonts w:cstheme="minorHAnsi"/>
                <w:i/>
                <w:iCs/>
              </w:rPr>
            </w:pPr>
            <w:r w:rsidRPr="00780E30">
              <w:rPr>
                <w:rFonts w:cstheme="minorHAnsi"/>
                <w:i/>
                <w:iCs/>
              </w:rPr>
              <w:t>6696</w:t>
            </w:r>
          </w:p>
        </w:tc>
        <w:tc>
          <w:tcPr>
            <w:tcW w:w="0" w:type="auto"/>
            <w:noWrap/>
            <w:hideMark/>
          </w:tcPr>
          <w:p w14:paraId="2416357C" w14:textId="77777777" w:rsidR="00C66693" w:rsidRPr="00780E30" w:rsidRDefault="00C66693" w:rsidP="00504CBB">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SPP1</w:t>
            </w:r>
          </w:p>
        </w:tc>
        <w:tc>
          <w:tcPr>
            <w:tcW w:w="0" w:type="auto"/>
            <w:noWrap/>
            <w:hideMark/>
          </w:tcPr>
          <w:p w14:paraId="030E9BF6" w14:textId="77777777" w:rsidR="00C66693" w:rsidRPr="00C66693" w:rsidRDefault="00C66693" w:rsidP="00C66693">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color w:val="333333"/>
                <w:sz w:val="22"/>
                <w:szCs w:val="22"/>
              </w:rPr>
            </w:pPr>
          </w:p>
        </w:tc>
        <w:tc>
          <w:tcPr>
            <w:tcW w:w="0" w:type="auto"/>
            <w:noWrap/>
            <w:hideMark/>
          </w:tcPr>
          <w:p w14:paraId="6281CB89" w14:textId="77777777" w:rsidR="00C66693" w:rsidRPr="00780E30" w:rsidRDefault="00C66693" w:rsidP="00504CBB">
            <w:pPr>
              <w:jc w:val="right"/>
              <w:cnfStyle w:val="000000100000" w:firstRow="0" w:lastRow="0" w:firstColumn="0" w:lastColumn="0" w:oddVBand="0" w:evenVBand="0" w:oddHBand="1" w:evenHBand="0" w:firstRowFirstColumn="0" w:firstRowLastColumn="0" w:lastRowFirstColumn="0" w:lastRowLastColumn="0"/>
              <w:rPr>
                <w:rFonts w:cstheme="minorHAnsi"/>
                <w:i/>
                <w:iCs/>
              </w:rPr>
            </w:pPr>
            <w:r w:rsidRPr="00780E30">
              <w:rPr>
                <w:rFonts w:cstheme="minorHAnsi"/>
                <w:i/>
                <w:iCs/>
              </w:rPr>
              <w:t>11174</w:t>
            </w:r>
          </w:p>
        </w:tc>
        <w:tc>
          <w:tcPr>
            <w:tcW w:w="0" w:type="auto"/>
            <w:noWrap/>
            <w:hideMark/>
          </w:tcPr>
          <w:p w14:paraId="286A3631" w14:textId="77777777" w:rsidR="00C66693" w:rsidRPr="00780E30" w:rsidRDefault="00C66693" w:rsidP="00504CBB">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ADAMTS6</w:t>
            </w:r>
          </w:p>
        </w:tc>
      </w:tr>
      <w:tr w:rsidR="00C66693" w:rsidRPr="00C66693" w14:paraId="2819168B" w14:textId="77777777" w:rsidTr="00780E30">
        <w:trPr>
          <w:trHeight w:val="399"/>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5E48EC2A" w14:textId="77777777" w:rsidR="00C66693" w:rsidRPr="00C66693" w:rsidRDefault="00C66693" w:rsidP="00504CBB">
            <w:pPr>
              <w:jc w:val="right"/>
              <w:rPr>
                <w:rFonts w:cstheme="minorHAnsi"/>
                <w:b w:val="0"/>
                <w:bCs w:val="0"/>
                <w:i/>
                <w:iCs/>
              </w:rPr>
            </w:pPr>
            <w:r w:rsidRPr="00C66693">
              <w:rPr>
                <w:rFonts w:cstheme="minorHAnsi"/>
                <w:b w:val="0"/>
                <w:bCs w:val="0"/>
                <w:i/>
                <w:iCs/>
              </w:rPr>
              <w:lastRenderedPageBreak/>
              <w:t>5328</w:t>
            </w:r>
          </w:p>
        </w:tc>
        <w:tc>
          <w:tcPr>
            <w:tcW w:w="0" w:type="auto"/>
            <w:noWrap/>
            <w:hideMark/>
          </w:tcPr>
          <w:p w14:paraId="2E98F57B" w14:textId="77777777" w:rsidR="00C66693" w:rsidRPr="00780E30" w:rsidRDefault="00C66693" w:rsidP="00504CBB">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PLAU</w:t>
            </w:r>
          </w:p>
        </w:tc>
        <w:tc>
          <w:tcPr>
            <w:tcW w:w="0" w:type="auto"/>
            <w:noWrap/>
            <w:hideMark/>
          </w:tcPr>
          <w:p w14:paraId="3D0E2A94" w14:textId="77777777" w:rsidR="00C66693" w:rsidRPr="00C66693" w:rsidRDefault="00C66693" w:rsidP="00C66693">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color w:val="333333"/>
                <w:sz w:val="22"/>
                <w:szCs w:val="22"/>
              </w:rPr>
            </w:pPr>
          </w:p>
        </w:tc>
        <w:tc>
          <w:tcPr>
            <w:tcW w:w="0" w:type="auto"/>
            <w:noWrap/>
            <w:hideMark/>
          </w:tcPr>
          <w:p w14:paraId="638440C3" w14:textId="77777777" w:rsidR="00C66693" w:rsidRPr="00780E30" w:rsidRDefault="00C66693" w:rsidP="00504CBB">
            <w:pPr>
              <w:jc w:val="right"/>
              <w:cnfStyle w:val="000000000000" w:firstRow="0" w:lastRow="0" w:firstColumn="0" w:lastColumn="0" w:oddVBand="0" w:evenVBand="0" w:oddHBand="0" w:evenHBand="0" w:firstRowFirstColumn="0" w:firstRowLastColumn="0" w:lastRowFirstColumn="0" w:lastRowLastColumn="0"/>
              <w:rPr>
                <w:rFonts w:cstheme="minorHAnsi"/>
                <w:i/>
                <w:iCs/>
              </w:rPr>
            </w:pPr>
            <w:r w:rsidRPr="00780E30">
              <w:rPr>
                <w:rFonts w:cstheme="minorHAnsi"/>
                <w:i/>
                <w:iCs/>
              </w:rPr>
              <w:t>2920</w:t>
            </w:r>
          </w:p>
        </w:tc>
        <w:tc>
          <w:tcPr>
            <w:tcW w:w="0" w:type="auto"/>
            <w:noWrap/>
            <w:hideMark/>
          </w:tcPr>
          <w:p w14:paraId="63B5603D" w14:textId="77777777" w:rsidR="00C66693" w:rsidRPr="00780E30" w:rsidRDefault="00C66693" w:rsidP="00504CBB">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CXCL2</w:t>
            </w:r>
          </w:p>
        </w:tc>
        <w:tc>
          <w:tcPr>
            <w:tcW w:w="0" w:type="auto"/>
            <w:noWrap/>
            <w:hideMark/>
          </w:tcPr>
          <w:p w14:paraId="4039F77A" w14:textId="77777777" w:rsidR="00C66693" w:rsidRPr="00C66693" w:rsidRDefault="00C66693" w:rsidP="00C66693">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color w:val="333333"/>
                <w:sz w:val="22"/>
                <w:szCs w:val="22"/>
              </w:rPr>
            </w:pPr>
          </w:p>
        </w:tc>
        <w:tc>
          <w:tcPr>
            <w:tcW w:w="0" w:type="auto"/>
            <w:noWrap/>
            <w:hideMark/>
          </w:tcPr>
          <w:p w14:paraId="0AD7CBB4" w14:textId="77777777" w:rsidR="00C66693" w:rsidRPr="00780E30" w:rsidRDefault="00C66693" w:rsidP="00504CBB">
            <w:pPr>
              <w:jc w:val="right"/>
              <w:cnfStyle w:val="000000000000" w:firstRow="0" w:lastRow="0" w:firstColumn="0" w:lastColumn="0" w:oddVBand="0" w:evenVBand="0" w:oddHBand="0" w:evenHBand="0" w:firstRowFirstColumn="0" w:firstRowLastColumn="0" w:lastRowFirstColumn="0" w:lastRowLastColumn="0"/>
              <w:rPr>
                <w:rFonts w:cstheme="minorHAnsi"/>
                <w:i/>
                <w:iCs/>
              </w:rPr>
            </w:pPr>
            <w:r w:rsidRPr="00780E30">
              <w:rPr>
                <w:rFonts w:cstheme="minorHAnsi"/>
                <w:i/>
                <w:iCs/>
              </w:rPr>
              <w:t>1951</w:t>
            </w:r>
          </w:p>
        </w:tc>
        <w:tc>
          <w:tcPr>
            <w:tcW w:w="0" w:type="auto"/>
            <w:noWrap/>
            <w:hideMark/>
          </w:tcPr>
          <w:p w14:paraId="13AE7DB4" w14:textId="77777777" w:rsidR="00C66693" w:rsidRPr="00780E30" w:rsidRDefault="00C66693" w:rsidP="00504CBB">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CELSR3</w:t>
            </w:r>
          </w:p>
        </w:tc>
      </w:tr>
      <w:tr w:rsidR="00C66693" w:rsidRPr="00C66693" w14:paraId="2F1E025B" w14:textId="77777777" w:rsidTr="00780E30">
        <w:trPr>
          <w:cnfStyle w:val="000000100000" w:firstRow="0" w:lastRow="0" w:firstColumn="0" w:lastColumn="0" w:oddVBand="0" w:evenVBand="0" w:oddHBand="1" w:evenHBand="0" w:firstRowFirstColumn="0" w:firstRowLastColumn="0" w:lastRowFirstColumn="0" w:lastRowLastColumn="0"/>
          <w:trHeight w:val="399"/>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65829628" w14:textId="77777777" w:rsidR="00C66693" w:rsidRPr="00C66693" w:rsidRDefault="00C66693" w:rsidP="00504CBB">
            <w:pPr>
              <w:jc w:val="right"/>
              <w:rPr>
                <w:rFonts w:cstheme="minorHAnsi"/>
                <w:b w:val="0"/>
                <w:bCs w:val="0"/>
                <w:i/>
                <w:iCs/>
              </w:rPr>
            </w:pPr>
            <w:r w:rsidRPr="00C66693">
              <w:rPr>
                <w:rFonts w:cstheme="minorHAnsi"/>
                <w:b w:val="0"/>
                <w:bCs w:val="0"/>
                <w:i/>
                <w:iCs/>
              </w:rPr>
              <w:t>24147</w:t>
            </w:r>
          </w:p>
        </w:tc>
        <w:tc>
          <w:tcPr>
            <w:tcW w:w="0" w:type="auto"/>
            <w:noWrap/>
            <w:hideMark/>
          </w:tcPr>
          <w:p w14:paraId="5DC75731" w14:textId="77777777" w:rsidR="00C66693" w:rsidRPr="00780E30" w:rsidRDefault="00C66693" w:rsidP="00504CBB">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FJX1</w:t>
            </w:r>
          </w:p>
        </w:tc>
        <w:tc>
          <w:tcPr>
            <w:tcW w:w="0" w:type="auto"/>
            <w:noWrap/>
            <w:hideMark/>
          </w:tcPr>
          <w:p w14:paraId="4368EAC3" w14:textId="77777777" w:rsidR="00C66693" w:rsidRPr="00C66693" w:rsidRDefault="00C66693" w:rsidP="00C66693">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color w:val="333333"/>
                <w:sz w:val="22"/>
                <w:szCs w:val="22"/>
              </w:rPr>
            </w:pPr>
          </w:p>
        </w:tc>
        <w:tc>
          <w:tcPr>
            <w:tcW w:w="0" w:type="auto"/>
            <w:noWrap/>
            <w:hideMark/>
          </w:tcPr>
          <w:p w14:paraId="2B030D43" w14:textId="77777777" w:rsidR="00C66693" w:rsidRPr="00780E30" w:rsidRDefault="00C66693" w:rsidP="00504CBB">
            <w:pPr>
              <w:jc w:val="right"/>
              <w:cnfStyle w:val="000000100000" w:firstRow="0" w:lastRow="0" w:firstColumn="0" w:lastColumn="0" w:oddVBand="0" w:evenVBand="0" w:oddHBand="1" w:evenHBand="0" w:firstRowFirstColumn="0" w:firstRowLastColumn="0" w:lastRowFirstColumn="0" w:lastRowLastColumn="0"/>
              <w:rPr>
                <w:rFonts w:cstheme="minorHAnsi"/>
                <w:i/>
                <w:iCs/>
              </w:rPr>
            </w:pPr>
            <w:r w:rsidRPr="00780E30">
              <w:rPr>
                <w:rFonts w:cstheme="minorHAnsi"/>
                <w:i/>
                <w:iCs/>
              </w:rPr>
              <w:t>4070</w:t>
            </w:r>
          </w:p>
        </w:tc>
        <w:tc>
          <w:tcPr>
            <w:tcW w:w="0" w:type="auto"/>
            <w:noWrap/>
            <w:hideMark/>
          </w:tcPr>
          <w:p w14:paraId="2F2095B0" w14:textId="77777777" w:rsidR="00C66693" w:rsidRPr="00780E30" w:rsidRDefault="00C66693" w:rsidP="00504CBB">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TACSTD2</w:t>
            </w:r>
          </w:p>
        </w:tc>
        <w:tc>
          <w:tcPr>
            <w:tcW w:w="0" w:type="auto"/>
            <w:noWrap/>
            <w:hideMark/>
          </w:tcPr>
          <w:p w14:paraId="101B4C52" w14:textId="77777777" w:rsidR="00C66693" w:rsidRPr="00C66693" w:rsidRDefault="00C66693" w:rsidP="00C66693">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color w:val="333333"/>
                <w:sz w:val="22"/>
                <w:szCs w:val="22"/>
              </w:rPr>
            </w:pPr>
          </w:p>
        </w:tc>
        <w:tc>
          <w:tcPr>
            <w:tcW w:w="0" w:type="auto"/>
            <w:noWrap/>
            <w:hideMark/>
          </w:tcPr>
          <w:p w14:paraId="024B8EEE" w14:textId="77777777" w:rsidR="00C66693" w:rsidRPr="00780E30" w:rsidRDefault="00C66693" w:rsidP="00504CBB">
            <w:pPr>
              <w:jc w:val="right"/>
              <w:cnfStyle w:val="000000100000" w:firstRow="0" w:lastRow="0" w:firstColumn="0" w:lastColumn="0" w:oddVBand="0" w:evenVBand="0" w:oddHBand="1" w:evenHBand="0" w:firstRowFirstColumn="0" w:firstRowLastColumn="0" w:lastRowFirstColumn="0" w:lastRowLastColumn="0"/>
              <w:rPr>
                <w:rFonts w:cstheme="minorHAnsi"/>
                <w:i/>
                <w:iCs/>
              </w:rPr>
            </w:pPr>
            <w:r w:rsidRPr="00780E30">
              <w:rPr>
                <w:rFonts w:cstheme="minorHAnsi"/>
                <w:i/>
                <w:iCs/>
              </w:rPr>
              <w:t>5462</w:t>
            </w:r>
          </w:p>
        </w:tc>
        <w:tc>
          <w:tcPr>
            <w:tcW w:w="0" w:type="auto"/>
            <w:noWrap/>
            <w:hideMark/>
          </w:tcPr>
          <w:p w14:paraId="27B6E939" w14:textId="77777777" w:rsidR="00C66693" w:rsidRPr="00780E30" w:rsidRDefault="00C66693" w:rsidP="00504CBB">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POU5F1B</w:t>
            </w:r>
          </w:p>
        </w:tc>
      </w:tr>
      <w:tr w:rsidR="00C66693" w:rsidRPr="00C66693" w14:paraId="08730455" w14:textId="77777777" w:rsidTr="00780E30">
        <w:trPr>
          <w:trHeight w:val="399"/>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2D4D34F3" w14:textId="77777777" w:rsidR="00C66693" w:rsidRPr="00C66693" w:rsidRDefault="00C66693" w:rsidP="00504CBB">
            <w:pPr>
              <w:jc w:val="right"/>
              <w:rPr>
                <w:rFonts w:cstheme="minorHAnsi"/>
                <w:b w:val="0"/>
                <w:bCs w:val="0"/>
                <w:i/>
                <w:iCs/>
              </w:rPr>
            </w:pPr>
            <w:r w:rsidRPr="00C66693">
              <w:rPr>
                <w:rFonts w:cstheme="minorHAnsi"/>
                <w:b w:val="0"/>
                <w:bCs w:val="0"/>
                <w:i/>
                <w:iCs/>
              </w:rPr>
              <w:t>54997</w:t>
            </w:r>
          </w:p>
        </w:tc>
        <w:tc>
          <w:tcPr>
            <w:tcW w:w="0" w:type="auto"/>
            <w:noWrap/>
            <w:hideMark/>
          </w:tcPr>
          <w:p w14:paraId="05F52A98" w14:textId="77777777" w:rsidR="00C66693" w:rsidRPr="00780E30" w:rsidRDefault="00C66693" w:rsidP="00504CBB">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TESC</w:t>
            </w:r>
          </w:p>
        </w:tc>
        <w:tc>
          <w:tcPr>
            <w:tcW w:w="0" w:type="auto"/>
            <w:noWrap/>
            <w:hideMark/>
          </w:tcPr>
          <w:p w14:paraId="296FB44E" w14:textId="77777777" w:rsidR="00C66693" w:rsidRPr="00C66693" w:rsidRDefault="00C66693" w:rsidP="00C66693">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color w:val="333333"/>
                <w:sz w:val="22"/>
                <w:szCs w:val="22"/>
              </w:rPr>
            </w:pPr>
          </w:p>
        </w:tc>
        <w:tc>
          <w:tcPr>
            <w:tcW w:w="0" w:type="auto"/>
            <w:noWrap/>
            <w:hideMark/>
          </w:tcPr>
          <w:p w14:paraId="3D64D8D2" w14:textId="77777777" w:rsidR="00C66693" w:rsidRPr="00780E30" w:rsidRDefault="00C66693" w:rsidP="00504CBB">
            <w:pPr>
              <w:jc w:val="right"/>
              <w:cnfStyle w:val="000000000000" w:firstRow="0" w:lastRow="0" w:firstColumn="0" w:lastColumn="0" w:oddVBand="0" w:evenVBand="0" w:oddHBand="0" w:evenHBand="0" w:firstRowFirstColumn="0" w:firstRowLastColumn="0" w:lastRowFirstColumn="0" w:lastRowLastColumn="0"/>
              <w:rPr>
                <w:rFonts w:cstheme="minorHAnsi"/>
                <w:i/>
                <w:iCs/>
              </w:rPr>
            </w:pPr>
            <w:r w:rsidRPr="00780E30">
              <w:rPr>
                <w:rFonts w:cstheme="minorHAnsi"/>
                <w:i/>
                <w:iCs/>
              </w:rPr>
              <w:t>1800</w:t>
            </w:r>
          </w:p>
        </w:tc>
        <w:tc>
          <w:tcPr>
            <w:tcW w:w="0" w:type="auto"/>
            <w:noWrap/>
            <w:hideMark/>
          </w:tcPr>
          <w:p w14:paraId="60DECAE0" w14:textId="77777777" w:rsidR="00C66693" w:rsidRPr="00780E30" w:rsidRDefault="00C66693" w:rsidP="00504CBB">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DPEP1</w:t>
            </w:r>
          </w:p>
        </w:tc>
        <w:tc>
          <w:tcPr>
            <w:tcW w:w="0" w:type="auto"/>
            <w:noWrap/>
            <w:hideMark/>
          </w:tcPr>
          <w:p w14:paraId="5E19E45E" w14:textId="77777777" w:rsidR="00C66693" w:rsidRPr="00C66693" w:rsidRDefault="00C66693" w:rsidP="00C66693">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color w:val="333333"/>
                <w:sz w:val="22"/>
                <w:szCs w:val="22"/>
              </w:rPr>
            </w:pPr>
          </w:p>
        </w:tc>
        <w:tc>
          <w:tcPr>
            <w:tcW w:w="0" w:type="auto"/>
            <w:noWrap/>
            <w:hideMark/>
          </w:tcPr>
          <w:p w14:paraId="225AC0B1" w14:textId="77777777" w:rsidR="00C66693" w:rsidRPr="00780E30" w:rsidRDefault="00C66693" w:rsidP="00504CBB">
            <w:pPr>
              <w:jc w:val="right"/>
              <w:cnfStyle w:val="000000000000" w:firstRow="0" w:lastRow="0" w:firstColumn="0" w:lastColumn="0" w:oddVBand="0" w:evenVBand="0" w:oddHBand="0" w:evenHBand="0" w:firstRowFirstColumn="0" w:firstRowLastColumn="0" w:lastRowFirstColumn="0" w:lastRowLastColumn="0"/>
              <w:rPr>
                <w:rFonts w:cstheme="minorHAnsi"/>
                <w:i/>
                <w:iCs/>
              </w:rPr>
            </w:pPr>
            <w:r w:rsidRPr="00780E30">
              <w:rPr>
                <w:rFonts w:cstheme="minorHAnsi"/>
                <w:i/>
                <w:iCs/>
              </w:rPr>
              <w:t>4609</w:t>
            </w:r>
          </w:p>
        </w:tc>
        <w:tc>
          <w:tcPr>
            <w:tcW w:w="0" w:type="auto"/>
            <w:noWrap/>
            <w:hideMark/>
          </w:tcPr>
          <w:p w14:paraId="0E9F1847" w14:textId="77777777" w:rsidR="00C66693" w:rsidRPr="00780E30" w:rsidRDefault="00C66693" w:rsidP="00504CBB">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MYC</w:t>
            </w:r>
          </w:p>
        </w:tc>
      </w:tr>
      <w:tr w:rsidR="00C66693" w:rsidRPr="00C66693" w14:paraId="24BA2409" w14:textId="77777777" w:rsidTr="00780E30">
        <w:trPr>
          <w:cnfStyle w:val="000000100000" w:firstRow="0" w:lastRow="0" w:firstColumn="0" w:lastColumn="0" w:oddVBand="0" w:evenVBand="0" w:oddHBand="1" w:evenHBand="0" w:firstRowFirstColumn="0" w:firstRowLastColumn="0" w:lastRowFirstColumn="0" w:lastRowLastColumn="0"/>
          <w:trHeight w:val="399"/>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3F79EE9F" w14:textId="77777777" w:rsidR="00C66693" w:rsidRPr="00C66693" w:rsidRDefault="00C66693" w:rsidP="00504CBB">
            <w:pPr>
              <w:jc w:val="right"/>
              <w:rPr>
                <w:rFonts w:cstheme="minorHAnsi"/>
                <w:b w:val="0"/>
                <w:bCs w:val="0"/>
                <w:i/>
                <w:iCs/>
              </w:rPr>
            </w:pPr>
            <w:r w:rsidRPr="00C66693">
              <w:rPr>
                <w:rFonts w:cstheme="minorHAnsi"/>
                <w:b w:val="0"/>
                <w:bCs w:val="0"/>
                <w:i/>
                <w:iCs/>
              </w:rPr>
              <w:t>8862</w:t>
            </w:r>
          </w:p>
        </w:tc>
        <w:tc>
          <w:tcPr>
            <w:tcW w:w="0" w:type="auto"/>
            <w:noWrap/>
            <w:hideMark/>
          </w:tcPr>
          <w:p w14:paraId="43C41703" w14:textId="77777777" w:rsidR="00C66693" w:rsidRPr="00780E30" w:rsidRDefault="00C66693" w:rsidP="00504CBB">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APLN</w:t>
            </w:r>
          </w:p>
        </w:tc>
        <w:tc>
          <w:tcPr>
            <w:tcW w:w="0" w:type="auto"/>
            <w:noWrap/>
            <w:hideMark/>
          </w:tcPr>
          <w:p w14:paraId="54B3B258" w14:textId="77777777" w:rsidR="00C66693" w:rsidRPr="00C66693" w:rsidRDefault="00C66693" w:rsidP="00C66693">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color w:val="333333"/>
                <w:sz w:val="22"/>
                <w:szCs w:val="22"/>
              </w:rPr>
            </w:pPr>
          </w:p>
        </w:tc>
        <w:tc>
          <w:tcPr>
            <w:tcW w:w="0" w:type="auto"/>
            <w:noWrap/>
            <w:hideMark/>
          </w:tcPr>
          <w:p w14:paraId="0CCDB529" w14:textId="77777777" w:rsidR="00C66693" w:rsidRPr="00780E30" w:rsidRDefault="00C66693" w:rsidP="00504CBB">
            <w:pPr>
              <w:jc w:val="right"/>
              <w:cnfStyle w:val="000000100000" w:firstRow="0" w:lastRow="0" w:firstColumn="0" w:lastColumn="0" w:oddVBand="0" w:evenVBand="0" w:oddHBand="1" w:evenHBand="0" w:firstRowFirstColumn="0" w:firstRowLastColumn="0" w:lastRowFirstColumn="0" w:lastRowLastColumn="0"/>
              <w:rPr>
                <w:rFonts w:cstheme="minorHAnsi"/>
                <w:i/>
                <w:iCs/>
              </w:rPr>
            </w:pPr>
            <w:r w:rsidRPr="00780E30">
              <w:rPr>
                <w:rFonts w:cstheme="minorHAnsi"/>
                <w:i/>
                <w:iCs/>
              </w:rPr>
              <w:t>10309</w:t>
            </w:r>
          </w:p>
        </w:tc>
        <w:tc>
          <w:tcPr>
            <w:tcW w:w="0" w:type="auto"/>
            <w:noWrap/>
            <w:hideMark/>
          </w:tcPr>
          <w:p w14:paraId="4AAB9B8B" w14:textId="77777777" w:rsidR="00C66693" w:rsidRPr="00780E30" w:rsidRDefault="00C66693" w:rsidP="00504CBB">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CCNO</w:t>
            </w:r>
          </w:p>
        </w:tc>
        <w:tc>
          <w:tcPr>
            <w:tcW w:w="0" w:type="auto"/>
            <w:noWrap/>
            <w:hideMark/>
          </w:tcPr>
          <w:p w14:paraId="347AFF6F" w14:textId="77777777" w:rsidR="00C66693" w:rsidRPr="00C66693" w:rsidRDefault="00C66693" w:rsidP="00C66693">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color w:val="333333"/>
                <w:sz w:val="22"/>
                <w:szCs w:val="22"/>
              </w:rPr>
            </w:pPr>
          </w:p>
        </w:tc>
        <w:tc>
          <w:tcPr>
            <w:tcW w:w="0" w:type="auto"/>
            <w:noWrap/>
            <w:hideMark/>
          </w:tcPr>
          <w:p w14:paraId="6DA61A4A" w14:textId="77777777" w:rsidR="00C66693" w:rsidRPr="00780E30" w:rsidRDefault="00C66693" w:rsidP="00504CBB">
            <w:pPr>
              <w:jc w:val="right"/>
              <w:cnfStyle w:val="000000100000" w:firstRow="0" w:lastRow="0" w:firstColumn="0" w:lastColumn="0" w:oddVBand="0" w:evenVBand="0" w:oddHBand="1" w:evenHBand="0" w:firstRowFirstColumn="0" w:firstRowLastColumn="0" w:lastRowFirstColumn="0" w:lastRowLastColumn="0"/>
              <w:rPr>
                <w:rFonts w:cstheme="minorHAnsi"/>
                <w:i/>
                <w:iCs/>
              </w:rPr>
            </w:pPr>
            <w:r w:rsidRPr="00780E30">
              <w:rPr>
                <w:rFonts w:cstheme="minorHAnsi"/>
                <w:i/>
                <w:iCs/>
              </w:rPr>
              <w:t>10808</w:t>
            </w:r>
          </w:p>
        </w:tc>
        <w:tc>
          <w:tcPr>
            <w:tcW w:w="0" w:type="auto"/>
            <w:noWrap/>
            <w:hideMark/>
          </w:tcPr>
          <w:p w14:paraId="184B8857" w14:textId="77777777" w:rsidR="00C66693" w:rsidRPr="00780E30" w:rsidRDefault="00C66693" w:rsidP="00504CBB">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HSPH1</w:t>
            </w:r>
          </w:p>
        </w:tc>
      </w:tr>
      <w:tr w:rsidR="00C66693" w:rsidRPr="00C66693" w14:paraId="41A8B946" w14:textId="77777777" w:rsidTr="00780E30">
        <w:trPr>
          <w:trHeight w:val="399"/>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14052A1D" w14:textId="77777777" w:rsidR="00C66693" w:rsidRPr="00C66693" w:rsidRDefault="00C66693" w:rsidP="00504CBB">
            <w:pPr>
              <w:jc w:val="right"/>
              <w:rPr>
                <w:rFonts w:cstheme="minorHAnsi"/>
                <w:b w:val="0"/>
                <w:bCs w:val="0"/>
                <w:i/>
                <w:iCs/>
              </w:rPr>
            </w:pPr>
            <w:r w:rsidRPr="00C66693">
              <w:rPr>
                <w:rFonts w:cstheme="minorHAnsi"/>
                <w:b w:val="0"/>
                <w:bCs w:val="0"/>
                <w:i/>
                <w:iCs/>
              </w:rPr>
              <w:t>6373</w:t>
            </w:r>
          </w:p>
        </w:tc>
        <w:tc>
          <w:tcPr>
            <w:tcW w:w="0" w:type="auto"/>
            <w:noWrap/>
            <w:hideMark/>
          </w:tcPr>
          <w:p w14:paraId="252D60E5" w14:textId="77777777" w:rsidR="00C66693" w:rsidRPr="00780E30" w:rsidRDefault="00C66693" w:rsidP="00504CBB">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CXCL11</w:t>
            </w:r>
          </w:p>
        </w:tc>
        <w:tc>
          <w:tcPr>
            <w:tcW w:w="0" w:type="auto"/>
            <w:noWrap/>
            <w:hideMark/>
          </w:tcPr>
          <w:p w14:paraId="58EAFA2C" w14:textId="77777777" w:rsidR="00C66693" w:rsidRPr="00C66693" w:rsidRDefault="00C66693" w:rsidP="00C66693">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color w:val="333333"/>
                <w:sz w:val="22"/>
                <w:szCs w:val="22"/>
              </w:rPr>
            </w:pPr>
          </w:p>
        </w:tc>
        <w:tc>
          <w:tcPr>
            <w:tcW w:w="0" w:type="auto"/>
            <w:noWrap/>
            <w:hideMark/>
          </w:tcPr>
          <w:p w14:paraId="498C40AD" w14:textId="77777777" w:rsidR="00C66693" w:rsidRPr="00780E30" w:rsidRDefault="00C66693" w:rsidP="00504CBB">
            <w:pPr>
              <w:jc w:val="right"/>
              <w:cnfStyle w:val="000000000000" w:firstRow="0" w:lastRow="0" w:firstColumn="0" w:lastColumn="0" w:oddVBand="0" w:evenVBand="0" w:oddHBand="0" w:evenHBand="0" w:firstRowFirstColumn="0" w:firstRowLastColumn="0" w:lastRowFirstColumn="0" w:lastRowLastColumn="0"/>
              <w:rPr>
                <w:rFonts w:cstheme="minorHAnsi"/>
                <w:i/>
                <w:iCs/>
              </w:rPr>
            </w:pPr>
            <w:r w:rsidRPr="00780E30">
              <w:rPr>
                <w:rFonts w:cstheme="minorHAnsi"/>
                <w:i/>
                <w:iCs/>
              </w:rPr>
              <w:t>29968</w:t>
            </w:r>
          </w:p>
        </w:tc>
        <w:tc>
          <w:tcPr>
            <w:tcW w:w="0" w:type="auto"/>
            <w:noWrap/>
            <w:hideMark/>
          </w:tcPr>
          <w:p w14:paraId="249A0CC2" w14:textId="77777777" w:rsidR="00C66693" w:rsidRPr="00780E30" w:rsidRDefault="00C66693" w:rsidP="00504CBB">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PSAT1</w:t>
            </w:r>
          </w:p>
        </w:tc>
        <w:tc>
          <w:tcPr>
            <w:tcW w:w="0" w:type="auto"/>
            <w:noWrap/>
            <w:hideMark/>
          </w:tcPr>
          <w:p w14:paraId="44E83522" w14:textId="77777777" w:rsidR="00C66693" w:rsidRPr="00C66693" w:rsidRDefault="00C66693" w:rsidP="00C66693">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color w:val="333333"/>
                <w:sz w:val="22"/>
                <w:szCs w:val="22"/>
              </w:rPr>
            </w:pPr>
          </w:p>
        </w:tc>
        <w:tc>
          <w:tcPr>
            <w:tcW w:w="0" w:type="auto"/>
            <w:noWrap/>
            <w:hideMark/>
          </w:tcPr>
          <w:p w14:paraId="1B4B3E35" w14:textId="77777777" w:rsidR="00C66693" w:rsidRPr="00780E30" w:rsidRDefault="00C66693" w:rsidP="00504CBB">
            <w:pPr>
              <w:jc w:val="right"/>
              <w:cnfStyle w:val="000000000000" w:firstRow="0" w:lastRow="0" w:firstColumn="0" w:lastColumn="0" w:oddVBand="0" w:evenVBand="0" w:oddHBand="0" w:evenHBand="0" w:firstRowFirstColumn="0" w:firstRowLastColumn="0" w:lastRowFirstColumn="0" w:lastRowLastColumn="0"/>
              <w:rPr>
                <w:rFonts w:cstheme="minorHAnsi"/>
                <w:i/>
                <w:iCs/>
              </w:rPr>
            </w:pPr>
            <w:r w:rsidRPr="00780E30">
              <w:rPr>
                <w:rFonts w:cstheme="minorHAnsi"/>
                <w:i/>
                <w:iCs/>
              </w:rPr>
              <w:t>143458</w:t>
            </w:r>
          </w:p>
        </w:tc>
        <w:tc>
          <w:tcPr>
            <w:tcW w:w="0" w:type="auto"/>
            <w:noWrap/>
            <w:hideMark/>
          </w:tcPr>
          <w:p w14:paraId="309E3D77" w14:textId="77777777" w:rsidR="00C66693" w:rsidRPr="00780E30" w:rsidRDefault="00C66693" w:rsidP="00504CBB">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LDLRAD3</w:t>
            </w:r>
          </w:p>
        </w:tc>
      </w:tr>
      <w:tr w:rsidR="00C66693" w:rsidRPr="00C66693" w14:paraId="6F368475" w14:textId="77777777" w:rsidTr="00780E30">
        <w:trPr>
          <w:cnfStyle w:val="000000100000" w:firstRow="0" w:lastRow="0" w:firstColumn="0" w:lastColumn="0" w:oddVBand="0" w:evenVBand="0" w:oddHBand="1" w:evenHBand="0" w:firstRowFirstColumn="0" w:firstRowLastColumn="0" w:lastRowFirstColumn="0" w:lastRowLastColumn="0"/>
          <w:trHeight w:val="399"/>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00D8915E" w14:textId="77777777" w:rsidR="00C66693" w:rsidRPr="00C66693" w:rsidRDefault="00C66693" w:rsidP="00504CBB">
            <w:pPr>
              <w:jc w:val="right"/>
              <w:rPr>
                <w:rFonts w:cstheme="minorHAnsi"/>
                <w:b w:val="0"/>
                <w:bCs w:val="0"/>
                <w:i/>
                <w:iCs/>
              </w:rPr>
            </w:pPr>
            <w:r w:rsidRPr="00C66693">
              <w:rPr>
                <w:rFonts w:cstheme="minorHAnsi"/>
                <w:b w:val="0"/>
                <w:bCs w:val="0"/>
                <w:i/>
                <w:iCs/>
              </w:rPr>
              <w:t>80131</w:t>
            </w:r>
          </w:p>
        </w:tc>
        <w:tc>
          <w:tcPr>
            <w:tcW w:w="0" w:type="auto"/>
            <w:noWrap/>
            <w:hideMark/>
          </w:tcPr>
          <w:p w14:paraId="0F4D7BF3" w14:textId="77777777" w:rsidR="00C66693" w:rsidRPr="00780E30" w:rsidRDefault="00C66693" w:rsidP="00504CBB">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LRRC8E</w:t>
            </w:r>
          </w:p>
        </w:tc>
        <w:tc>
          <w:tcPr>
            <w:tcW w:w="0" w:type="auto"/>
            <w:noWrap/>
            <w:hideMark/>
          </w:tcPr>
          <w:p w14:paraId="2A98C09E" w14:textId="77777777" w:rsidR="00C66693" w:rsidRPr="00C66693" w:rsidRDefault="00C66693" w:rsidP="00C66693">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color w:val="333333"/>
                <w:sz w:val="22"/>
                <w:szCs w:val="22"/>
              </w:rPr>
            </w:pPr>
          </w:p>
        </w:tc>
        <w:tc>
          <w:tcPr>
            <w:tcW w:w="0" w:type="auto"/>
            <w:noWrap/>
            <w:hideMark/>
          </w:tcPr>
          <w:p w14:paraId="41223A3D" w14:textId="77777777" w:rsidR="00C66693" w:rsidRPr="00780E30" w:rsidRDefault="00C66693" w:rsidP="00504CBB">
            <w:pPr>
              <w:jc w:val="right"/>
              <w:cnfStyle w:val="000000100000" w:firstRow="0" w:lastRow="0" w:firstColumn="0" w:lastColumn="0" w:oddVBand="0" w:evenVBand="0" w:oddHBand="1" w:evenHBand="0" w:firstRowFirstColumn="0" w:firstRowLastColumn="0" w:lastRowFirstColumn="0" w:lastRowLastColumn="0"/>
              <w:rPr>
                <w:rFonts w:cstheme="minorHAnsi"/>
                <w:i/>
                <w:iCs/>
              </w:rPr>
            </w:pPr>
            <w:r w:rsidRPr="00780E30">
              <w:rPr>
                <w:rFonts w:cstheme="minorHAnsi"/>
                <w:i/>
                <w:iCs/>
              </w:rPr>
              <w:t>5054</w:t>
            </w:r>
          </w:p>
        </w:tc>
        <w:tc>
          <w:tcPr>
            <w:tcW w:w="0" w:type="auto"/>
            <w:noWrap/>
            <w:hideMark/>
          </w:tcPr>
          <w:p w14:paraId="59210745" w14:textId="77777777" w:rsidR="00C66693" w:rsidRPr="00780E30" w:rsidRDefault="00C66693" w:rsidP="00504CBB">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SERPINE1</w:t>
            </w:r>
          </w:p>
        </w:tc>
        <w:tc>
          <w:tcPr>
            <w:tcW w:w="0" w:type="auto"/>
            <w:noWrap/>
            <w:hideMark/>
          </w:tcPr>
          <w:p w14:paraId="6320C0C6" w14:textId="77777777" w:rsidR="00C66693" w:rsidRPr="00C66693" w:rsidRDefault="00C66693" w:rsidP="00C66693">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color w:val="333333"/>
                <w:sz w:val="22"/>
                <w:szCs w:val="22"/>
              </w:rPr>
            </w:pPr>
          </w:p>
        </w:tc>
        <w:tc>
          <w:tcPr>
            <w:tcW w:w="0" w:type="auto"/>
            <w:noWrap/>
            <w:hideMark/>
          </w:tcPr>
          <w:p w14:paraId="7A905C8B" w14:textId="77777777" w:rsidR="00C66693" w:rsidRPr="00780E30" w:rsidRDefault="00C66693" w:rsidP="00504CBB">
            <w:pPr>
              <w:jc w:val="right"/>
              <w:cnfStyle w:val="000000100000" w:firstRow="0" w:lastRow="0" w:firstColumn="0" w:lastColumn="0" w:oddVBand="0" w:evenVBand="0" w:oddHBand="1" w:evenHBand="0" w:firstRowFirstColumn="0" w:firstRowLastColumn="0" w:lastRowFirstColumn="0" w:lastRowLastColumn="0"/>
              <w:rPr>
                <w:rFonts w:cstheme="minorHAnsi"/>
                <w:i/>
                <w:iCs/>
              </w:rPr>
            </w:pPr>
            <w:r w:rsidRPr="00780E30">
              <w:rPr>
                <w:rFonts w:cstheme="minorHAnsi"/>
                <w:i/>
                <w:iCs/>
              </w:rPr>
              <w:t>5317</w:t>
            </w:r>
          </w:p>
        </w:tc>
        <w:tc>
          <w:tcPr>
            <w:tcW w:w="0" w:type="auto"/>
            <w:noWrap/>
            <w:hideMark/>
          </w:tcPr>
          <w:p w14:paraId="0F3B40ED" w14:textId="77777777" w:rsidR="00C66693" w:rsidRPr="00780E30" w:rsidRDefault="00C66693" w:rsidP="00504CBB">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PKP1</w:t>
            </w:r>
          </w:p>
        </w:tc>
      </w:tr>
      <w:tr w:rsidR="00C66693" w:rsidRPr="00C66693" w14:paraId="0D13BB13" w14:textId="77777777" w:rsidTr="00780E30">
        <w:trPr>
          <w:trHeight w:val="399"/>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19847DD5" w14:textId="77777777" w:rsidR="00C66693" w:rsidRPr="00C66693" w:rsidRDefault="00C66693" w:rsidP="00504CBB">
            <w:pPr>
              <w:jc w:val="right"/>
              <w:rPr>
                <w:rFonts w:cstheme="minorHAnsi"/>
                <w:b w:val="0"/>
                <w:bCs w:val="0"/>
                <w:i/>
                <w:iCs/>
              </w:rPr>
            </w:pPr>
            <w:r w:rsidRPr="00C66693">
              <w:rPr>
                <w:rFonts w:cstheme="minorHAnsi"/>
                <w:b w:val="0"/>
                <w:bCs w:val="0"/>
                <w:i/>
                <w:iCs/>
              </w:rPr>
              <w:t>10630</w:t>
            </w:r>
          </w:p>
        </w:tc>
        <w:tc>
          <w:tcPr>
            <w:tcW w:w="0" w:type="auto"/>
            <w:noWrap/>
            <w:hideMark/>
          </w:tcPr>
          <w:p w14:paraId="0ADC1BA4" w14:textId="77777777" w:rsidR="00C66693" w:rsidRPr="00780E30" w:rsidRDefault="00C66693" w:rsidP="00504CBB">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PDPN</w:t>
            </w:r>
          </w:p>
        </w:tc>
        <w:tc>
          <w:tcPr>
            <w:tcW w:w="0" w:type="auto"/>
            <w:noWrap/>
            <w:hideMark/>
          </w:tcPr>
          <w:p w14:paraId="391D0C17" w14:textId="77777777" w:rsidR="00C66693" w:rsidRPr="00C66693" w:rsidRDefault="00C66693" w:rsidP="00C66693">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color w:val="333333"/>
                <w:sz w:val="22"/>
                <w:szCs w:val="22"/>
              </w:rPr>
            </w:pPr>
          </w:p>
        </w:tc>
        <w:tc>
          <w:tcPr>
            <w:tcW w:w="0" w:type="auto"/>
            <w:noWrap/>
            <w:hideMark/>
          </w:tcPr>
          <w:p w14:paraId="2A6599F6" w14:textId="77777777" w:rsidR="00C66693" w:rsidRPr="00780E30" w:rsidRDefault="00C66693" w:rsidP="00504CBB">
            <w:pPr>
              <w:jc w:val="right"/>
              <w:cnfStyle w:val="000000000000" w:firstRow="0" w:lastRow="0" w:firstColumn="0" w:lastColumn="0" w:oddVBand="0" w:evenVBand="0" w:oddHBand="0" w:evenHBand="0" w:firstRowFirstColumn="0" w:firstRowLastColumn="0" w:lastRowFirstColumn="0" w:lastRowLastColumn="0"/>
              <w:rPr>
                <w:rFonts w:cstheme="minorHAnsi"/>
                <w:i/>
                <w:iCs/>
              </w:rPr>
            </w:pPr>
            <w:r w:rsidRPr="00780E30">
              <w:rPr>
                <w:rFonts w:cstheme="minorHAnsi"/>
                <w:i/>
                <w:iCs/>
              </w:rPr>
              <w:t>7038</w:t>
            </w:r>
          </w:p>
        </w:tc>
        <w:tc>
          <w:tcPr>
            <w:tcW w:w="0" w:type="auto"/>
            <w:noWrap/>
            <w:hideMark/>
          </w:tcPr>
          <w:p w14:paraId="16D03069" w14:textId="77777777" w:rsidR="00C66693" w:rsidRPr="00780E30" w:rsidRDefault="00C66693" w:rsidP="00504CBB">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TG</w:t>
            </w:r>
          </w:p>
        </w:tc>
        <w:tc>
          <w:tcPr>
            <w:tcW w:w="0" w:type="auto"/>
            <w:noWrap/>
            <w:hideMark/>
          </w:tcPr>
          <w:p w14:paraId="4BDDEEE8" w14:textId="77777777" w:rsidR="00C66693" w:rsidRPr="00C66693" w:rsidRDefault="00C66693" w:rsidP="00C66693">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color w:val="333333"/>
                <w:sz w:val="22"/>
                <w:szCs w:val="22"/>
              </w:rPr>
            </w:pPr>
          </w:p>
        </w:tc>
        <w:tc>
          <w:tcPr>
            <w:tcW w:w="0" w:type="auto"/>
            <w:noWrap/>
            <w:hideMark/>
          </w:tcPr>
          <w:p w14:paraId="1C230E0E" w14:textId="77777777" w:rsidR="00C66693" w:rsidRPr="00780E30" w:rsidRDefault="00C66693" w:rsidP="00504CBB">
            <w:pPr>
              <w:jc w:val="right"/>
              <w:cnfStyle w:val="000000000000" w:firstRow="0" w:lastRow="0" w:firstColumn="0" w:lastColumn="0" w:oddVBand="0" w:evenVBand="0" w:oddHBand="0" w:evenHBand="0" w:firstRowFirstColumn="0" w:firstRowLastColumn="0" w:lastRowFirstColumn="0" w:lastRowLastColumn="0"/>
              <w:rPr>
                <w:rFonts w:cstheme="minorHAnsi"/>
                <w:i/>
                <w:iCs/>
              </w:rPr>
            </w:pPr>
            <w:r w:rsidRPr="00780E30">
              <w:rPr>
                <w:rFonts w:cstheme="minorHAnsi"/>
                <w:i/>
                <w:iCs/>
              </w:rPr>
              <w:t>8519</w:t>
            </w:r>
          </w:p>
        </w:tc>
        <w:tc>
          <w:tcPr>
            <w:tcW w:w="0" w:type="auto"/>
            <w:noWrap/>
            <w:hideMark/>
          </w:tcPr>
          <w:p w14:paraId="07DEE56A" w14:textId="77777777" w:rsidR="00C66693" w:rsidRPr="00780E30" w:rsidRDefault="00C66693" w:rsidP="00504CBB">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IFITM1</w:t>
            </w:r>
          </w:p>
        </w:tc>
      </w:tr>
      <w:tr w:rsidR="00C66693" w:rsidRPr="00C66693" w14:paraId="6F3C1E21" w14:textId="77777777" w:rsidTr="00780E30">
        <w:trPr>
          <w:cnfStyle w:val="000000100000" w:firstRow="0" w:lastRow="0" w:firstColumn="0" w:lastColumn="0" w:oddVBand="0" w:evenVBand="0" w:oddHBand="1" w:evenHBand="0" w:firstRowFirstColumn="0" w:firstRowLastColumn="0" w:lastRowFirstColumn="0" w:lastRowLastColumn="0"/>
          <w:trHeight w:val="399"/>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48FC77C8" w14:textId="77777777" w:rsidR="00C66693" w:rsidRPr="00C66693" w:rsidRDefault="00C66693" w:rsidP="00504CBB">
            <w:pPr>
              <w:jc w:val="right"/>
              <w:rPr>
                <w:rFonts w:cstheme="minorHAnsi"/>
                <w:b w:val="0"/>
                <w:bCs w:val="0"/>
                <w:i/>
                <w:iCs/>
              </w:rPr>
            </w:pPr>
            <w:r w:rsidRPr="00C66693">
              <w:rPr>
                <w:rFonts w:cstheme="minorHAnsi"/>
                <w:b w:val="0"/>
                <w:bCs w:val="0"/>
                <w:i/>
                <w:iCs/>
              </w:rPr>
              <w:t>145741</w:t>
            </w:r>
          </w:p>
        </w:tc>
        <w:tc>
          <w:tcPr>
            <w:tcW w:w="0" w:type="auto"/>
            <w:noWrap/>
            <w:hideMark/>
          </w:tcPr>
          <w:p w14:paraId="188C101F" w14:textId="77777777" w:rsidR="00C66693" w:rsidRPr="00780E30" w:rsidRDefault="00C66693" w:rsidP="00504CBB">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C2CD4A</w:t>
            </w:r>
          </w:p>
        </w:tc>
        <w:tc>
          <w:tcPr>
            <w:tcW w:w="0" w:type="auto"/>
            <w:noWrap/>
            <w:hideMark/>
          </w:tcPr>
          <w:p w14:paraId="50532E48" w14:textId="77777777" w:rsidR="00C66693" w:rsidRPr="00C66693" w:rsidRDefault="00C66693" w:rsidP="00C66693">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color w:val="333333"/>
                <w:sz w:val="22"/>
                <w:szCs w:val="22"/>
              </w:rPr>
            </w:pPr>
          </w:p>
        </w:tc>
        <w:tc>
          <w:tcPr>
            <w:tcW w:w="0" w:type="auto"/>
            <w:noWrap/>
            <w:hideMark/>
          </w:tcPr>
          <w:p w14:paraId="222362C4" w14:textId="77777777" w:rsidR="00C66693" w:rsidRPr="00780E30" w:rsidRDefault="00C66693" w:rsidP="00504CBB">
            <w:pPr>
              <w:jc w:val="right"/>
              <w:cnfStyle w:val="000000100000" w:firstRow="0" w:lastRow="0" w:firstColumn="0" w:lastColumn="0" w:oddVBand="0" w:evenVBand="0" w:oddHBand="1" w:evenHBand="0" w:firstRowFirstColumn="0" w:firstRowLastColumn="0" w:lastRowFirstColumn="0" w:lastRowLastColumn="0"/>
              <w:rPr>
                <w:rFonts w:cstheme="minorHAnsi"/>
                <w:i/>
                <w:iCs/>
              </w:rPr>
            </w:pPr>
            <w:r w:rsidRPr="00780E30">
              <w:rPr>
                <w:rFonts w:cstheme="minorHAnsi"/>
                <w:i/>
                <w:iCs/>
              </w:rPr>
              <w:t>6713</w:t>
            </w:r>
          </w:p>
        </w:tc>
        <w:tc>
          <w:tcPr>
            <w:tcW w:w="0" w:type="auto"/>
            <w:noWrap/>
            <w:hideMark/>
          </w:tcPr>
          <w:p w14:paraId="4290AE2D" w14:textId="77777777" w:rsidR="00C66693" w:rsidRPr="00780E30" w:rsidRDefault="00C66693" w:rsidP="00504CBB">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SQLE</w:t>
            </w:r>
          </w:p>
        </w:tc>
        <w:tc>
          <w:tcPr>
            <w:tcW w:w="0" w:type="auto"/>
            <w:noWrap/>
            <w:hideMark/>
          </w:tcPr>
          <w:p w14:paraId="4376DE4C" w14:textId="77777777" w:rsidR="00C66693" w:rsidRPr="00C66693" w:rsidRDefault="00C66693" w:rsidP="00C66693">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color w:val="333333"/>
                <w:sz w:val="22"/>
                <w:szCs w:val="22"/>
              </w:rPr>
            </w:pPr>
          </w:p>
        </w:tc>
        <w:tc>
          <w:tcPr>
            <w:tcW w:w="0" w:type="auto"/>
            <w:noWrap/>
            <w:hideMark/>
          </w:tcPr>
          <w:p w14:paraId="423ADD4E" w14:textId="77777777" w:rsidR="00C66693" w:rsidRPr="00780E30" w:rsidRDefault="00C66693" w:rsidP="00504CBB">
            <w:pPr>
              <w:jc w:val="right"/>
              <w:cnfStyle w:val="000000100000" w:firstRow="0" w:lastRow="0" w:firstColumn="0" w:lastColumn="0" w:oddVBand="0" w:evenVBand="0" w:oddHBand="1" w:evenHBand="0" w:firstRowFirstColumn="0" w:firstRowLastColumn="0" w:lastRowFirstColumn="0" w:lastRowLastColumn="0"/>
              <w:rPr>
                <w:rFonts w:cstheme="minorHAnsi"/>
                <w:i/>
                <w:iCs/>
              </w:rPr>
            </w:pPr>
            <w:r w:rsidRPr="00780E30">
              <w:rPr>
                <w:rFonts w:cstheme="minorHAnsi"/>
                <w:i/>
                <w:iCs/>
              </w:rPr>
              <w:t>440145</w:t>
            </w:r>
          </w:p>
        </w:tc>
        <w:tc>
          <w:tcPr>
            <w:tcW w:w="0" w:type="auto"/>
            <w:noWrap/>
            <w:hideMark/>
          </w:tcPr>
          <w:p w14:paraId="6748CF0D" w14:textId="77777777" w:rsidR="00C66693" w:rsidRPr="00780E30" w:rsidRDefault="00C66693" w:rsidP="00504CBB">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MZT1</w:t>
            </w:r>
          </w:p>
        </w:tc>
      </w:tr>
      <w:tr w:rsidR="00C66693" w:rsidRPr="00C66693" w14:paraId="104BB648" w14:textId="77777777" w:rsidTr="00780E30">
        <w:trPr>
          <w:trHeight w:val="399"/>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705CD437" w14:textId="77777777" w:rsidR="00C66693" w:rsidRPr="00C66693" w:rsidRDefault="00C66693" w:rsidP="00504CBB">
            <w:pPr>
              <w:jc w:val="right"/>
              <w:rPr>
                <w:rFonts w:cstheme="minorHAnsi"/>
                <w:b w:val="0"/>
                <w:bCs w:val="0"/>
                <w:i/>
                <w:iCs/>
              </w:rPr>
            </w:pPr>
            <w:r w:rsidRPr="00C66693">
              <w:rPr>
                <w:rFonts w:cstheme="minorHAnsi"/>
                <w:b w:val="0"/>
                <w:bCs w:val="0"/>
                <w:i/>
                <w:iCs/>
              </w:rPr>
              <w:t>25984</w:t>
            </w:r>
          </w:p>
        </w:tc>
        <w:tc>
          <w:tcPr>
            <w:tcW w:w="0" w:type="auto"/>
            <w:noWrap/>
            <w:hideMark/>
          </w:tcPr>
          <w:p w14:paraId="3446487A" w14:textId="77777777" w:rsidR="00C66693" w:rsidRPr="00780E30" w:rsidRDefault="00C66693" w:rsidP="00504CBB">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KRT23</w:t>
            </w:r>
          </w:p>
        </w:tc>
        <w:tc>
          <w:tcPr>
            <w:tcW w:w="0" w:type="auto"/>
            <w:noWrap/>
            <w:hideMark/>
          </w:tcPr>
          <w:p w14:paraId="07574BF6" w14:textId="77777777" w:rsidR="00C66693" w:rsidRPr="00C66693" w:rsidRDefault="00C66693" w:rsidP="00C66693">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color w:val="333333"/>
                <w:sz w:val="22"/>
                <w:szCs w:val="22"/>
              </w:rPr>
            </w:pPr>
          </w:p>
        </w:tc>
        <w:tc>
          <w:tcPr>
            <w:tcW w:w="0" w:type="auto"/>
            <w:noWrap/>
            <w:hideMark/>
          </w:tcPr>
          <w:p w14:paraId="3B09D577" w14:textId="77777777" w:rsidR="00C66693" w:rsidRPr="00780E30" w:rsidRDefault="00C66693" w:rsidP="00504CBB">
            <w:pPr>
              <w:jc w:val="right"/>
              <w:cnfStyle w:val="000000000000" w:firstRow="0" w:lastRow="0" w:firstColumn="0" w:lastColumn="0" w:oddVBand="0" w:evenVBand="0" w:oddHBand="0" w:evenHBand="0" w:firstRowFirstColumn="0" w:firstRowLastColumn="0" w:lastRowFirstColumn="0" w:lastRowLastColumn="0"/>
              <w:rPr>
                <w:rFonts w:cstheme="minorHAnsi"/>
                <w:i/>
                <w:iCs/>
              </w:rPr>
            </w:pPr>
            <w:r w:rsidRPr="00780E30">
              <w:rPr>
                <w:rFonts w:cstheme="minorHAnsi"/>
                <w:i/>
                <w:iCs/>
              </w:rPr>
              <w:t>83959</w:t>
            </w:r>
          </w:p>
        </w:tc>
        <w:tc>
          <w:tcPr>
            <w:tcW w:w="0" w:type="auto"/>
            <w:noWrap/>
            <w:hideMark/>
          </w:tcPr>
          <w:p w14:paraId="034EF972" w14:textId="77777777" w:rsidR="00C66693" w:rsidRPr="00780E30" w:rsidRDefault="00C66693" w:rsidP="00504CBB">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SLC4A11</w:t>
            </w:r>
          </w:p>
        </w:tc>
        <w:tc>
          <w:tcPr>
            <w:tcW w:w="0" w:type="auto"/>
            <w:noWrap/>
            <w:hideMark/>
          </w:tcPr>
          <w:p w14:paraId="07C43B45" w14:textId="77777777" w:rsidR="00C66693" w:rsidRPr="00C66693" w:rsidRDefault="00C66693" w:rsidP="00C66693">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color w:val="333333"/>
                <w:sz w:val="22"/>
                <w:szCs w:val="22"/>
              </w:rPr>
            </w:pPr>
          </w:p>
        </w:tc>
        <w:tc>
          <w:tcPr>
            <w:tcW w:w="0" w:type="auto"/>
            <w:noWrap/>
            <w:hideMark/>
          </w:tcPr>
          <w:p w14:paraId="0E228A08" w14:textId="77777777" w:rsidR="00C66693" w:rsidRPr="00780E30" w:rsidRDefault="00C66693" w:rsidP="00504CBB">
            <w:pPr>
              <w:jc w:val="right"/>
              <w:cnfStyle w:val="000000000000" w:firstRow="0" w:lastRow="0" w:firstColumn="0" w:lastColumn="0" w:oddVBand="0" w:evenVBand="0" w:oddHBand="0" w:evenHBand="0" w:firstRowFirstColumn="0" w:firstRowLastColumn="0" w:lastRowFirstColumn="0" w:lastRowLastColumn="0"/>
              <w:rPr>
                <w:rFonts w:cstheme="minorHAnsi"/>
                <w:i/>
                <w:iCs/>
              </w:rPr>
            </w:pPr>
            <w:r w:rsidRPr="00780E30">
              <w:rPr>
                <w:rFonts w:cstheme="minorHAnsi"/>
                <w:i/>
                <w:iCs/>
              </w:rPr>
              <w:t>84319</w:t>
            </w:r>
          </w:p>
        </w:tc>
        <w:tc>
          <w:tcPr>
            <w:tcW w:w="0" w:type="auto"/>
            <w:noWrap/>
            <w:hideMark/>
          </w:tcPr>
          <w:p w14:paraId="5E1615B5" w14:textId="77777777" w:rsidR="00C66693" w:rsidRPr="00780E30" w:rsidRDefault="00C66693" w:rsidP="00504CBB">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CMSS1</w:t>
            </w:r>
          </w:p>
        </w:tc>
      </w:tr>
      <w:tr w:rsidR="00C66693" w:rsidRPr="00C66693" w14:paraId="09ECDCC7" w14:textId="77777777" w:rsidTr="00780E30">
        <w:trPr>
          <w:cnfStyle w:val="000000100000" w:firstRow="0" w:lastRow="0" w:firstColumn="0" w:lastColumn="0" w:oddVBand="0" w:evenVBand="0" w:oddHBand="1" w:evenHBand="0" w:firstRowFirstColumn="0" w:firstRowLastColumn="0" w:lastRowFirstColumn="0" w:lastRowLastColumn="0"/>
          <w:trHeight w:val="399"/>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439CAB24" w14:textId="77777777" w:rsidR="00C66693" w:rsidRPr="00C66693" w:rsidRDefault="00C66693" w:rsidP="00504CBB">
            <w:pPr>
              <w:jc w:val="right"/>
              <w:rPr>
                <w:rFonts w:cstheme="minorHAnsi"/>
                <w:b w:val="0"/>
                <w:bCs w:val="0"/>
                <w:i/>
                <w:iCs/>
              </w:rPr>
            </w:pPr>
            <w:r w:rsidRPr="00C66693">
              <w:rPr>
                <w:rFonts w:cstheme="minorHAnsi"/>
                <w:b w:val="0"/>
                <w:bCs w:val="0"/>
                <w:i/>
                <w:iCs/>
              </w:rPr>
              <w:t>1303</w:t>
            </w:r>
          </w:p>
        </w:tc>
        <w:tc>
          <w:tcPr>
            <w:tcW w:w="0" w:type="auto"/>
            <w:noWrap/>
            <w:hideMark/>
          </w:tcPr>
          <w:p w14:paraId="6C5E6CC0" w14:textId="77777777" w:rsidR="00C66693" w:rsidRPr="00780E30" w:rsidRDefault="00C66693" w:rsidP="00504CBB">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COL12A1</w:t>
            </w:r>
          </w:p>
        </w:tc>
        <w:tc>
          <w:tcPr>
            <w:tcW w:w="0" w:type="auto"/>
            <w:noWrap/>
            <w:hideMark/>
          </w:tcPr>
          <w:p w14:paraId="7D7EF86F" w14:textId="77777777" w:rsidR="00C66693" w:rsidRPr="00C66693" w:rsidRDefault="00C66693" w:rsidP="00C66693">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color w:val="333333"/>
                <w:sz w:val="22"/>
                <w:szCs w:val="22"/>
              </w:rPr>
            </w:pPr>
          </w:p>
        </w:tc>
        <w:tc>
          <w:tcPr>
            <w:tcW w:w="0" w:type="auto"/>
            <w:noWrap/>
            <w:hideMark/>
          </w:tcPr>
          <w:p w14:paraId="0B0DAFBE" w14:textId="77777777" w:rsidR="00C66693" w:rsidRPr="00780E30" w:rsidRDefault="00C66693" w:rsidP="00504CBB">
            <w:pPr>
              <w:jc w:val="right"/>
              <w:cnfStyle w:val="000000100000" w:firstRow="0" w:lastRow="0" w:firstColumn="0" w:lastColumn="0" w:oddVBand="0" w:evenVBand="0" w:oddHBand="1" w:evenHBand="0" w:firstRowFirstColumn="0" w:firstRowLastColumn="0" w:lastRowFirstColumn="0" w:lastRowLastColumn="0"/>
              <w:rPr>
                <w:rFonts w:cstheme="minorHAnsi"/>
                <w:i/>
                <w:iCs/>
              </w:rPr>
            </w:pPr>
            <w:r w:rsidRPr="00780E30">
              <w:rPr>
                <w:rFonts w:cstheme="minorHAnsi"/>
                <w:i/>
                <w:iCs/>
              </w:rPr>
              <w:t>9569</w:t>
            </w:r>
          </w:p>
        </w:tc>
        <w:tc>
          <w:tcPr>
            <w:tcW w:w="0" w:type="auto"/>
            <w:noWrap/>
            <w:hideMark/>
          </w:tcPr>
          <w:p w14:paraId="271BB16A" w14:textId="77777777" w:rsidR="00C66693" w:rsidRPr="00780E30" w:rsidRDefault="00C66693" w:rsidP="00504CBB">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GTF2IRD1</w:t>
            </w:r>
          </w:p>
        </w:tc>
        <w:tc>
          <w:tcPr>
            <w:tcW w:w="0" w:type="auto"/>
            <w:noWrap/>
            <w:hideMark/>
          </w:tcPr>
          <w:p w14:paraId="6C71FB7C" w14:textId="77777777" w:rsidR="00C66693" w:rsidRPr="00C66693" w:rsidRDefault="00C66693" w:rsidP="00C66693">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color w:val="333333"/>
                <w:sz w:val="22"/>
                <w:szCs w:val="22"/>
              </w:rPr>
            </w:pPr>
          </w:p>
        </w:tc>
        <w:tc>
          <w:tcPr>
            <w:tcW w:w="0" w:type="auto"/>
            <w:noWrap/>
            <w:hideMark/>
          </w:tcPr>
          <w:p w14:paraId="6BC9A4ED" w14:textId="77777777" w:rsidR="00C66693" w:rsidRPr="00780E30" w:rsidRDefault="00C66693" w:rsidP="00504CBB">
            <w:pPr>
              <w:jc w:val="right"/>
              <w:cnfStyle w:val="000000100000" w:firstRow="0" w:lastRow="0" w:firstColumn="0" w:lastColumn="0" w:oddVBand="0" w:evenVBand="0" w:oddHBand="1" w:evenHBand="0" w:firstRowFirstColumn="0" w:firstRowLastColumn="0" w:lastRowFirstColumn="0" w:lastRowLastColumn="0"/>
              <w:rPr>
                <w:rFonts w:cstheme="minorHAnsi"/>
                <w:i/>
                <w:iCs/>
              </w:rPr>
            </w:pPr>
            <w:r w:rsidRPr="00780E30">
              <w:rPr>
                <w:rFonts w:cstheme="minorHAnsi"/>
                <w:i/>
                <w:iCs/>
              </w:rPr>
              <w:t>56902</w:t>
            </w:r>
          </w:p>
        </w:tc>
        <w:tc>
          <w:tcPr>
            <w:tcW w:w="0" w:type="auto"/>
            <w:noWrap/>
            <w:hideMark/>
          </w:tcPr>
          <w:p w14:paraId="31C9130E" w14:textId="77777777" w:rsidR="00C66693" w:rsidRPr="00780E30" w:rsidRDefault="00C66693" w:rsidP="00504CBB">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PNO1</w:t>
            </w:r>
          </w:p>
        </w:tc>
      </w:tr>
      <w:tr w:rsidR="00C66693" w:rsidRPr="00C66693" w14:paraId="0EBE8F35" w14:textId="77777777" w:rsidTr="00780E30">
        <w:trPr>
          <w:trHeight w:val="399"/>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5EDE65DB" w14:textId="77777777" w:rsidR="00C66693" w:rsidRPr="00C66693" w:rsidRDefault="00C66693" w:rsidP="00504CBB">
            <w:pPr>
              <w:jc w:val="right"/>
              <w:rPr>
                <w:rFonts w:cstheme="minorHAnsi"/>
                <w:b w:val="0"/>
                <w:bCs w:val="0"/>
                <w:i/>
                <w:iCs/>
              </w:rPr>
            </w:pPr>
            <w:r w:rsidRPr="00C66693">
              <w:rPr>
                <w:rFonts w:cstheme="minorHAnsi"/>
                <w:b w:val="0"/>
                <w:bCs w:val="0"/>
                <w:i/>
                <w:iCs/>
              </w:rPr>
              <w:t>84962</w:t>
            </w:r>
          </w:p>
        </w:tc>
        <w:tc>
          <w:tcPr>
            <w:tcW w:w="0" w:type="auto"/>
            <w:noWrap/>
            <w:hideMark/>
          </w:tcPr>
          <w:p w14:paraId="14F658CE" w14:textId="77777777" w:rsidR="00C66693" w:rsidRPr="00780E30" w:rsidRDefault="00C66693" w:rsidP="00504CBB">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AJUBA</w:t>
            </w:r>
          </w:p>
        </w:tc>
        <w:tc>
          <w:tcPr>
            <w:tcW w:w="0" w:type="auto"/>
            <w:noWrap/>
            <w:hideMark/>
          </w:tcPr>
          <w:p w14:paraId="49B98CEF" w14:textId="77777777" w:rsidR="00C66693" w:rsidRPr="00C66693" w:rsidRDefault="00C66693" w:rsidP="00C66693">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color w:val="333333"/>
                <w:sz w:val="22"/>
                <w:szCs w:val="22"/>
              </w:rPr>
            </w:pPr>
          </w:p>
        </w:tc>
        <w:tc>
          <w:tcPr>
            <w:tcW w:w="0" w:type="auto"/>
            <w:noWrap/>
            <w:hideMark/>
          </w:tcPr>
          <w:p w14:paraId="6E608C35" w14:textId="77777777" w:rsidR="00C66693" w:rsidRPr="00780E30" w:rsidRDefault="00C66693" w:rsidP="00504CBB">
            <w:pPr>
              <w:jc w:val="right"/>
              <w:cnfStyle w:val="000000000000" w:firstRow="0" w:lastRow="0" w:firstColumn="0" w:lastColumn="0" w:oddVBand="0" w:evenVBand="0" w:oddHBand="0" w:evenHBand="0" w:firstRowFirstColumn="0" w:firstRowLastColumn="0" w:lastRowFirstColumn="0" w:lastRowLastColumn="0"/>
              <w:rPr>
                <w:rFonts w:cstheme="minorHAnsi"/>
                <w:i/>
                <w:iCs/>
              </w:rPr>
            </w:pPr>
            <w:r w:rsidRPr="00780E30">
              <w:rPr>
                <w:rFonts w:cstheme="minorHAnsi"/>
                <w:i/>
                <w:iCs/>
              </w:rPr>
              <w:t>6781</w:t>
            </w:r>
          </w:p>
        </w:tc>
        <w:tc>
          <w:tcPr>
            <w:tcW w:w="0" w:type="auto"/>
            <w:noWrap/>
            <w:hideMark/>
          </w:tcPr>
          <w:p w14:paraId="08EFAFDD" w14:textId="77777777" w:rsidR="00C66693" w:rsidRPr="00780E30" w:rsidRDefault="00C66693" w:rsidP="00504CBB">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STC1</w:t>
            </w:r>
          </w:p>
        </w:tc>
        <w:tc>
          <w:tcPr>
            <w:tcW w:w="0" w:type="auto"/>
            <w:noWrap/>
            <w:hideMark/>
          </w:tcPr>
          <w:p w14:paraId="6E3A6642" w14:textId="77777777" w:rsidR="00C66693" w:rsidRPr="00C66693" w:rsidRDefault="00C66693" w:rsidP="00C66693">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color w:val="333333"/>
                <w:sz w:val="22"/>
                <w:szCs w:val="22"/>
              </w:rPr>
            </w:pPr>
          </w:p>
        </w:tc>
        <w:tc>
          <w:tcPr>
            <w:tcW w:w="0" w:type="auto"/>
            <w:noWrap/>
            <w:hideMark/>
          </w:tcPr>
          <w:p w14:paraId="5171DBED" w14:textId="77777777" w:rsidR="00C66693" w:rsidRPr="00780E30" w:rsidRDefault="00C66693" w:rsidP="00504CBB">
            <w:pPr>
              <w:jc w:val="right"/>
              <w:cnfStyle w:val="000000000000" w:firstRow="0" w:lastRow="0" w:firstColumn="0" w:lastColumn="0" w:oddVBand="0" w:evenVBand="0" w:oddHBand="0" w:evenHBand="0" w:firstRowFirstColumn="0" w:firstRowLastColumn="0" w:lastRowFirstColumn="0" w:lastRowLastColumn="0"/>
              <w:rPr>
                <w:rFonts w:cstheme="minorHAnsi"/>
                <w:i/>
                <w:iCs/>
              </w:rPr>
            </w:pPr>
            <w:r w:rsidRPr="00780E30">
              <w:rPr>
                <w:rFonts w:cstheme="minorHAnsi"/>
                <w:i/>
                <w:iCs/>
              </w:rPr>
              <w:t>25879</w:t>
            </w:r>
          </w:p>
        </w:tc>
        <w:tc>
          <w:tcPr>
            <w:tcW w:w="0" w:type="auto"/>
            <w:noWrap/>
            <w:hideMark/>
          </w:tcPr>
          <w:p w14:paraId="180EE6F2" w14:textId="77777777" w:rsidR="00C66693" w:rsidRPr="00780E30" w:rsidRDefault="00C66693" w:rsidP="00504CBB">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DCAF13</w:t>
            </w:r>
          </w:p>
        </w:tc>
      </w:tr>
      <w:tr w:rsidR="00C66693" w:rsidRPr="00C66693" w14:paraId="331D5C2C" w14:textId="77777777" w:rsidTr="00780E30">
        <w:trPr>
          <w:cnfStyle w:val="000000100000" w:firstRow="0" w:lastRow="0" w:firstColumn="0" w:lastColumn="0" w:oddVBand="0" w:evenVBand="0" w:oddHBand="1" w:evenHBand="0" w:firstRowFirstColumn="0" w:firstRowLastColumn="0" w:lastRowFirstColumn="0" w:lastRowLastColumn="0"/>
          <w:trHeight w:val="399"/>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3F88AE0F" w14:textId="77777777" w:rsidR="00C66693" w:rsidRPr="00C66693" w:rsidRDefault="00C66693" w:rsidP="00504CBB">
            <w:pPr>
              <w:jc w:val="right"/>
              <w:rPr>
                <w:rFonts w:cstheme="minorHAnsi"/>
                <w:b w:val="0"/>
                <w:bCs w:val="0"/>
                <w:i/>
                <w:iCs/>
              </w:rPr>
            </w:pPr>
            <w:r w:rsidRPr="00C66693">
              <w:rPr>
                <w:rFonts w:cstheme="minorHAnsi"/>
                <w:b w:val="0"/>
                <w:bCs w:val="0"/>
                <w:i/>
                <w:iCs/>
              </w:rPr>
              <w:t>54443</w:t>
            </w:r>
          </w:p>
        </w:tc>
        <w:tc>
          <w:tcPr>
            <w:tcW w:w="0" w:type="auto"/>
            <w:noWrap/>
            <w:hideMark/>
          </w:tcPr>
          <w:p w14:paraId="798A4C10" w14:textId="77777777" w:rsidR="00C66693" w:rsidRPr="00780E30" w:rsidRDefault="00C66693" w:rsidP="00504CBB">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ANLN</w:t>
            </w:r>
          </w:p>
        </w:tc>
        <w:tc>
          <w:tcPr>
            <w:tcW w:w="0" w:type="auto"/>
            <w:noWrap/>
            <w:hideMark/>
          </w:tcPr>
          <w:p w14:paraId="4995011E" w14:textId="77777777" w:rsidR="00C66693" w:rsidRPr="00C66693" w:rsidRDefault="00C66693" w:rsidP="00C66693">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color w:val="333333"/>
                <w:sz w:val="22"/>
                <w:szCs w:val="22"/>
              </w:rPr>
            </w:pPr>
          </w:p>
        </w:tc>
        <w:tc>
          <w:tcPr>
            <w:tcW w:w="0" w:type="auto"/>
            <w:noWrap/>
            <w:hideMark/>
          </w:tcPr>
          <w:p w14:paraId="7458A6C0" w14:textId="77777777" w:rsidR="00C66693" w:rsidRPr="00780E30" w:rsidRDefault="00C66693" w:rsidP="00504CBB">
            <w:pPr>
              <w:jc w:val="right"/>
              <w:cnfStyle w:val="000000100000" w:firstRow="0" w:lastRow="0" w:firstColumn="0" w:lastColumn="0" w:oddVBand="0" w:evenVBand="0" w:oddHBand="1" w:evenHBand="0" w:firstRowFirstColumn="0" w:firstRowLastColumn="0" w:lastRowFirstColumn="0" w:lastRowLastColumn="0"/>
              <w:rPr>
                <w:rFonts w:cstheme="minorHAnsi"/>
                <w:i/>
                <w:iCs/>
              </w:rPr>
            </w:pPr>
            <w:r w:rsidRPr="00780E30">
              <w:rPr>
                <w:rFonts w:cstheme="minorHAnsi"/>
                <w:i/>
                <w:iCs/>
              </w:rPr>
              <w:t>79801</w:t>
            </w:r>
          </w:p>
        </w:tc>
        <w:tc>
          <w:tcPr>
            <w:tcW w:w="0" w:type="auto"/>
            <w:noWrap/>
            <w:hideMark/>
          </w:tcPr>
          <w:p w14:paraId="0801FF33" w14:textId="77777777" w:rsidR="00C66693" w:rsidRPr="00780E30" w:rsidRDefault="00C66693" w:rsidP="00504CBB">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SHCBP1</w:t>
            </w:r>
          </w:p>
        </w:tc>
        <w:tc>
          <w:tcPr>
            <w:tcW w:w="0" w:type="auto"/>
            <w:noWrap/>
            <w:hideMark/>
          </w:tcPr>
          <w:p w14:paraId="4FA80D49" w14:textId="77777777" w:rsidR="00C66693" w:rsidRPr="00C66693" w:rsidRDefault="00C66693" w:rsidP="00C66693">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color w:val="333333"/>
                <w:sz w:val="22"/>
                <w:szCs w:val="22"/>
              </w:rPr>
            </w:pPr>
          </w:p>
        </w:tc>
        <w:tc>
          <w:tcPr>
            <w:tcW w:w="0" w:type="auto"/>
            <w:noWrap/>
            <w:hideMark/>
          </w:tcPr>
          <w:p w14:paraId="7D12877A" w14:textId="77777777" w:rsidR="00C66693" w:rsidRPr="00780E30" w:rsidRDefault="00C66693" w:rsidP="00504CBB">
            <w:pPr>
              <w:jc w:val="right"/>
              <w:cnfStyle w:val="000000100000" w:firstRow="0" w:lastRow="0" w:firstColumn="0" w:lastColumn="0" w:oddVBand="0" w:evenVBand="0" w:oddHBand="1" w:evenHBand="0" w:firstRowFirstColumn="0" w:firstRowLastColumn="0" w:lastRowFirstColumn="0" w:lastRowLastColumn="0"/>
              <w:rPr>
                <w:rFonts w:cstheme="minorHAnsi"/>
                <w:i/>
                <w:iCs/>
              </w:rPr>
            </w:pPr>
            <w:r w:rsidRPr="00780E30">
              <w:rPr>
                <w:rFonts w:cstheme="minorHAnsi"/>
                <w:i/>
                <w:iCs/>
              </w:rPr>
              <w:t>84955</w:t>
            </w:r>
          </w:p>
        </w:tc>
        <w:tc>
          <w:tcPr>
            <w:tcW w:w="0" w:type="auto"/>
            <w:noWrap/>
            <w:hideMark/>
          </w:tcPr>
          <w:p w14:paraId="4AE44AFB" w14:textId="77777777" w:rsidR="00C66693" w:rsidRPr="00780E30" w:rsidRDefault="00C66693" w:rsidP="00504CBB">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NUDCD1</w:t>
            </w:r>
          </w:p>
        </w:tc>
      </w:tr>
      <w:tr w:rsidR="00C66693" w:rsidRPr="00C66693" w14:paraId="6A0D1024" w14:textId="77777777" w:rsidTr="00780E30">
        <w:trPr>
          <w:trHeight w:val="399"/>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0865C76C" w14:textId="77777777" w:rsidR="00C66693" w:rsidRPr="00C66693" w:rsidRDefault="00C66693" w:rsidP="00504CBB">
            <w:pPr>
              <w:jc w:val="right"/>
              <w:rPr>
                <w:rFonts w:cstheme="minorHAnsi"/>
                <w:b w:val="0"/>
                <w:bCs w:val="0"/>
                <w:i/>
                <w:iCs/>
              </w:rPr>
            </w:pPr>
            <w:r w:rsidRPr="00C66693">
              <w:rPr>
                <w:rFonts w:cstheme="minorHAnsi"/>
                <w:b w:val="0"/>
                <w:bCs w:val="0"/>
                <w:i/>
                <w:iCs/>
              </w:rPr>
              <w:t>51330</w:t>
            </w:r>
          </w:p>
        </w:tc>
        <w:tc>
          <w:tcPr>
            <w:tcW w:w="0" w:type="auto"/>
            <w:noWrap/>
            <w:hideMark/>
          </w:tcPr>
          <w:p w14:paraId="43A03FFE" w14:textId="77777777" w:rsidR="00C66693" w:rsidRPr="00780E30" w:rsidRDefault="00C66693" w:rsidP="00504CBB">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TNFRSF12A</w:t>
            </w:r>
          </w:p>
        </w:tc>
        <w:tc>
          <w:tcPr>
            <w:tcW w:w="0" w:type="auto"/>
            <w:noWrap/>
            <w:hideMark/>
          </w:tcPr>
          <w:p w14:paraId="75C3D13B" w14:textId="77777777" w:rsidR="00C66693" w:rsidRPr="00C66693" w:rsidRDefault="00C66693" w:rsidP="00C66693">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color w:val="333333"/>
                <w:sz w:val="22"/>
                <w:szCs w:val="22"/>
              </w:rPr>
            </w:pPr>
          </w:p>
        </w:tc>
        <w:tc>
          <w:tcPr>
            <w:tcW w:w="0" w:type="auto"/>
            <w:noWrap/>
            <w:hideMark/>
          </w:tcPr>
          <w:p w14:paraId="743EBC17" w14:textId="77777777" w:rsidR="00C66693" w:rsidRPr="00780E30" w:rsidRDefault="00C66693" w:rsidP="00504CBB">
            <w:pPr>
              <w:jc w:val="right"/>
              <w:cnfStyle w:val="000000000000" w:firstRow="0" w:lastRow="0" w:firstColumn="0" w:lastColumn="0" w:oddVBand="0" w:evenVBand="0" w:oddHBand="0" w:evenHBand="0" w:firstRowFirstColumn="0" w:firstRowLastColumn="0" w:lastRowFirstColumn="0" w:lastRowLastColumn="0"/>
              <w:rPr>
                <w:rFonts w:cstheme="minorHAnsi"/>
                <w:i/>
                <w:iCs/>
              </w:rPr>
            </w:pPr>
            <w:r w:rsidRPr="00780E30">
              <w:rPr>
                <w:rFonts w:cstheme="minorHAnsi"/>
                <w:i/>
                <w:iCs/>
              </w:rPr>
              <w:t>29923</w:t>
            </w:r>
          </w:p>
        </w:tc>
        <w:tc>
          <w:tcPr>
            <w:tcW w:w="0" w:type="auto"/>
            <w:noWrap/>
            <w:hideMark/>
          </w:tcPr>
          <w:p w14:paraId="25C2C1B5" w14:textId="77777777" w:rsidR="00C66693" w:rsidRPr="00780E30" w:rsidRDefault="00C66693" w:rsidP="00504CBB">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HILPDA</w:t>
            </w:r>
          </w:p>
        </w:tc>
        <w:tc>
          <w:tcPr>
            <w:tcW w:w="0" w:type="auto"/>
            <w:noWrap/>
            <w:hideMark/>
          </w:tcPr>
          <w:p w14:paraId="3B8E0044" w14:textId="77777777" w:rsidR="00C66693" w:rsidRPr="00C66693" w:rsidRDefault="00C66693" w:rsidP="00C66693">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color w:val="333333"/>
                <w:sz w:val="22"/>
                <w:szCs w:val="22"/>
              </w:rPr>
            </w:pPr>
          </w:p>
        </w:tc>
        <w:tc>
          <w:tcPr>
            <w:tcW w:w="0" w:type="auto"/>
            <w:noWrap/>
            <w:hideMark/>
          </w:tcPr>
          <w:p w14:paraId="51ACFD6E" w14:textId="77777777" w:rsidR="00C66693" w:rsidRPr="00780E30" w:rsidRDefault="00C66693" w:rsidP="00504CBB">
            <w:pPr>
              <w:jc w:val="right"/>
              <w:cnfStyle w:val="000000000000" w:firstRow="0" w:lastRow="0" w:firstColumn="0" w:lastColumn="0" w:oddVBand="0" w:evenVBand="0" w:oddHBand="0" w:evenHBand="0" w:firstRowFirstColumn="0" w:firstRowLastColumn="0" w:lastRowFirstColumn="0" w:lastRowLastColumn="0"/>
              <w:rPr>
                <w:rFonts w:cstheme="minorHAnsi"/>
                <w:i/>
                <w:iCs/>
              </w:rPr>
            </w:pPr>
            <w:r w:rsidRPr="00780E30">
              <w:rPr>
                <w:rFonts w:cstheme="minorHAnsi"/>
                <w:i/>
                <w:iCs/>
              </w:rPr>
              <w:t>6997</w:t>
            </w:r>
          </w:p>
        </w:tc>
        <w:tc>
          <w:tcPr>
            <w:tcW w:w="0" w:type="auto"/>
            <w:noWrap/>
            <w:hideMark/>
          </w:tcPr>
          <w:p w14:paraId="74833ECC" w14:textId="77777777" w:rsidR="00C66693" w:rsidRPr="00780E30" w:rsidRDefault="00C66693" w:rsidP="00504CBB">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CRIPTO</w:t>
            </w:r>
          </w:p>
        </w:tc>
      </w:tr>
      <w:tr w:rsidR="00C66693" w:rsidRPr="00C66693" w14:paraId="40866F84" w14:textId="77777777" w:rsidTr="00780E30">
        <w:trPr>
          <w:cnfStyle w:val="000000100000" w:firstRow="0" w:lastRow="0" w:firstColumn="0" w:lastColumn="0" w:oddVBand="0" w:evenVBand="0" w:oddHBand="1" w:evenHBand="0" w:firstRowFirstColumn="0" w:firstRowLastColumn="0" w:lastRowFirstColumn="0" w:lastRowLastColumn="0"/>
          <w:trHeight w:val="399"/>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123134FC" w14:textId="77777777" w:rsidR="00C66693" w:rsidRPr="00C66693" w:rsidRDefault="00C66693" w:rsidP="00504CBB">
            <w:pPr>
              <w:jc w:val="right"/>
              <w:rPr>
                <w:rFonts w:cstheme="minorHAnsi"/>
                <w:b w:val="0"/>
                <w:bCs w:val="0"/>
                <w:i/>
                <w:iCs/>
              </w:rPr>
            </w:pPr>
            <w:r w:rsidRPr="00C66693">
              <w:rPr>
                <w:rFonts w:cstheme="minorHAnsi"/>
                <w:b w:val="0"/>
                <w:bCs w:val="0"/>
                <w:i/>
                <w:iCs/>
              </w:rPr>
              <w:t>8038</w:t>
            </w:r>
          </w:p>
        </w:tc>
        <w:tc>
          <w:tcPr>
            <w:tcW w:w="0" w:type="auto"/>
            <w:noWrap/>
            <w:hideMark/>
          </w:tcPr>
          <w:p w14:paraId="04CA5D59" w14:textId="77777777" w:rsidR="00C66693" w:rsidRPr="00780E30" w:rsidRDefault="00C66693" w:rsidP="00504CBB">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ADAM12</w:t>
            </w:r>
          </w:p>
        </w:tc>
        <w:tc>
          <w:tcPr>
            <w:tcW w:w="0" w:type="auto"/>
            <w:noWrap/>
            <w:hideMark/>
          </w:tcPr>
          <w:p w14:paraId="626BE2D7" w14:textId="77777777" w:rsidR="00C66693" w:rsidRPr="00C66693" w:rsidRDefault="00C66693" w:rsidP="00C66693">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color w:val="333333"/>
                <w:sz w:val="22"/>
                <w:szCs w:val="22"/>
              </w:rPr>
            </w:pPr>
          </w:p>
        </w:tc>
        <w:tc>
          <w:tcPr>
            <w:tcW w:w="0" w:type="auto"/>
            <w:noWrap/>
            <w:hideMark/>
          </w:tcPr>
          <w:p w14:paraId="5FEA4532" w14:textId="77777777" w:rsidR="00C66693" w:rsidRPr="00780E30" w:rsidRDefault="00C66693" w:rsidP="00504CBB">
            <w:pPr>
              <w:jc w:val="right"/>
              <w:cnfStyle w:val="000000100000" w:firstRow="0" w:lastRow="0" w:firstColumn="0" w:lastColumn="0" w:oddVBand="0" w:evenVBand="0" w:oddHBand="1" w:evenHBand="0" w:firstRowFirstColumn="0" w:firstRowLastColumn="0" w:lastRowFirstColumn="0" w:lastRowLastColumn="0"/>
              <w:rPr>
                <w:rFonts w:cstheme="minorHAnsi"/>
                <w:i/>
                <w:iCs/>
              </w:rPr>
            </w:pPr>
            <w:r w:rsidRPr="00780E30">
              <w:rPr>
                <w:rFonts w:cstheme="minorHAnsi"/>
                <w:i/>
                <w:iCs/>
              </w:rPr>
              <w:t>25902</w:t>
            </w:r>
          </w:p>
        </w:tc>
        <w:tc>
          <w:tcPr>
            <w:tcW w:w="0" w:type="auto"/>
            <w:noWrap/>
            <w:hideMark/>
          </w:tcPr>
          <w:p w14:paraId="396D6901" w14:textId="77777777" w:rsidR="00C66693" w:rsidRPr="00780E30" w:rsidRDefault="00C66693" w:rsidP="00504CBB">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MTHFD1L</w:t>
            </w:r>
          </w:p>
        </w:tc>
        <w:tc>
          <w:tcPr>
            <w:tcW w:w="0" w:type="auto"/>
            <w:noWrap/>
            <w:hideMark/>
          </w:tcPr>
          <w:p w14:paraId="35621D09" w14:textId="77777777" w:rsidR="00C66693" w:rsidRPr="00C66693" w:rsidRDefault="00C66693" w:rsidP="00C66693">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color w:val="333333"/>
                <w:sz w:val="22"/>
                <w:szCs w:val="22"/>
              </w:rPr>
            </w:pPr>
          </w:p>
        </w:tc>
        <w:tc>
          <w:tcPr>
            <w:tcW w:w="0" w:type="auto"/>
            <w:noWrap/>
            <w:hideMark/>
          </w:tcPr>
          <w:p w14:paraId="1000BBAA" w14:textId="77777777" w:rsidR="00C66693" w:rsidRPr="00780E30" w:rsidRDefault="00C66693" w:rsidP="00504CBB">
            <w:pPr>
              <w:jc w:val="right"/>
              <w:cnfStyle w:val="000000100000" w:firstRow="0" w:lastRow="0" w:firstColumn="0" w:lastColumn="0" w:oddVBand="0" w:evenVBand="0" w:oddHBand="1" w:evenHBand="0" w:firstRowFirstColumn="0" w:firstRowLastColumn="0" w:lastRowFirstColumn="0" w:lastRowLastColumn="0"/>
              <w:rPr>
                <w:rFonts w:cstheme="minorHAnsi"/>
                <w:i/>
                <w:iCs/>
              </w:rPr>
            </w:pPr>
            <w:r w:rsidRPr="00780E30">
              <w:rPr>
                <w:rFonts w:cstheme="minorHAnsi"/>
                <w:i/>
                <w:iCs/>
              </w:rPr>
              <w:t>4233</w:t>
            </w:r>
          </w:p>
        </w:tc>
        <w:tc>
          <w:tcPr>
            <w:tcW w:w="0" w:type="auto"/>
            <w:noWrap/>
            <w:hideMark/>
          </w:tcPr>
          <w:p w14:paraId="072C10A0" w14:textId="77777777" w:rsidR="00C66693" w:rsidRPr="00780E30" w:rsidRDefault="00C66693" w:rsidP="00504CBB">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MET</w:t>
            </w:r>
          </w:p>
        </w:tc>
      </w:tr>
      <w:tr w:rsidR="00C66693" w:rsidRPr="00C66693" w14:paraId="28DB1454" w14:textId="77777777" w:rsidTr="00780E30">
        <w:trPr>
          <w:trHeight w:val="399"/>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0070E6EF" w14:textId="77777777" w:rsidR="00C66693" w:rsidRPr="00C66693" w:rsidRDefault="00C66693" w:rsidP="00504CBB">
            <w:pPr>
              <w:jc w:val="right"/>
              <w:rPr>
                <w:rFonts w:cstheme="minorHAnsi"/>
                <w:b w:val="0"/>
                <w:bCs w:val="0"/>
                <w:i/>
                <w:iCs/>
              </w:rPr>
            </w:pPr>
            <w:r w:rsidRPr="00C66693">
              <w:rPr>
                <w:rFonts w:cstheme="minorHAnsi"/>
                <w:b w:val="0"/>
                <w:bCs w:val="0"/>
                <w:i/>
                <w:iCs/>
              </w:rPr>
              <w:t>1295</w:t>
            </w:r>
          </w:p>
        </w:tc>
        <w:tc>
          <w:tcPr>
            <w:tcW w:w="0" w:type="auto"/>
            <w:noWrap/>
            <w:hideMark/>
          </w:tcPr>
          <w:p w14:paraId="06581959" w14:textId="77777777" w:rsidR="00C66693" w:rsidRPr="00780E30" w:rsidRDefault="00C66693" w:rsidP="00504CBB">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COL8A1</w:t>
            </w:r>
          </w:p>
        </w:tc>
        <w:tc>
          <w:tcPr>
            <w:tcW w:w="0" w:type="auto"/>
            <w:noWrap/>
            <w:hideMark/>
          </w:tcPr>
          <w:p w14:paraId="7CD1197C" w14:textId="77777777" w:rsidR="00C66693" w:rsidRPr="00C66693" w:rsidRDefault="00C66693" w:rsidP="00C66693">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color w:val="333333"/>
                <w:sz w:val="22"/>
                <w:szCs w:val="22"/>
              </w:rPr>
            </w:pPr>
          </w:p>
        </w:tc>
        <w:tc>
          <w:tcPr>
            <w:tcW w:w="0" w:type="auto"/>
            <w:noWrap/>
            <w:hideMark/>
          </w:tcPr>
          <w:p w14:paraId="7CCBB18C" w14:textId="77777777" w:rsidR="00C66693" w:rsidRPr="00780E30" w:rsidRDefault="00C66693" w:rsidP="00504CBB">
            <w:pPr>
              <w:jc w:val="right"/>
              <w:cnfStyle w:val="000000000000" w:firstRow="0" w:lastRow="0" w:firstColumn="0" w:lastColumn="0" w:oddVBand="0" w:evenVBand="0" w:oddHBand="0" w:evenHBand="0" w:firstRowFirstColumn="0" w:firstRowLastColumn="0" w:lastRowFirstColumn="0" w:lastRowLastColumn="0"/>
              <w:rPr>
                <w:rFonts w:cstheme="minorHAnsi"/>
                <w:i/>
                <w:iCs/>
              </w:rPr>
            </w:pPr>
            <w:r w:rsidRPr="00780E30">
              <w:rPr>
                <w:rFonts w:cstheme="minorHAnsi"/>
                <w:i/>
                <w:iCs/>
              </w:rPr>
              <w:t>6615</w:t>
            </w:r>
          </w:p>
        </w:tc>
        <w:tc>
          <w:tcPr>
            <w:tcW w:w="0" w:type="auto"/>
            <w:noWrap/>
            <w:hideMark/>
          </w:tcPr>
          <w:p w14:paraId="2D67406C" w14:textId="77777777" w:rsidR="00C66693" w:rsidRPr="00780E30" w:rsidRDefault="00C66693" w:rsidP="00504CBB">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SNAI1</w:t>
            </w:r>
          </w:p>
        </w:tc>
        <w:tc>
          <w:tcPr>
            <w:tcW w:w="0" w:type="auto"/>
            <w:noWrap/>
            <w:hideMark/>
          </w:tcPr>
          <w:p w14:paraId="6D1F2CC0" w14:textId="77777777" w:rsidR="00C66693" w:rsidRPr="00C66693" w:rsidRDefault="00C66693" w:rsidP="00C66693">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color w:val="333333"/>
                <w:sz w:val="22"/>
                <w:szCs w:val="22"/>
              </w:rPr>
            </w:pPr>
          </w:p>
        </w:tc>
        <w:tc>
          <w:tcPr>
            <w:tcW w:w="0" w:type="auto"/>
            <w:noWrap/>
            <w:hideMark/>
          </w:tcPr>
          <w:p w14:paraId="6004A075" w14:textId="77777777" w:rsidR="00C66693" w:rsidRPr="00780E30" w:rsidRDefault="00C66693" w:rsidP="00504CBB">
            <w:pPr>
              <w:jc w:val="right"/>
              <w:cnfStyle w:val="000000000000" w:firstRow="0" w:lastRow="0" w:firstColumn="0" w:lastColumn="0" w:oddVBand="0" w:evenVBand="0" w:oddHBand="0" w:evenHBand="0" w:firstRowFirstColumn="0" w:firstRowLastColumn="0" w:lastRowFirstColumn="0" w:lastRowLastColumn="0"/>
              <w:rPr>
                <w:rFonts w:cstheme="minorHAnsi"/>
                <w:i/>
                <w:iCs/>
              </w:rPr>
            </w:pPr>
            <w:r w:rsidRPr="00780E30">
              <w:rPr>
                <w:rFonts w:cstheme="minorHAnsi"/>
                <w:i/>
                <w:iCs/>
              </w:rPr>
              <w:t>5723</w:t>
            </w:r>
          </w:p>
        </w:tc>
        <w:tc>
          <w:tcPr>
            <w:tcW w:w="0" w:type="auto"/>
            <w:noWrap/>
            <w:hideMark/>
          </w:tcPr>
          <w:p w14:paraId="2C8C991F" w14:textId="77777777" w:rsidR="00C66693" w:rsidRPr="00780E30" w:rsidRDefault="00C66693" w:rsidP="00504CBB">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PSPH</w:t>
            </w:r>
          </w:p>
        </w:tc>
      </w:tr>
      <w:tr w:rsidR="00C66693" w:rsidRPr="00C66693" w14:paraId="239E3DB5" w14:textId="77777777" w:rsidTr="00780E30">
        <w:trPr>
          <w:cnfStyle w:val="000000100000" w:firstRow="0" w:lastRow="0" w:firstColumn="0" w:lastColumn="0" w:oddVBand="0" w:evenVBand="0" w:oddHBand="1" w:evenHBand="0" w:firstRowFirstColumn="0" w:firstRowLastColumn="0" w:lastRowFirstColumn="0" w:lastRowLastColumn="0"/>
          <w:trHeight w:val="399"/>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77A79ABA" w14:textId="77777777" w:rsidR="00C66693" w:rsidRPr="00C66693" w:rsidRDefault="00C66693" w:rsidP="00504CBB">
            <w:pPr>
              <w:jc w:val="right"/>
              <w:rPr>
                <w:rFonts w:cstheme="minorHAnsi"/>
                <w:b w:val="0"/>
                <w:bCs w:val="0"/>
                <w:i/>
                <w:iCs/>
              </w:rPr>
            </w:pPr>
            <w:r w:rsidRPr="00C66693">
              <w:rPr>
                <w:rFonts w:cstheme="minorHAnsi"/>
                <w:b w:val="0"/>
                <w:bCs w:val="0"/>
                <w:i/>
                <w:iCs/>
              </w:rPr>
              <w:t>414236</w:t>
            </w:r>
          </w:p>
        </w:tc>
        <w:tc>
          <w:tcPr>
            <w:tcW w:w="0" w:type="auto"/>
            <w:noWrap/>
            <w:hideMark/>
          </w:tcPr>
          <w:p w14:paraId="73E7C4F5" w14:textId="77777777" w:rsidR="00C66693" w:rsidRPr="00780E30" w:rsidRDefault="00C66693" w:rsidP="00504CBB">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C10orf55</w:t>
            </w:r>
          </w:p>
        </w:tc>
        <w:tc>
          <w:tcPr>
            <w:tcW w:w="0" w:type="auto"/>
            <w:noWrap/>
            <w:hideMark/>
          </w:tcPr>
          <w:p w14:paraId="1D7BE0B8" w14:textId="77777777" w:rsidR="00C66693" w:rsidRPr="00C66693" w:rsidRDefault="00C66693" w:rsidP="00C66693">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color w:val="333333"/>
                <w:sz w:val="22"/>
                <w:szCs w:val="22"/>
              </w:rPr>
            </w:pPr>
          </w:p>
        </w:tc>
        <w:tc>
          <w:tcPr>
            <w:tcW w:w="0" w:type="auto"/>
            <w:noWrap/>
            <w:hideMark/>
          </w:tcPr>
          <w:p w14:paraId="3468B41B" w14:textId="77777777" w:rsidR="00C66693" w:rsidRPr="00780E30" w:rsidRDefault="00C66693" w:rsidP="00504CBB">
            <w:pPr>
              <w:jc w:val="right"/>
              <w:cnfStyle w:val="000000100000" w:firstRow="0" w:lastRow="0" w:firstColumn="0" w:lastColumn="0" w:oddVBand="0" w:evenVBand="0" w:oddHBand="1" w:evenHBand="0" w:firstRowFirstColumn="0" w:firstRowLastColumn="0" w:lastRowFirstColumn="0" w:lastRowLastColumn="0"/>
              <w:rPr>
                <w:rFonts w:cstheme="minorHAnsi"/>
                <w:i/>
                <w:iCs/>
              </w:rPr>
            </w:pPr>
            <w:r w:rsidRPr="00780E30">
              <w:rPr>
                <w:rFonts w:cstheme="minorHAnsi"/>
                <w:i/>
                <w:iCs/>
              </w:rPr>
              <w:t>5366</w:t>
            </w:r>
          </w:p>
        </w:tc>
        <w:tc>
          <w:tcPr>
            <w:tcW w:w="0" w:type="auto"/>
            <w:noWrap/>
            <w:hideMark/>
          </w:tcPr>
          <w:p w14:paraId="2FD251AB" w14:textId="77777777" w:rsidR="00C66693" w:rsidRPr="00780E30" w:rsidRDefault="00C66693" w:rsidP="00504CBB">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PMAIP1</w:t>
            </w:r>
          </w:p>
        </w:tc>
        <w:tc>
          <w:tcPr>
            <w:tcW w:w="0" w:type="auto"/>
            <w:noWrap/>
            <w:hideMark/>
          </w:tcPr>
          <w:p w14:paraId="3293C924" w14:textId="77777777" w:rsidR="00C66693" w:rsidRPr="00C66693" w:rsidRDefault="00C66693" w:rsidP="00C66693">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color w:val="333333"/>
                <w:sz w:val="22"/>
                <w:szCs w:val="22"/>
              </w:rPr>
            </w:pPr>
          </w:p>
        </w:tc>
        <w:tc>
          <w:tcPr>
            <w:tcW w:w="0" w:type="auto"/>
            <w:noWrap/>
            <w:hideMark/>
          </w:tcPr>
          <w:p w14:paraId="6A983082" w14:textId="77777777" w:rsidR="00C66693" w:rsidRPr="00780E30" w:rsidRDefault="00C66693" w:rsidP="00504CBB">
            <w:pPr>
              <w:jc w:val="right"/>
              <w:cnfStyle w:val="000000100000" w:firstRow="0" w:lastRow="0" w:firstColumn="0" w:lastColumn="0" w:oddVBand="0" w:evenVBand="0" w:oddHBand="1" w:evenHBand="0" w:firstRowFirstColumn="0" w:firstRowLastColumn="0" w:lastRowFirstColumn="0" w:lastRowLastColumn="0"/>
              <w:rPr>
                <w:rFonts w:cstheme="minorHAnsi"/>
                <w:i/>
                <w:iCs/>
              </w:rPr>
            </w:pPr>
            <w:r w:rsidRPr="00780E30">
              <w:rPr>
                <w:rFonts w:cstheme="minorHAnsi"/>
                <w:i/>
                <w:iCs/>
              </w:rPr>
              <w:t>2828</w:t>
            </w:r>
          </w:p>
        </w:tc>
        <w:tc>
          <w:tcPr>
            <w:tcW w:w="0" w:type="auto"/>
            <w:noWrap/>
            <w:hideMark/>
          </w:tcPr>
          <w:p w14:paraId="6B89E189" w14:textId="77777777" w:rsidR="00C66693" w:rsidRPr="00780E30" w:rsidRDefault="00C66693" w:rsidP="00504CBB">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GPR4</w:t>
            </w:r>
          </w:p>
        </w:tc>
      </w:tr>
      <w:tr w:rsidR="00C66693" w:rsidRPr="00C66693" w14:paraId="48410BAF" w14:textId="77777777" w:rsidTr="00780E30">
        <w:trPr>
          <w:trHeight w:val="399"/>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08B202D4" w14:textId="77777777" w:rsidR="00C66693" w:rsidRPr="00C66693" w:rsidRDefault="00C66693" w:rsidP="00504CBB">
            <w:pPr>
              <w:jc w:val="right"/>
              <w:rPr>
                <w:rFonts w:cstheme="minorHAnsi"/>
                <w:b w:val="0"/>
                <w:bCs w:val="0"/>
                <w:i/>
                <w:iCs/>
              </w:rPr>
            </w:pPr>
            <w:r w:rsidRPr="00C66693">
              <w:rPr>
                <w:rFonts w:cstheme="minorHAnsi"/>
                <w:b w:val="0"/>
                <w:bCs w:val="0"/>
                <w:i/>
                <w:iCs/>
              </w:rPr>
              <w:t>2069</w:t>
            </w:r>
          </w:p>
        </w:tc>
        <w:tc>
          <w:tcPr>
            <w:tcW w:w="0" w:type="auto"/>
            <w:noWrap/>
            <w:hideMark/>
          </w:tcPr>
          <w:p w14:paraId="302329BA" w14:textId="77777777" w:rsidR="00C66693" w:rsidRPr="00780E30" w:rsidRDefault="00C66693" w:rsidP="00504CBB">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EREG</w:t>
            </w:r>
          </w:p>
        </w:tc>
        <w:tc>
          <w:tcPr>
            <w:tcW w:w="0" w:type="auto"/>
            <w:noWrap/>
            <w:hideMark/>
          </w:tcPr>
          <w:p w14:paraId="50048C93" w14:textId="77777777" w:rsidR="00C66693" w:rsidRPr="00C66693" w:rsidRDefault="00C66693" w:rsidP="00C66693">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color w:val="333333"/>
                <w:sz w:val="22"/>
                <w:szCs w:val="22"/>
              </w:rPr>
            </w:pPr>
          </w:p>
        </w:tc>
        <w:tc>
          <w:tcPr>
            <w:tcW w:w="0" w:type="auto"/>
            <w:noWrap/>
            <w:hideMark/>
          </w:tcPr>
          <w:p w14:paraId="5991D298" w14:textId="77777777" w:rsidR="00C66693" w:rsidRPr="00780E30" w:rsidRDefault="00C66693" w:rsidP="00504CBB">
            <w:pPr>
              <w:jc w:val="right"/>
              <w:cnfStyle w:val="000000000000" w:firstRow="0" w:lastRow="0" w:firstColumn="0" w:lastColumn="0" w:oddVBand="0" w:evenVBand="0" w:oddHBand="0" w:evenHBand="0" w:firstRowFirstColumn="0" w:firstRowLastColumn="0" w:lastRowFirstColumn="0" w:lastRowLastColumn="0"/>
              <w:rPr>
                <w:rFonts w:cstheme="minorHAnsi"/>
                <w:i/>
                <w:iCs/>
              </w:rPr>
            </w:pPr>
            <w:r w:rsidRPr="00780E30">
              <w:rPr>
                <w:rFonts w:cstheme="minorHAnsi"/>
                <w:i/>
                <w:iCs/>
              </w:rPr>
              <w:t>6533</w:t>
            </w:r>
          </w:p>
        </w:tc>
        <w:tc>
          <w:tcPr>
            <w:tcW w:w="0" w:type="auto"/>
            <w:noWrap/>
            <w:hideMark/>
          </w:tcPr>
          <w:p w14:paraId="4A490056" w14:textId="77777777" w:rsidR="00C66693" w:rsidRPr="00780E30" w:rsidRDefault="00C66693" w:rsidP="00504CBB">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SLC6A6</w:t>
            </w:r>
          </w:p>
        </w:tc>
        <w:tc>
          <w:tcPr>
            <w:tcW w:w="0" w:type="auto"/>
            <w:noWrap/>
            <w:hideMark/>
          </w:tcPr>
          <w:p w14:paraId="6D9ECB64" w14:textId="77777777" w:rsidR="00C66693" w:rsidRPr="00C66693" w:rsidRDefault="00C66693" w:rsidP="00C66693">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color w:val="333333"/>
                <w:sz w:val="22"/>
                <w:szCs w:val="22"/>
              </w:rPr>
            </w:pPr>
          </w:p>
        </w:tc>
        <w:tc>
          <w:tcPr>
            <w:tcW w:w="0" w:type="auto"/>
            <w:noWrap/>
            <w:hideMark/>
          </w:tcPr>
          <w:p w14:paraId="7FEDA799" w14:textId="77777777" w:rsidR="00C66693" w:rsidRPr="00780E30" w:rsidRDefault="00C66693" w:rsidP="00504CBB">
            <w:pPr>
              <w:jc w:val="right"/>
              <w:cnfStyle w:val="000000000000" w:firstRow="0" w:lastRow="0" w:firstColumn="0" w:lastColumn="0" w:oddVBand="0" w:evenVBand="0" w:oddHBand="0" w:evenHBand="0" w:firstRowFirstColumn="0" w:firstRowLastColumn="0" w:lastRowFirstColumn="0" w:lastRowLastColumn="0"/>
              <w:rPr>
                <w:rFonts w:cstheme="minorHAnsi"/>
                <w:i/>
                <w:iCs/>
              </w:rPr>
            </w:pPr>
          </w:p>
        </w:tc>
        <w:tc>
          <w:tcPr>
            <w:tcW w:w="0" w:type="auto"/>
            <w:noWrap/>
            <w:hideMark/>
          </w:tcPr>
          <w:p w14:paraId="5B43848D" w14:textId="77777777" w:rsidR="00C66693" w:rsidRPr="00780E30" w:rsidRDefault="00C66693" w:rsidP="00504CBB">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p>
        </w:tc>
      </w:tr>
    </w:tbl>
    <w:p w14:paraId="56F73A28" w14:textId="78434E33" w:rsidR="00504CBB" w:rsidRDefault="00504CBB" w:rsidP="008C1A7C"/>
    <w:p w14:paraId="02B0B65C" w14:textId="77777777" w:rsidR="00504CBB" w:rsidRDefault="00504CBB" w:rsidP="008C1A7C"/>
    <w:p w14:paraId="3F3C3C44" w14:textId="77777777" w:rsidR="00504CBB" w:rsidRDefault="00504CBB" w:rsidP="008C1A7C"/>
    <w:p w14:paraId="5515D2A1" w14:textId="17BF2DA0" w:rsidR="00504CBB" w:rsidRDefault="00504CBB" w:rsidP="00504CBB">
      <w:pPr>
        <w:pStyle w:val="TtuloTDC"/>
      </w:pPr>
      <w:bookmarkStart w:id="68" w:name="_Toc238816336"/>
      <w:r w:rsidRPr="00CF3B8A">
        <w:t>Tabla</w:t>
      </w:r>
      <w:r>
        <w:t xml:space="preserve"> </w:t>
      </w:r>
      <w:r w:rsidR="0042512D">
        <w:t>A2</w:t>
      </w:r>
      <w:r w:rsidRPr="00CF3B8A">
        <w:t xml:space="preserve">. </w:t>
      </w:r>
      <w:r w:rsidRPr="00504CBB">
        <w:t xml:space="preserve">Identificadores ENTREZ y símbolos oficiales (SYMBOL) del conjunto de genes del consenso </w:t>
      </w:r>
      <w:r w:rsidR="00780E30">
        <w:rPr>
          <w:i/>
          <w:iCs/>
        </w:rPr>
        <w:t>DOWN</w:t>
      </w:r>
      <w:r w:rsidRPr="00504CBB">
        <w:t>.</w:t>
      </w:r>
      <w:bookmarkEnd w:id="68"/>
    </w:p>
    <w:tbl>
      <w:tblPr>
        <w:tblStyle w:val="Tabladelista4"/>
        <w:tblW w:w="0" w:type="auto"/>
        <w:jc w:val="center"/>
        <w:tblLook w:val="04A0" w:firstRow="1" w:lastRow="0" w:firstColumn="1" w:lastColumn="0" w:noHBand="0" w:noVBand="1"/>
      </w:tblPr>
      <w:tblGrid>
        <w:gridCol w:w="1311"/>
        <w:gridCol w:w="1489"/>
        <w:gridCol w:w="222"/>
        <w:gridCol w:w="1311"/>
        <w:gridCol w:w="1338"/>
        <w:gridCol w:w="222"/>
        <w:gridCol w:w="1311"/>
        <w:gridCol w:w="1689"/>
      </w:tblGrid>
      <w:tr w:rsidR="00504CBB" w:rsidRPr="00C66693" w14:paraId="35223823" w14:textId="77777777" w:rsidTr="00780E30">
        <w:trPr>
          <w:cnfStyle w:val="100000000000" w:firstRow="1" w:lastRow="0" w:firstColumn="0" w:lastColumn="0" w:oddVBand="0" w:evenVBand="0" w:oddHBand="0" w:evenHBand="0" w:firstRowFirstColumn="0" w:firstRowLastColumn="0" w:lastRowFirstColumn="0" w:lastRowLastColumn="0"/>
          <w:trHeight w:val="501"/>
          <w:tblHeader/>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413E4D2B" w14:textId="77777777" w:rsidR="00504CBB" w:rsidRPr="00780E30" w:rsidRDefault="00504CBB" w:rsidP="008E6E6E">
            <w:pPr>
              <w:jc w:val="right"/>
              <w:rPr>
                <w:rFonts w:cstheme="minorHAnsi"/>
                <w:i/>
                <w:iCs/>
                <w:color w:val="auto"/>
              </w:rPr>
            </w:pPr>
            <w:r w:rsidRPr="00780E30">
              <w:rPr>
                <w:rFonts w:cstheme="minorHAnsi"/>
                <w:i/>
                <w:iCs/>
                <w:color w:val="auto"/>
              </w:rPr>
              <w:t>ENTREZID</w:t>
            </w:r>
          </w:p>
        </w:tc>
        <w:tc>
          <w:tcPr>
            <w:tcW w:w="0" w:type="auto"/>
            <w:noWrap/>
            <w:hideMark/>
          </w:tcPr>
          <w:p w14:paraId="0E234CEE" w14:textId="77777777" w:rsidR="00504CBB" w:rsidRPr="00780E30" w:rsidRDefault="00504CBB" w:rsidP="008E6E6E">
            <w:pPr>
              <w:jc w:val="left"/>
              <w:cnfStyle w:val="100000000000" w:firstRow="1" w:lastRow="0" w:firstColumn="0" w:lastColumn="0" w:oddVBand="0" w:evenVBand="0" w:oddHBand="0" w:evenHBand="0" w:firstRowFirstColumn="0" w:firstRowLastColumn="0" w:lastRowFirstColumn="0" w:lastRowLastColumn="0"/>
              <w:rPr>
                <w:rFonts w:cstheme="minorHAnsi"/>
                <w:i/>
                <w:iCs/>
                <w:color w:val="auto"/>
              </w:rPr>
            </w:pPr>
            <w:r w:rsidRPr="00780E30">
              <w:rPr>
                <w:rFonts w:cstheme="minorHAnsi"/>
                <w:i/>
                <w:iCs/>
                <w:color w:val="auto"/>
              </w:rPr>
              <w:t>SYMBOL</w:t>
            </w:r>
          </w:p>
        </w:tc>
        <w:tc>
          <w:tcPr>
            <w:tcW w:w="0" w:type="auto"/>
            <w:noWrap/>
            <w:hideMark/>
          </w:tcPr>
          <w:p w14:paraId="7B4B05EC" w14:textId="77777777" w:rsidR="00504CBB" w:rsidRPr="00780E30" w:rsidRDefault="00504CBB" w:rsidP="008E6E6E">
            <w:pPr>
              <w:spacing w:before="0" w:after="0" w:line="240" w:lineRule="auto"/>
              <w:jc w:val="left"/>
              <w:cnfStyle w:val="100000000000" w:firstRow="1" w:lastRow="0" w:firstColumn="0" w:lastColumn="0" w:oddVBand="0" w:evenVBand="0" w:oddHBand="0" w:evenHBand="0" w:firstRowFirstColumn="0" w:firstRowLastColumn="0" w:lastRowFirstColumn="0" w:lastRowLastColumn="0"/>
              <w:rPr>
                <w:rFonts w:ascii="Arial" w:hAnsi="Arial" w:cs="Arial"/>
                <w:color w:val="212121"/>
                <w:sz w:val="22"/>
                <w:szCs w:val="22"/>
              </w:rPr>
            </w:pPr>
          </w:p>
        </w:tc>
        <w:tc>
          <w:tcPr>
            <w:tcW w:w="0" w:type="auto"/>
            <w:noWrap/>
            <w:hideMark/>
          </w:tcPr>
          <w:p w14:paraId="082F292C" w14:textId="77777777" w:rsidR="00504CBB" w:rsidRPr="00780E30" w:rsidRDefault="00504CBB" w:rsidP="008E6E6E">
            <w:pPr>
              <w:jc w:val="right"/>
              <w:cnfStyle w:val="100000000000" w:firstRow="1" w:lastRow="0" w:firstColumn="0" w:lastColumn="0" w:oddVBand="0" w:evenVBand="0" w:oddHBand="0" w:evenHBand="0" w:firstRowFirstColumn="0" w:firstRowLastColumn="0" w:lastRowFirstColumn="0" w:lastRowLastColumn="0"/>
              <w:rPr>
                <w:rFonts w:cstheme="minorHAnsi"/>
                <w:i/>
                <w:iCs/>
                <w:color w:val="auto"/>
              </w:rPr>
            </w:pPr>
            <w:r w:rsidRPr="00780E30">
              <w:rPr>
                <w:rFonts w:cstheme="minorHAnsi"/>
                <w:i/>
                <w:iCs/>
                <w:color w:val="auto"/>
              </w:rPr>
              <w:t>ENTREZID</w:t>
            </w:r>
          </w:p>
        </w:tc>
        <w:tc>
          <w:tcPr>
            <w:tcW w:w="0" w:type="auto"/>
            <w:noWrap/>
            <w:hideMark/>
          </w:tcPr>
          <w:p w14:paraId="144B28F8" w14:textId="77777777" w:rsidR="00504CBB" w:rsidRPr="00780E30" w:rsidRDefault="00504CBB" w:rsidP="008E6E6E">
            <w:pPr>
              <w:jc w:val="left"/>
              <w:cnfStyle w:val="100000000000" w:firstRow="1" w:lastRow="0" w:firstColumn="0" w:lastColumn="0" w:oddVBand="0" w:evenVBand="0" w:oddHBand="0" w:evenHBand="0" w:firstRowFirstColumn="0" w:firstRowLastColumn="0" w:lastRowFirstColumn="0" w:lastRowLastColumn="0"/>
              <w:rPr>
                <w:rFonts w:cstheme="minorHAnsi"/>
                <w:i/>
                <w:iCs/>
                <w:color w:val="auto"/>
              </w:rPr>
            </w:pPr>
            <w:r w:rsidRPr="00780E30">
              <w:rPr>
                <w:rFonts w:cstheme="minorHAnsi"/>
                <w:i/>
                <w:iCs/>
                <w:color w:val="auto"/>
              </w:rPr>
              <w:t>SYMBOL</w:t>
            </w:r>
          </w:p>
        </w:tc>
        <w:tc>
          <w:tcPr>
            <w:tcW w:w="0" w:type="auto"/>
            <w:noWrap/>
            <w:hideMark/>
          </w:tcPr>
          <w:p w14:paraId="226F7D79" w14:textId="77777777" w:rsidR="00504CBB" w:rsidRPr="00780E30" w:rsidRDefault="00504CBB" w:rsidP="008E6E6E">
            <w:pPr>
              <w:spacing w:before="0" w:after="0" w:line="240" w:lineRule="auto"/>
              <w:jc w:val="left"/>
              <w:cnfStyle w:val="100000000000" w:firstRow="1" w:lastRow="0" w:firstColumn="0" w:lastColumn="0" w:oddVBand="0" w:evenVBand="0" w:oddHBand="0" w:evenHBand="0" w:firstRowFirstColumn="0" w:firstRowLastColumn="0" w:lastRowFirstColumn="0" w:lastRowLastColumn="0"/>
              <w:rPr>
                <w:rFonts w:ascii="Arial" w:hAnsi="Arial" w:cs="Arial"/>
                <w:color w:val="212121"/>
                <w:sz w:val="22"/>
                <w:szCs w:val="22"/>
              </w:rPr>
            </w:pPr>
          </w:p>
        </w:tc>
        <w:tc>
          <w:tcPr>
            <w:tcW w:w="0" w:type="auto"/>
            <w:noWrap/>
            <w:hideMark/>
          </w:tcPr>
          <w:p w14:paraId="2A2D5A75" w14:textId="77777777" w:rsidR="00504CBB" w:rsidRPr="00780E30" w:rsidRDefault="00504CBB" w:rsidP="008E6E6E">
            <w:pPr>
              <w:jc w:val="right"/>
              <w:cnfStyle w:val="100000000000" w:firstRow="1" w:lastRow="0" w:firstColumn="0" w:lastColumn="0" w:oddVBand="0" w:evenVBand="0" w:oddHBand="0" w:evenHBand="0" w:firstRowFirstColumn="0" w:firstRowLastColumn="0" w:lastRowFirstColumn="0" w:lastRowLastColumn="0"/>
              <w:rPr>
                <w:rFonts w:cstheme="minorHAnsi"/>
                <w:i/>
                <w:iCs/>
                <w:color w:val="auto"/>
              </w:rPr>
            </w:pPr>
            <w:r w:rsidRPr="00780E30">
              <w:rPr>
                <w:rFonts w:cstheme="minorHAnsi"/>
                <w:i/>
                <w:iCs/>
                <w:color w:val="auto"/>
              </w:rPr>
              <w:t>ENTREZID</w:t>
            </w:r>
          </w:p>
        </w:tc>
        <w:tc>
          <w:tcPr>
            <w:tcW w:w="0" w:type="auto"/>
            <w:noWrap/>
            <w:hideMark/>
          </w:tcPr>
          <w:p w14:paraId="28F409A1" w14:textId="77777777" w:rsidR="00504CBB" w:rsidRPr="00780E30" w:rsidRDefault="00504CBB" w:rsidP="008E6E6E">
            <w:pPr>
              <w:jc w:val="left"/>
              <w:cnfStyle w:val="100000000000" w:firstRow="1" w:lastRow="0" w:firstColumn="0" w:lastColumn="0" w:oddVBand="0" w:evenVBand="0" w:oddHBand="0" w:evenHBand="0" w:firstRowFirstColumn="0" w:firstRowLastColumn="0" w:lastRowFirstColumn="0" w:lastRowLastColumn="0"/>
              <w:rPr>
                <w:rFonts w:cstheme="minorHAnsi"/>
                <w:i/>
                <w:iCs/>
                <w:color w:val="auto"/>
              </w:rPr>
            </w:pPr>
            <w:r w:rsidRPr="00780E30">
              <w:rPr>
                <w:rFonts w:cstheme="minorHAnsi"/>
                <w:i/>
                <w:iCs/>
                <w:color w:val="auto"/>
              </w:rPr>
              <w:t>SYMBOL</w:t>
            </w:r>
          </w:p>
        </w:tc>
      </w:tr>
      <w:tr w:rsidR="00780E30" w:rsidRPr="00C66693" w14:paraId="69B53334" w14:textId="77777777" w:rsidTr="00780E30">
        <w:trPr>
          <w:cnfStyle w:val="000000100000" w:firstRow="0" w:lastRow="0" w:firstColumn="0" w:lastColumn="0" w:oddVBand="0" w:evenVBand="0" w:oddHBand="1" w:evenHBand="0" w:firstRowFirstColumn="0" w:firstRowLastColumn="0" w:lastRowFirstColumn="0" w:lastRowLastColumn="0"/>
          <w:trHeight w:val="399"/>
          <w:jc w:val="center"/>
        </w:trPr>
        <w:tc>
          <w:tcPr>
            <w:cnfStyle w:val="001000000000" w:firstRow="0" w:lastRow="0" w:firstColumn="1" w:lastColumn="0" w:oddVBand="0" w:evenVBand="0" w:oddHBand="0" w:evenHBand="0" w:firstRowFirstColumn="0" w:firstRowLastColumn="0" w:lastRowFirstColumn="0" w:lastRowLastColumn="0"/>
            <w:tcW w:w="0" w:type="auto"/>
            <w:noWrap/>
            <w:vAlign w:val="bottom"/>
            <w:hideMark/>
          </w:tcPr>
          <w:p w14:paraId="7CD05799" w14:textId="5FE7FE27" w:rsidR="00780E30" w:rsidRPr="00C66693" w:rsidRDefault="00780E30" w:rsidP="00780E30">
            <w:pPr>
              <w:jc w:val="right"/>
              <w:rPr>
                <w:rFonts w:cstheme="minorHAnsi"/>
                <w:b w:val="0"/>
                <w:bCs w:val="0"/>
                <w:i/>
                <w:iCs/>
              </w:rPr>
            </w:pPr>
            <w:r w:rsidRPr="00780E30">
              <w:rPr>
                <w:rFonts w:cstheme="minorHAnsi"/>
                <w:b w:val="0"/>
                <w:bCs w:val="0"/>
                <w:i/>
                <w:iCs/>
              </w:rPr>
              <w:t>6422</w:t>
            </w:r>
          </w:p>
        </w:tc>
        <w:tc>
          <w:tcPr>
            <w:tcW w:w="0" w:type="auto"/>
            <w:noWrap/>
            <w:vAlign w:val="bottom"/>
            <w:hideMark/>
          </w:tcPr>
          <w:p w14:paraId="5FBD9452" w14:textId="4E85842A" w:rsidR="00780E30" w:rsidRPr="00780E30" w:rsidRDefault="00780E30" w:rsidP="00780E30">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SFRP1</w:t>
            </w:r>
          </w:p>
        </w:tc>
        <w:tc>
          <w:tcPr>
            <w:tcW w:w="0" w:type="auto"/>
            <w:noWrap/>
            <w:vAlign w:val="bottom"/>
            <w:hideMark/>
          </w:tcPr>
          <w:p w14:paraId="06F004DB" w14:textId="77777777" w:rsidR="00780E30" w:rsidRPr="00C66693" w:rsidRDefault="00780E30" w:rsidP="00780E30">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color w:val="333333"/>
                <w:sz w:val="22"/>
                <w:szCs w:val="22"/>
              </w:rPr>
            </w:pPr>
          </w:p>
        </w:tc>
        <w:tc>
          <w:tcPr>
            <w:tcW w:w="0" w:type="auto"/>
            <w:noWrap/>
            <w:vAlign w:val="bottom"/>
            <w:hideMark/>
          </w:tcPr>
          <w:p w14:paraId="40F6EAB9" w14:textId="7CE2D03A" w:rsidR="00780E30" w:rsidRPr="00780E30" w:rsidRDefault="00780E30" w:rsidP="00780E30">
            <w:pPr>
              <w:jc w:val="right"/>
              <w:cnfStyle w:val="000000100000" w:firstRow="0" w:lastRow="0" w:firstColumn="0" w:lastColumn="0" w:oddVBand="0" w:evenVBand="0" w:oddHBand="1" w:evenHBand="0" w:firstRowFirstColumn="0" w:firstRowLastColumn="0" w:lastRowFirstColumn="0" w:lastRowLastColumn="0"/>
              <w:rPr>
                <w:rFonts w:cstheme="minorHAnsi"/>
                <w:i/>
                <w:iCs/>
              </w:rPr>
            </w:pPr>
            <w:r w:rsidRPr="00780E30">
              <w:rPr>
                <w:rFonts w:cstheme="minorHAnsi"/>
                <w:i/>
                <w:iCs/>
              </w:rPr>
              <w:t>23302</w:t>
            </w:r>
          </w:p>
        </w:tc>
        <w:tc>
          <w:tcPr>
            <w:tcW w:w="0" w:type="auto"/>
            <w:noWrap/>
            <w:vAlign w:val="bottom"/>
            <w:hideMark/>
          </w:tcPr>
          <w:p w14:paraId="5B9798A4" w14:textId="5A1DC09C" w:rsidR="00780E30" w:rsidRPr="00780E30" w:rsidRDefault="00780E30" w:rsidP="00780E30">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WSCD1</w:t>
            </w:r>
          </w:p>
        </w:tc>
        <w:tc>
          <w:tcPr>
            <w:tcW w:w="0" w:type="auto"/>
            <w:noWrap/>
            <w:vAlign w:val="bottom"/>
            <w:hideMark/>
          </w:tcPr>
          <w:p w14:paraId="61C7B8D2" w14:textId="77777777" w:rsidR="00780E30" w:rsidRPr="00C66693" w:rsidRDefault="00780E30" w:rsidP="00780E30">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color w:val="333333"/>
                <w:sz w:val="22"/>
                <w:szCs w:val="22"/>
              </w:rPr>
            </w:pPr>
          </w:p>
        </w:tc>
        <w:tc>
          <w:tcPr>
            <w:tcW w:w="0" w:type="auto"/>
            <w:noWrap/>
            <w:vAlign w:val="bottom"/>
            <w:hideMark/>
          </w:tcPr>
          <w:p w14:paraId="460A4A0C" w14:textId="50D31BD2" w:rsidR="00780E30" w:rsidRPr="00780E30" w:rsidRDefault="00780E30" w:rsidP="00780E30">
            <w:pPr>
              <w:jc w:val="right"/>
              <w:cnfStyle w:val="000000100000" w:firstRow="0" w:lastRow="0" w:firstColumn="0" w:lastColumn="0" w:oddVBand="0" w:evenVBand="0" w:oddHBand="1" w:evenHBand="0" w:firstRowFirstColumn="0" w:firstRowLastColumn="0" w:lastRowFirstColumn="0" w:lastRowLastColumn="0"/>
              <w:rPr>
                <w:rFonts w:cstheme="minorHAnsi"/>
                <w:i/>
                <w:iCs/>
              </w:rPr>
            </w:pPr>
            <w:r w:rsidRPr="00780E30">
              <w:rPr>
                <w:rFonts w:cstheme="minorHAnsi"/>
                <w:i/>
                <w:iCs/>
              </w:rPr>
              <w:t>23584</w:t>
            </w:r>
          </w:p>
        </w:tc>
        <w:tc>
          <w:tcPr>
            <w:tcW w:w="0" w:type="auto"/>
            <w:noWrap/>
            <w:vAlign w:val="bottom"/>
            <w:hideMark/>
          </w:tcPr>
          <w:p w14:paraId="13C78E92" w14:textId="04DE56F7" w:rsidR="00780E30" w:rsidRPr="00780E30" w:rsidRDefault="00780E30" w:rsidP="00780E30">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VSIG2</w:t>
            </w:r>
          </w:p>
        </w:tc>
      </w:tr>
      <w:tr w:rsidR="00780E30" w:rsidRPr="00C66693" w14:paraId="255D882B" w14:textId="77777777" w:rsidTr="00780E30">
        <w:trPr>
          <w:trHeight w:val="399"/>
          <w:jc w:val="center"/>
        </w:trPr>
        <w:tc>
          <w:tcPr>
            <w:cnfStyle w:val="001000000000" w:firstRow="0" w:lastRow="0" w:firstColumn="1" w:lastColumn="0" w:oddVBand="0" w:evenVBand="0" w:oddHBand="0" w:evenHBand="0" w:firstRowFirstColumn="0" w:firstRowLastColumn="0" w:lastRowFirstColumn="0" w:lastRowLastColumn="0"/>
            <w:tcW w:w="0" w:type="auto"/>
            <w:noWrap/>
            <w:vAlign w:val="bottom"/>
            <w:hideMark/>
          </w:tcPr>
          <w:p w14:paraId="677A4C9F" w14:textId="7EF92873" w:rsidR="00780E30" w:rsidRPr="00C66693" w:rsidRDefault="00780E30" w:rsidP="00780E30">
            <w:pPr>
              <w:jc w:val="right"/>
              <w:rPr>
                <w:rFonts w:cstheme="minorHAnsi"/>
                <w:b w:val="0"/>
                <w:bCs w:val="0"/>
                <w:i/>
                <w:iCs/>
              </w:rPr>
            </w:pPr>
            <w:r w:rsidRPr="00780E30">
              <w:rPr>
                <w:rFonts w:cstheme="minorHAnsi"/>
                <w:b w:val="0"/>
                <w:bCs w:val="0"/>
                <w:i/>
                <w:iCs/>
              </w:rPr>
              <w:t>92736</w:t>
            </w:r>
          </w:p>
        </w:tc>
        <w:tc>
          <w:tcPr>
            <w:tcW w:w="0" w:type="auto"/>
            <w:noWrap/>
            <w:vAlign w:val="bottom"/>
            <w:hideMark/>
          </w:tcPr>
          <w:p w14:paraId="59DA5DD5" w14:textId="6CA576B0" w:rsidR="00780E30" w:rsidRPr="00780E30" w:rsidRDefault="00780E30" w:rsidP="00780E30">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OTOP2</w:t>
            </w:r>
          </w:p>
        </w:tc>
        <w:tc>
          <w:tcPr>
            <w:tcW w:w="0" w:type="auto"/>
            <w:noWrap/>
            <w:vAlign w:val="bottom"/>
            <w:hideMark/>
          </w:tcPr>
          <w:p w14:paraId="294E87B3" w14:textId="77777777" w:rsidR="00780E30" w:rsidRPr="00C66693" w:rsidRDefault="00780E30" w:rsidP="00780E30">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color w:val="333333"/>
                <w:sz w:val="22"/>
                <w:szCs w:val="22"/>
              </w:rPr>
            </w:pPr>
          </w:p>
        </w:tc>
        <w:tc>
          <w:tcPr>
            <w:tcW w:w="0" w:type="auto"/>
            <w:noWrap/>
            <w:vAlign w:val="bottom"/>
            <w:hideMark/>
          </w:tcPr>
          <w:p w14:paraId="44B8B744" w14:textId="4C1B9147" w:rsidR="00780E30" w:rsidRPr="00780E30" w:rsidRDefault="00780E30" w:rsidP="00780E30">
            <w:pPr>
              <w:jc w:val="right"/>
              <w:cnfStyle w:val="000000000000" w:firstRow="0" w:lastRow="0" w:firstColumn="0" w:lastColumn="0" w:oddVBand="0" w:evenVBand="0" w:oddHBand="0" w:evenHBand="0" w:firstRowFirstColumn="0" w:firstRowLastColumn="0" w:lastRowFirstColumn="0" w:lastRowLastColumn="0"/>
              <w:rPr>
                <w:rFonts w:cstheme="minorHAnsi"/>
                <w:i/>
                <w:iCs/>
              </w:rPr>
            </w:pPr>
            <w:r w:rsidRPr="00780E30">
              <w:rPr>
                <w:rFonts w:cstheme="minorHAnsi"/>
                <w:i/>
                <w:iCs/>
              </w:rPr>
              <w:t>4118</w:t>
            </w:r>
          </w:p>
        </w:tc>
        <w:tc>
          <w:tcPr>
            <w:tcW w:w="0" w:type="auto"/>
            <w:noWrap/>
            <w:vAlign w:val="bottom"/>
            <w:hideMark/>
          </w:tcPr>
          <w:p w14:paraId="7D5B925A" w14:textId="391B83F7" w:rsidR="00780E30" w:rsidRPr="00780E30" w:rsidRDefault="00780E30" w:rsidP="00780E30">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MAL</w:t>
            </w:r>
          </w:p>
        </w:tc>
        <w:tc>
          <w:tcPr>
            <w:tcW w:w="0" w:type="auto"/>
            <w:noWrap/>
            <w:vAlign w:val="bottom"/>
            <w:hideMark/>
          </w:tcPr>
          <w:p w14:paraId="3D0A810E" w14:textId="77777777" w:rsidR="00780E30" w:rsidRPr="00C66693" w:rsidRDefault="00780E30" w:rsidP="00780E30">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color w:val="333333"/>
                <w:sz w:val="22"/>
                <w:szCs w:val="22"/>
              </w:rPr>
            </w:pPr>
          </w:p>
        </w:tc>
        <w:tc>
          <w:tcPr>
            <w:tcW w:w="0" w:type="auto"/>
            <w:noWrap/>
            <w:vAlign w:val="bottom"/>
            <w:hideMark/>
          </w:tcPr>
          <w:p w14:paraId="5705C163" w14:textId="4564C1F6" w:rsidR="00780E30" w:rsidRPr="00780E30" w:rsidRDefault="00780E30" w:rsidP="00780E30">
            <w:pPr>
              <w:jc w:val="right"/>
              <w:cnfStyle w:val="000000000000" w:firstRow="0" w:lastRow="0" w:firstColumn="0" w:lastColumn="0" w:oddVBand="0" w:evenVBand="0" w:oddHBand="0" w:evenHBand="0" w:firstRowFirstColumn="0" w:firstRowLastColumn="0" w:lastRowFirstColumn="0" w:lastRowLastColumn="0"/>
              <w:rPr>
                <w:rFonts w:cstheme="minorHAnsi"/>
                <w:i/>
                <w:iCs/>
              </w:rPr>
            </w:pPr>
            <w:r w:rsidRPr="00780E30">
              <w:rPr>
                <w:rFonts w:cstheme="minorHAnsi"/>
                <w:i/>
                <w:iCs/>
              </w:rPr>
              <w:t>646627</w:t>
            </w:r>
          </w:p>
        </w:tc>
        <w:tc>
          <w:tcPr>
            <w:tcW w:w="0" w:type="auto"/>
            <w:noWrap/>
            <w:vAlign w:val="bottom"/>
            <w:hideMark/>
          </w:tcPr>
          <w:p w14:paraId="12D8E1DD" w14:textId="3CD530AF" w:rsidR="00780E30" w:rsidRPr="00780E30" w:rsidRDefault="00780E30" w:rsidP="00780E30">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LYPD8</w:t>
            </w:r>
          </w:p>
        </w:tc>
      </w:tr>
      <w:tr w:rsidR="00780E30" w:rsidRPr="00C66693" w14:paraId="2DB8D154" w14:textId="77777777" w:rsidTr="00780E30">
        <w:trPr>
          <w:cnfStyle w:val="000000100000" w:firstRow="0" w:lastRow="0" w:firstColumn="0" w:lastColumn="0" w:oddVBand="0" w:evenVBand="0" w:oddHBand="1" w:evenHBand="0" w:firstRowFirstColumn="0" w:firstRowLastColumn="0" w:lastRowFirstColumn="0" w:lastRowLastColumn="0"/>
          <w:trHeight w:val="399"/>
          <w:jc w:val="center"/>
        </w:trPr>
        <w:tc>
          <w:tcPr>
            <w:cnfStyle w:val="001000000000" w:firstRow="0" w:lastRow="0" w:firstColumn="1" w:lastColumn="0" w:oddVBand="0" w:evenVBand="0" w:oddHBand="0" w:evenHBand="0" w:firstRowFirstColumn="0" w:firstRowLastColumn="0" w:lastRowFirstColumn="0" w:lastRowLastColumn="0"/>
            <w:tcW w:w="0" w:type="auto"/>
            <w:noWrap/>
            <w:vAlign w:val="bottom"/>
            <w:hideMark/>
          </w:tcPr>
          <w:p w14:paraId="103DABE5" w14:textId="3A24AB83" w:rsidR="00780E30" w:rsidRPr="00C66693" w:rsidRDefault="00780E30" w:rsidP="00780E30">
            <w:pPr>
              <w:jc w:val="right"/>
              <w:rPr>
                <w:rFonts w:cstheme="minorHAnsi"/>
                <w:b w:val="0"/>
                <w:bCs w:val="0"/>
                <w:i/>
                <w:iCs/>
              </w:rPr>
            </w:pPr>
            <w:r w:rsidRPr="00780E30">
              <w:rPr>
                <w:rFonts w:cstheme="minorHAnsi"/>
                <w:b w:val="0"/>
                <w:bCs w:val="0"/>
                <w:i/>
                <w:iCs/>
              </w:rPr>
              <w:t>766</w:t>
            </w:r>
          </w:p>
        </w:tc>
        <w:tc>
          <w:tcPr>
            <w:tcW w:w="0" w:type="auto"/>
            <w:noWrap/>
            <w:vAlign w:val="bottom"/>
            <w:hideMark/>
          </w:tcPr>
          <w:p w14:paraId="28F8349A" w14:textId="154F49FB" w:rsidR="00780E30" w:rsidRPr="00780E30" w:rsidRDefault="00780E30" w:rsidP="00780E30">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CA7</w:t>
            </w:r>
          </w:p>
        </w:tc>
        <w:tc>
          <w:tcPr>
            <w:tcW w:w="0" w:type="auto"/>
            <w:noWrap/>
            <w:vAlign w:val="bottom"/>
            <w:hideMark/>
          </w:tcPr>
          <w:p w14:paraId="5506CB90" w14:textId="77777777" w:rsidR="00780E30" w:rsidRPr="00C66693" w:rsidRDefault="00780E30" w:rsidP="00780E30">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color w:val="333333"/>
                <w:sz w:val="22"/>
                <w:szCs w:val="22"/>
              </w:rPr>
            </w:pPr>
          </w:p>
        </w:tc>
        <w:tc>
          <w:tcPr>
            <w:tcW w:w="0" w:type="auto"/>
            <w:noWrap/>
            <w:vAlign w:val="bottom"/>
            <w:hideMark/>
          </w:tcPr>
          <w:p w14:paraId="00BC486E" w14:textId="32CB1F87" w:rsidR="00780E30" w:rsidRPr="00780E30" w:rsidRDefault="00780E30" w:rsidP="00780E30">
            <w:pPr>
              <w:jc w:val="right"/>
              <w:cnfStyle w:val="000000100000" w:firstRow="0" w:lastRow="0" w:firstColumn="0" w:lastColumn="0" w:oddVBand="0" w:evenVBand="0" w:oddHBand="1" w:evenHBand="0" w:firstRowFirstColumn="0" w:firstRowLastColumn="0" w:lastRowFirstColumn="0" w:lastRowLastColumn="0"/>
              <w:rPr>
                <w:rFonts w:cstheme="minorHAnsi"/>
                <w:i/>
                <w:iCs/>
              </w:rPr>
            </w:pPr>
            <w:r w:rsidRPr="00780E30">
              <w:rPr>
                <w:rFonts w:cstheme="minorHAnsi"/>
                <w:i/>
                <w:iCs/>
              </w:rPr>
              <w:t>2981</w:t>
            </w:r>
          </w:p>
        </w:tc>
        <w:tc>
          <w:tcPr>
            <w:tcW w:w="0" w:type="auto"/>
            <w:noWrap/>
            <w:vAlign w:val="bottom"/>
            <w:hideMark/>
          </w:tcPr>
          <w:p w14:paraId="523353C4" w14:textId="5766CC53" w:rsidR="00780E30" w:rsidRPr="00780E30" w:rsidRDefault="00780E30" w:rsidP="00780E30">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GUCA2B</w:t>
            </w:r>
          </w:p>
        </w:tc>
        <w:tc>
          <w:tcPr>
            <w:tcW w:w="0" w:type="auto"/>
            <w:noWrap/>
            <w:vAlign w:val="bottom"/>
            <w:hideMark/>
          </w:tcPr>
          <w:p w14:paraId="16215BB3" w14:textId="77777777" w:rsidR="00780E30" w:rsidRPr="00C66693" w:rsidRDefault="00780E30" w:rsidP="00780E30">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color w:val="333333"/>
                <w:sz w:val="22"/>
                <w:szCs w:val="22"/>
              </w:rPr>
            </w:pPr>
          </w:p>
        </w:tc>
        <w:tc>
          <w:tcPr>
            <w:tcW w:w="0" w:type="auto"/>
            <w:noWrap/>
            <w:vAlign w:val="bottom"/>
            <w:hideMark/>
          </w:tcPr>
          <w:p w14:paraId="18C7AAA3" w14:textId="6E22C094" w:rsidR="00780E30" w:rsidRPr="00780E30" w:rsidRDefault="00780E30" w:rsidP="00780E30">
            <w:pPr>
              <w:jc w:val="right"/>
              <w:cnfStyle w:val="000000100000" w:firstRow="0" w:lastRow="0" w:firstColumn="0" w:lastColumn="0" w:oddVBand="0" w:evenVBand="0" w:oddHBand="1" w:evenHBand="0" w:firstRowFirstColumn="0" w:firstRowLastColumn="0" w:lastRowFirstColumn="0" w:lastRowLastColumn="0"/>
              <w:rPr>
                <w:rFonts w:cstheme="minorHAnsi"/>
                <w:i/>
                <w:iCs/>
              </w:rPr>
            </w:pPr>
            <w:r w:rsidRPr="00780E30">
              <w:rPr>
                <w:rFonts w:cstheme="minorHAnsi"/>
                <w:i/>
                <w:iCs/>
              </w:rPr>
              <w:t>254439</w:t>
            </w:r>
          </w:p>
        </w:tc>
        <w:tc>
          <w:tcPr>
            <w:tcW w:w="0" w:type="auto"/>
            <w:noWrap/>
            <w:vAlign w:val="bottom"/>
            <w:hideMark/>
          </w:tcPr>
          <w:p w14:paraId="3EE9E311" w14:textId="0F29266F" w:rsidR="00780E30" w:rsidRPr="00780E30" w:rsidRDefault="00780E30" w:rsidP="00780E30">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C11orf86</w:t>
            </w:r>
          </w:p>
        </w:tc>
      </w:tr>
      <w:tr w:rsidR="00780E30" w:rsidRPr="00C66693" w14:paraId="1778DCD6" w14:textId="77777777" w:rsidTr="00780E30">
        <w:trPr>
          <w:trHeight w:val="399"/>
          <w:jc w:val="center"/>
        </w:trPr>
        <w:tc>
          <w:tcPr>
            <w:cnfStyle w:val="001000000000" w:firstRow="0" w:lastRow="0" w:firstColumn="1" w:lastColumn="0" w:oddVBand="0" w:evenVBand="0" w:oddHBand="0" w:evenHBand="0" w:firstRowFirstColumn="0" w:firstRowLastColumn="0" w:lastRowFirstColumn="0" w:lastRowLastColumn="0"/>
            <w:tcW w:w="0" w:type="auto"/>
            <w:noWrap/>
            <w:vAlign w:val="bottom"/>
            <w:hideMark/>
          </w:tcPr>
          <w:p w14:paraId="2643484D" w14:textId="70896FC1" w:rsidR="00780E30" w:rsidRPr="00C66693" w:rsidRDefault="00780E30" w:rsidP="00780E30">
            <w:pPr>
              <w:jc w:val="right"/>
              <w:rPr>
                <w:rFonts w:cstheme="minorHAnsi"/>
                <w:b w:val="0"/>
                <w:bCs w:val="0"/>
                <w:i/>
                <w:iCs/>
              </w:rPr>
            </w:pPr>
            <w:r w:rsidRPr="00780E30">
              <w:rPr>
                <w:rFonts w:cstheme="minorHAnsi"/>
                <w:b w:val="0"/>
                <w:bCs w:val="0"/>
                <w:i/>
                <w:iCs/>
              </w:rPr>
              <w:t>266675</w:t>
            </w:r>
          </w:p>
        </w:tc>
        <w:tc>
          <w:tcPr>
            <w:tcW w:w="0" w:type="auto"/>
            <w:noWrap/>
            <w:vAlign w:val="bottom"/>
            <w:hideMark/>
          </w:tcPr>
          <w:p w14:paraId="7E398211" w14:textId="56F1AFB1" w:rsidR="00780E30" w:rsidRPr="00780E30" w:rsidRDefault="00780E30" w:rsidP="00780E30">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BEST4</w:t>
            </w:r>
          </w:p>
        </w:tc>
        <w:tc>
          <w:tcPr>
            <w:tcW w:w="0" w:type="auto"/>
            <w:noWrap/>
            <w:vAlign w:val="bottom"/>
            <w:hideMark/>
          </w:tcPr>
          <w:p w14:paraId="7F3FCD0B" w14:textId="77777777" w:rsidR="00780E30" w:rsidRPr="00C66693" w:rsidRDefault="00780E30" w:rsidP="00780E30">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color w:val="333333"/>
                <w:sz w:val="22"/>
                <w:szCs w:val="22"/>
              </w:rPr>
            </w:pPr>
          </w:p>
        </w:tc>
        <w:tc>
          <w:tcPr>
            <w:tcW w:w="0" w:type="auto"/>
            <w:noWrap/>
            <w:vAlign w:val="bottom"/>
            <w:hideMark/>
          </w:tcPr>
          <w:p w14:paraId="4DAA1D66" w14:textId="139E1D5D" w:rsidR="00780E30" w:rsidRPr="00780E30" w:rsidRDefault="00780E30" w:rsidP="00780E30">
            <w:pPr>
              <w:jc w:val="right"/>
              <w:cnfStyle w:val="000000000000" w:firstRow="0" w:lastRow="0" w:firstColumn="0" w:lastColumn="0" w:oddVBand="0" w:evenVBand="0" w:oddHBand="0" w:evenHBand="0" w:firstRowFirstColumn="0" w:firstRowLastColumn="0" w:lastRowFirstColumn="0" w:lastRowLastColumn="0"/>
              <w:rPr>
                <w:rFonts w:cstheme="minorHAnsi"/>
                <w:i/>
                <w:iCs/>
              </w:rPr>
            </w:pPr>
            <w:r w:rsidRPr="00780E30">
              <w:rPr>
                <w:rFonts w:cstheme="minorHAnsi"/>
                <w:i/>
                <w:iCs/>
              </w:rPr>
              <w:t>284076</w:t>
            </w:r>
          </w:p>
        </w:tc>
        <w:tc>
          <w:tcPr>
            <w:tcW w:w="0" w:type="auto"/>
            <w:noWrap/>
            <w:vAlign w:val="bottom"/>
            <w:hideMark/>
          </w:tcPr>
          <w:p w14:paraId="1236BC62" w14:textId="31580BEA" w:rsidR="00780E30" w:rsidRPr="00780E30" w:rsidRDefault="00780E30" w:rsidP="00780E30">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TTLL6</w:t>
            </w:r>
          </w:p>
        </w:tc>
        <w:tc>
          <w:tcPr>
            <w:tcW w:w="0" w:type="auto"/>
            <w:noWrap/>
            <w:vAlign w:val="bottom"/>
            <w:hideMark/>
          </w:tcPr>
          <w:p w14:paraId="58E5A569" w14:textId="77777777" w:rsidR="00780E30" w:rsidRPr="00C66693" w:rsidRDefault="00780E30" w:rsidP="00780E30">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color w:val="333333"/>
                <w:sz w:val="22"/>
                <w:szCs w:val="22"/>
              </w:rPr>
            </w:pPr>
          </w:p>
        </w:tc>
        <w:tc>
          <w:tcPr>
            <w:tcW w:w="0" w:type="auto"/>
            <w:noWrap/>
            <w:vAlign w:val="bottom"/>
            <w:hideMark/>
          </w:tcPr>
          <w:p w14:paraId="7D07949E" w14:textId="07DF460E" w:rsidR="00780E30" w:rsidRPr="00780E30" w:rsidRDefault="00780E30" w:rsidP="00780E30">
            <w:pPr>
              <w:jc w:val="right"/>
              <w:cnfStyle w:val="000000000000" w:firstRow="0" w:lastRow="0" w:firstColumn="0" w:lastColumn="0" w:oddVBand="0" w:evenVBand="0" w:oddHBand="0" w:evenHBand="0" w:firstRowFirstColumn="0" w:firstRowLastColumn="0" w:lastRowFirstColumn="0" w:lastRowLastColumn="0"/>
              <w:rPr>
                <w:rFonts w:cstheme="minorHAnsi"/>
                <w:i/>
                <w:iCs/>
              </w:rPr>
            </w:pPr>
            <w:r w:rsidRPr="00780E30">
              <w:rPr>
                <w:rFonts w:cstheme="minorHAnsi"/>
                <w:i/>
                <w:iCs/>
              </w:rPr>
              <w:t>63924</w:t>
            </w:r>
          </w:p>
        </w:tc>
        <w:tc>
          <w:tcPr>
            <w:tcW w:w="0" w:type="auto"/>
            <w:noWrap/>
            <w:vAlign w:val="bottom"/>
            <w:hideMark/>
          </w:tcPr>
          <w:p w14:paraId="26DD6BAF" w14:textId="62AC4220" w:rsidR="00780E30" w:rsidRPr="00780E30" w:rsidRDefault="00780E30" w:rsidP="00780E30">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CIDEC</w:t>
            </w:r>
          </w:p>
        </w:tc>
      </w:tr>
      <w:tr w:rsidR="00780E30" w:rsidRPr="00C66693" w14:paraId="777C39EB" w14:textId="77777777" w:rsidTr="00780E30">
        <w:trPr>
          <w:cnfStyle w:val="000000100000" w:firstRow="0" w:lastRow="0" w:firstColumn="0" w:lastColumn="0" w:oddVBand="0" w:evenVBand="0" w:oddHBand="1" w:evenHBand="0" w:firstRowFirstColumn="0" w:firstRowLastColumn="0" w:lastRowFirstColumn="0" w:lastRowLastColumn="0"/>
          <w:trHeight w:val="399"/>
          <w:jc w:val="center"/>
        </w:trPr>
        <w:tc>
          <w:tcPr>
            <w:cnfStyle w:val="001000000000" w:firstRow="0" w:lastRow="0" w:firstColumn="1" w:lastColumn="0" w:oddVBand="0" w:evenVBand="0" w:oddHBand="0" w:evenHBand="0" w:firstRowFirstColumn="0" w:firstRowLastColumn="0" w:lastRowFirstColumn="0" w:lastRowLastColumn="0"/>
            <w:tcW w:w="0" w:type="auto"/>
            <w:noWrap/>
            <w:vAlign w:val="bottom"/>
            <w:hideMark/>
          </w:tcPr>
          <w:p w14:paraId="12BCC36E" w14:textId="77CAD2AD" w:rsidR="00780E30" w:rsidRPr="00C66693" w:rsidRDefault="00780E30" w:rsidP="00780E30">
            <w:pPr>
              <w:jc w:val="right"/>
              <w:rPr>
                <w:rFonts w:cstheme="minorHAnsi"/>
                <w:b w:val="0"/>
                <w:bCs w:val="0"/>
                <w:i/>
                <w:iCs/>
              </w:rPr>
            </w:pPr>
            <w:r w:rsidRPr="00780E30">
              <w:rPr>
                <w:rFonts w:cstheme="minorHAnsi"/>
                <w:b w:val="0"/>
                <w:bCs w:val="0"/>
                <w:i/>
                <w:iCs/>
              </w:rPr>
              <w:t>7123</w:t>
            </w:r>
          </w:p>
        </w:tc>
        <w:tc>
          <w:tcPr>
            <w:tcW w:w="0" w:type="auto"/>
            <w:noWrap/>
            <w:vAlign w:val="bottom"/>
            <w:hideMark/>
          </w:tcPr>
          <w:p w14:paraId="6EA20396" w14:textId="39591782" w:rsidR="00780E30" w:rsidRPr="00780E30" w:rsidRDefault="00780E30" w:rsidP="00780E30">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CLEC3B</w:t>
            </w:r>
          </w:p>
        </w:tc>
        <w:tc>
          <w:tcPr>
            <w:tcW w:w="0" w:type="auto"/>
            <w:noWrap/>
            <w:vAlign w:val="bottom"/>
            <w:hideMark/>
          </w:tcPr>
          <w:p w14:paraId="58708D46" w14:textId="77777777" w:rsidR="00780E30" w:rsidRPr="00C66693" w:rsidRDefault="00780E30" w:rsidP="00780E30">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color w:val="333333"/>
                <w:sz w:val="22"/>
                <w:szCs w:val="22"/>
              </w:rPr>
            </w:pPr>
          </w:p>
        </w:tc>
        <w:tc>
          <w:tcPr>
            <w:tcW w:w="0" w:type="auto"/>
            <w:noWrap/>
            <w:vAlign w:val="bottom"/>
            <w:hideMark/>
          </w:tcPr>
          <w:p w14:paraId="70E892F7" w14:textId="351B9339" w:rsidR="00780E30" w:rsidRPr="00780E30" w:rsidRDefault="00780E30" w:rsidP="00780E30">
            <w:pPr>
              <w:jc w:val="right"/>
              <w:cnfStyle w:val="000000100000" w:firstRow="0" w:lastRow="0" w:firstColumn="0" w:lastColumn="0" w:oddVBand="0" w:evenVBand="0" w:oddHBand="1" w:evenHBand="0" w:firstRowFirstColumn="0" w:firstRowLastColumn="0" w:lastRowFirstColumn="0" w:lastRowLastColumn="0"/>
              <w:rPr>
                <w:rFonts w:cstheme="minorHAnsi"/>
                <w:i/>
                <w:iCs/>
              </w:rPr>
            </w:pPr>
            <w:r w:rsidRPr="00780E30">
              <w:rPr>
                <w:rFonts w:cstheme="minorHAnsi"/>
                <w:i/>
                <w:iCs/>
              </w:rPr>
              <w:t>85477</w:t>
            </w:r>
          </w:p>
        </w:tc>
        <w:tc>
          <w:tcPr>
            <w:tcW w:w="0" w:type="auto"/>
            <w:noWrap/>
            <w:vAlign w:val="bottom"/>
            <w:hideMark/>
          </w:tcPr>
          <w:p w14:paraId="255AF416" w14:textId="5A1D6955" w:rsidR="00780E30" w:rsidRPr="00780E30" w:rsidRDefault="00780E30" w:rsidP="00780E30">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SCIN</w:t>
            </w:r>
          </w:p>
        </w:tc>
        <w:tc>
          <w:tcPr>
            <w:tcW w:w="0" w:type="auto"/>
            <w:noWrap/>
            <w:vAlign w:val="bottom"/>
            <w:hideMark/>
          </w:tcPr>
          <w:p w14:paraId="2D52A844" w14:textId="77777777" w:rsidR="00780E30" w:rsidRPr="00C66693" w:rsidRDefault="00780E30" w:rsidP="00780E30">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color w:val="333333"/>
                <w:sz w:val="22"/>
                <w:szCs w:val="22"/>
              </w:rPr>
            </w:pPr>
          </w:p>
        </w:tc>
        <w:tc>
          <w:tcPr>
            <w:tcW w:w="0" w:type="auto"/>
            <w:noWrap/>
            <w:vAlign w:val="bottom"/>
            <w:hideMark/>
          </w:tcPr>
          <w:p w14:paraId="570DFBFD" w14:textId="0F45C8A8" w:rsidR="00780E30" w:rsidRPr="00780E30" w:rsidRDefault="00780E30" w:rsidP="00780E30">
            <w:pPr>
              <w:jc w:val="right"/>
              <w:cnfStyle w:val="000000100000" w:firstRow="0" w:lastRow="0" w:firstColumn="0" w:lastColumn="0" w:oddVBand="0" w:evenVBand="0" w:oddHBand="1" w:evenHBand="0" w:firstRowFirstColumn="0" w:firstRowLastColumn="0" w:lastRowFirstColumn="0" w:lastRowLastColumn="0"/>
              <w:rPr>
                <w:rFonts w:cstheme="minorHAnsi"/>
                <w:i/>
                <w:iCs/>
              </w:rPr>
            </w:pPr>
            <w:r w:rsidRPr="00780E30">
              <w:rPr>
                <w:rFonts w:cstheme="minorHAnsi"/>
                <w:i/>
                <w:iCs/>
              </w:rPr>
              <w:t>284948</w:t>
            </w:r>
          </w:p>
        </w:tc>
        <w:tc>
          <w:tcPr>
            <w:tcW w:w="0" w:type="auto"/>
            <w:noWrap/>
            <w:vAlign w:val="bottom"/>
            <w:hideMark/>
          </w:tcPr>
          <w:p w14:paraId="4E88F718" w14:textId="5160F73A" w:rsidR="00780E30" w:rsidRPr="00780E30" w:rsidRDefault="00780E30" w:rsidP="00780E30">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SH2D6</w:t>
            </w:r>
          </w:p>
        </w:tc>
      </w:tr>
      <w:tr w:rsidR="00780E30" w:rsidRPr="00C66693" w14:paraId="1B01B306" w14:textId="77777777" w:rsidTr="00780E30">
        <w:trPr>
          <w:trHeight w:val="399"/>
          <w:jc w:val="center"/>
        </w:trPr>
        <w:tc>
          <w:tcPr>
            <w:cnfStyle w:val="001000000000" w:firstRow="0" w:lastRow="0" w:firstColumn="1" w:lastColumn="0" w:oddVBand="0" w:evenVBand="0" w:oddHBand="0" w:evenHBand="0" w:firstRowFirstColumn="0" w:firstRowLastColumn="0" w:lastRowFirstColumn="0" w:lastRowLastColumn="0"/>
            <w:tcW w:w="0" w:type="auto"/>
            <w:noWrap/>
            <w:vAlign w:val="bottom"/>
            <w:hideMark/>
          </w:tcPr>
          <w:p w14:paraId="73C6E348" w14:textId="6888E97E" w:rsidR="00780E30" w:rsidRPr="00C66693" w:rsidRDefault="00780E30" w:rsidP="00780E30">
            <w:pPr>
              <w:jc w:val="right"/>
              <w:rPr>
                <w:rFonts w:cstheme="minorHAnsi"/>
                <w:b w:val="0"/>
                <w:bCs w:val="0"/>
                <w:i/>
                <w:iCs/>
              </w:rPr>
            </w:pPr>
            <w:r w:rsidRPr="00780E30">
              <w:rPr>
                <w:rFonts w:cstheme="minorHAnsi"/>
                <w:b w:val="0"/>
                <w:bCs w:val="0"/>
                <w:i/>
                <w:iCs/>
              </w:rPr>
              <w:t>730</w:t>
            </w:r>
          </w:p>
        </w:tc>
        <w:tc>
          <w:tcPr>
            <w:tcW w:w="0" w:type="auto"/>
            <w:noWrap/>
            <w:vAlign w:val="bottom"/>
            <w:hideMark/>
          </w:tcPr>
          <w:p w14:paraId="300A2530" w14:textId="2A39157A" w:rsidR="00780E30" w:rsidRPr="00780E30" w:rsidRDefault="00780E30" w:rsidP="00780E30">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C7</w:t>
            </w:r>
          </w:p>
        </w:tc>
        <w:tc>
          <w:tcPr>
            <w:tcW w:w="0" w:type="auto"/>
            <w:noWrap/>
            <w:vAlign w:val="bottom"/>
            <w:hideMark/>
          </w:tcPr>
          <w:p w14:paraId="104168CC" w14:textId="77777777" w:rsidR="00780E30" w:rsidRPr="00C66693" w:rsidRDefault="00780E30" w:rsidP="00780E30">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color w:val="333333"/>
                <w:sz w:val="22"/>
                <w:szCs w:val="22"/>
              </w:rPr>
            </w:pPr>
          </w:p>
        </w:tc>
        <w:tc>
          <w:tcPr>
            <w:tcW w:w="0" w:type="auto"/>
            <w:noWrap/>
            <w:vAlign w:val="bottom"/>
            <w:hideMark/>
          </w:tcPr>
          <w:p w14:paraId="385E2317" w14:textId="06BE9BBD" w:rsidR="00780E30" w:rsidRPr="00780E30" w:rsidRDefault="00780E30" w:rsidP="00780E30">
            <w:pPr>
              <w:jc w:val="right"/>
              <w:cnfStyle w:val="000000000000" w:firstRow="0" w:lastRow="0" w:firstColumn="0" w:lastColumn="0" w:oddVBand="0" w:evenVBand="0" w:oddHBand="0" w:evenHBand="0" w:firstRowFirstColumn="0" w:firstRowLastColumn="0" w:lastRowFirstColumn="0" w:lastRowLastColumn="0"/>
              <w:rPr>
                <w:rFonts w:cstheme="minorHAnsi"/>
                <w:i/>
                <w:iCs/>
              </w:rPr>
            </w:pPr>
            <w:r w:rsidRPr="00780E30">
              <w:rPr>
                <w:rFonts w:cstheme="minorHAnsi"/>
                <w:i/>
                <w:iCs/>
              </w:rPr>
              <w:t>9099</w:t>
            </w:r>
          </w:p>
        </w:tc>
        <w:tc>
          <w:tcPr>
            <w:tcW w:w="0" w:type="auto"/>
            <w:noWrap/>
            <w:vAlign w:val="bottom"/>
            <w:hideMark/>
          </w:tcPr>
          <w:p w14:paraId="0E75000D" w14:textId="3AE81AE2" w:rsidR="00780E30" w:rsidRPr="00780E30" w:rsidRDefault="00780E30" w:rsidP="00780E30">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USP2</w:t>
            </w:r>
          </w:p>
        </w:tc>
        <w:tc>
          <w:tcPr>
            <w:tcW w:w="0" w:type="auto"/>
            <w:noWrap/>
            <w:vAlign w:val="bottom"/>
            <w:hideMark/>
          </w:tcPr>
          <w:p w14:paraId="398FAC45" w14:textId="77777777" w:rsidR="00780E30" w:rsidRPr="00C66693" w:rsidRDefault="00780E30" w:rsidP="00780E30">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color w:val="333333"/>
                <w:sz w:val="22"/>
                <w:szCs w:val="22"/>
              </w:rPr>
            </w:pPr>
          </w:p>
        </w:tc>
        <w:tc>
          <w:tcPr>
            <w:tcW w:w="0" w:type="auto"/>
            <w:noWrap/>
            <w:vAlign w:val="bottom"/>
            <w:hideMark/>
          </w:tcPr>
          <w:p w14:paraId="57D099B9" w14:textId="6D76C090" w:rsidR="00780E30" w:rsidRPr="00780E30" w:rsidRDefault="00780E30" w:rsidP="00780E30">
            <w:pPr>
              <w:jc w:val="right"/>
              <w:cnfStyle w:val="000000000000" w:firstRow="0" w:lastRow="0" w:firstColumn="0" w:lastColumn="0" w:oddVBand="0" w:evenVBand="0" w:oddHBand="0" w:evenHBand="0" w:firstRowFirstColumn="0" w:firstRowLastColumn="0" w:lastRowFirstColumn="0" w:lastRowLastColumn="0"/>
              <w:rPr>
                <w:rFonts w:cstheme="minorHAnsi"/>
                <w:i/>
                <w:iCs/>
              </w:rPr>
            </w:pPr>
            <w:r w:rsidRPr="00780E30">
              <w:rPr>
                <w:rFonts w:cstheme="minorHAnsi"/>
                <w:i/>
                <w:iCs/>
              </w:rPr>
              <w:t>79148</w:t>
            </w:r>
          </w:p>
        </w:tc>
        <w:tc>
          <w:tcPr>
            <w:tcW w:w="0" w:type="auto"/>
            <w:noWrap/>
            <w:vAlign w:val="bottom"/>
            <w:hideMark/>
          </w:tcPr>
          <w:p w14:paraId="78A6330F" w14:textId="74B6B3F1" w:rsidR="00780E30" w:rsidRPr="00780E30" w:rsidRDefault="00780E30" w:rsidP="00780E30">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MMP28</w:t>
            </w:r>
          </w:p>
        </w:tc>
      </w:tr>
      <w:tr w:rsidR="00780E30" w:rsidRPr="00C66693" w14:paraId="55C500C5" w14:textId="77777777" w:rsidTr="00780E30">
        <w:trPr>
          <w:cnfStyle w:val="000000100000" w:firstRow="0" w:lastRow="0" w:firstColumn="0" w:lastColumn="0" w:oddVBand="0" w:evenVBand="0" w:oddHBand="1" w:evenHBand="0" w:firstRowFirstColumn="0" w:firstRowLastColumn="0" w:lastRowFirstColumn="0" w:lastRowLastColumn="0"/>
          <w:trHeight w:val="399"/>
          <w:jc w:val="center"/>
        </w:trPr>
        <w:tc>
          <w:tcPr>
            <w:cnfStyle w:val="001000000000" w:firstRow="0" w:lastRow="0" w:firstColumn="1" w:lastColumn="0" w:oddVBand="0" w:evenVBand="0" w:oddHBand="0" w:evenHBand="0" w:firstRowFirstColumn="0" w:firstRowLastColumn="0" w:lastRowFirstColumn="0" w:lastRowLastColumn="0"/>
            <w:tcW w:w="0" w:type="auto"/>
            <w:noWrap/>
            <w:vAlign w:val="bottom"/>
            <w:hideMark/>
          </w:tcPr>
          <w:p w14:paraId="2B3DA84D" w14:textId="56E36923" w:rsidR="00780E30" w:rsidRPr="00C66693" w:rsidRDefault="00780E30" w:rsidP="00780E30">
            <w:pPr>
              <w:jc w:val="right"/>
              <w:rPr>
                <w:rFonts w:cstheme="minorHAnsi"/>
                <w:b w:val="0"/>
                <w:bCs w:val="0"/>
                <w:i/>
                <w:iCs/>
              </w:rPr>
            </w:pPr>
            <w:r w:rsidRPr="00780E30">
              <w:rPr>
                <w:rFonts w:cstheme="minorHAnsi"/>
                <w:b w:val="0"/>
                <w:bCs w:val="0"/>
                <w:i/>
                <w:iCs/>
              </w:rPr>
              <w:t>7148</w:t>
            </w:r>
          </w:p>
        </w:tc>
        <w:tc>
          <w:tcPr>
            <w:tcW w:w="0" w:type="auto"/>
            <w:noWrap/>
            <w:vAlign w:val="bottom"/>
            <w:hideMark/>
          </w:tcPr>
          <w:p w14:paraId="776E5182" w14:textId="173FC0C4" w:rsidR="00780E30" w:rsidRPr="00780E30" w:rsidRDefault="00780E30" w:rsidP="00780E30">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TNXB</w:t>
            </w:r>
          </w:p>
        </w:tc>
        <w:tc>
          <w:tcPr>
            <w:tcW w:w="0" w:type="auto"/>
            <w:noWrap/>
            <w:vAlign w:val="bottom"/>
            <w:hideMark/>
          </w:tcPr>
          <w:p w14:paraId="5E39E9A0" w14:textId="77777777" w:rsidR="00780E30" w:rsidRPr="00C66693" w:rsidRDefault="00780E30" w:rsidP="00780E30">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color w:val="333333"/>
                <w:sz w:val="22"/>
                <w:szCs w:val="22"/>
              </w:rPr>
            </w:pPr>
          </w:p>
        </w:tc>
        <w:tc>
          <w:tcPr>
            <w:tcW w:w="0" w:type="auto"/>
            <w:noWrap/>
            <w:vAlign w:val="bottom"/>
            <w:hideMark/>
          </w:tcPr>
          <w:p w14:paraId="6EC493A3" w14:textId="4AE063C3" w:rsidR="00780E30" w:rsidRPr="00780E30" w:rsidRDefault="00780E30" w:rsidP="00780E30">
            <w:pPr>
              <w:jc w:val="right"/>
              <w:cnfStyle w:val="000000100000" w:firstRow="0" w:lastRow="0" w:firstColumn="0" w:lastColumn="0" w:oddVBand="0" w:evenVBand="0" w:oddHBand="1" w:evenHBand="0" w:firstRowFirstColumn="0" w:firstRowLastColumn="0" w:lastRowFirstColumn="0" w:lastRowLastColumn="0"/>
              <w:rPr>
                <w:rFonts w:cstheme="minorHAnsi"/>
                <w:i/>
                <w:iCs/>
              </w:rPr>
            </w:pPr>
            <w:r w:rsidRPr="00780E30">
              <w:rPr>
                <w:rFonts w:cstheme="minorHAnsi"/>
                <w:i/>
                <w:iCs/>
              </w:rPr>
              <w:t>125</w:t>
            </w:r>
          </w:p>
        </w:tc>
        <w:tc>
          <w:tcPr>
            <w:tcW w:w="0" w:type="auto"/>
            <w:noWrap/>
            <w:vAlign w:val="bottom"/>
            <w:hideMark/>
          </w:tcPr>
          <w:p w14:paraId="0660BF5E" w14:textId="06F03A71" w:rsidR="00780E30" w:rsidRPr="00780E30" w:rsidRDefault="00780E30" w:rsidP="00780E30">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ADH1B</w:t>
            </w:r>
          </w:p>
        </w:tc>
        <w:tc>
          <w:tcPr>
            <w:tcW w:w="0" w:type="auto"/>
            <w:noWrap/>
            <w:vAlign w:val="bottom"/>
            <w:hideMark/>
          </w:tcPr>
          <w:p w14:paraId="489A2308" w14:textId="77777777" w:rsidR="00780E30" w:rsidRPr="00C66693" w:rsidRDefault="00780E30" w:rsidP="00780E30">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color w:val="333333"/>
                <w:sz w:val="22"/>
                <w:szCs w:val="22"/>
              </w:rPr>
            </w:pPr>
          </w:p>
        </w:tc>
        <w:tc>
          <w:tcPr>
            <w:tcW w:w="0" w:type="auto"/>
            <w:noWrap/>
            <w:vAlign w:val="bottom"/>
            <w:hideMark/>
          </w:tcPr>
          <w:p w14:paraId="5C3ED859" w14:textId="6CDF420B" w:rsidR="00780E30" w:rsidRPr="00780E30" w:rsidRDefault="00780E30" w:rsidP="00780E30">
            <w:pPr>
              <w:jc w:val="right"/>
              <w:cnfStyle w:val="000000100000" w:firstRow="0" w:lastRow="0" w:firstColumn="0" w:lastColumn="0" w:oddVBand="0" w:evenVBand="0" w:oddHBand="1" w:evenHBand="0" w:firstRowFirstColumn="0" w:firstRowLastColumn="0" w:lastRowFirstColumn="0" w:lastRowLastColumn="0"/>
              <w:rPr>
                <w:rFonts w:cstheme="minorHAnsi"/>
                <w:i/>
                <w:iCs/>
              </w:rPr>
            </w:pPr>
            <w:r w:rsidRPr="00780E30">
              <w:rPr>
                <w:rFonts w:cstheme="minorHAnsi"/>
                <w:i/>
                <w:iCs/>
              </w:rPr>
              <w:t>54831</w:t>
            </w:r>
          </w:p>
        </w:tc>
        <w:tc>
          <w:tcPr>
            <w:tcW w:w="0" w:type="auto"/>
            <w:noWrap/>
            <w:vAlign w:val="bottom"/>
            <w:hideMark/>
          </w:tcPr>
          <w:p w14:paraId="71FEC47E" w14:textId="25833F25" w:rsidR="00780E30" w:rsidRPr="00780E30" w:rsidRDefault="00780E30" w:rsidP="00780E30">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BEST2</w:t>
            </w:r>
          </w:p>
        </w:tc>
      </w:tr>
      <w:tr w:rsidR="00780E30" w:rsidRPr="00C66693" w14:paraId="5A4BB17B" w14:textId="77777777" w:rsidTr="00780E30">
        <w:trPr>
          <w:trHeight w:val="399"/>
          <w:jc w:val="center"/>
        </w:trPr>
        <w:tc>
          <w:tcPr>
            <w:cnfStyle w:val="001000000000" w:firstRow="0" w:lastRow="0" w:firstColumn="1" w:lastColumn="0" w:oddVBand="0" w:evenVBand="0" w:oddHBand="0" w:evenHBand="0" w:firstRowFirstColumn="0" w:firstRowLastColumn="0" w:lastRowFirstColumn="0" w:lastRowLastColumn="0"/>
            <w:tcW w:w="0" w:type="auto"/>
            <w:noWrap/>
            <w:vAlign w:val="bottom"/>
            <w:hideMark/>
          </w:tcPr>
          <w:p w14:paraId="01BB6E18" w14:textId="013D9E6B" w:rsidR="00780E30" w:rsidRPr="00C66693" w:rsidRDefault="00780E30" w:rsidP="00780E30">
            <w:pPr>
              <w:jc w:val="right"/>
              <w:rPr>
                <w:rFonts w:cstheme="minorHAnsi"/>
                <w:b w:val="0"/>
                <w:bCs w:val="0"/>
                <w:i/>
                <w:iCs/>
              </w:rPr>
            </w:pPr>
            <w:r w:rsidRPr="00780E30">
              <w:rPr>
                <w:rFonts w:cstheme="minorHAnsi"/>
                <w:b w:val="0"/>
                <w:bCs w:val="0"/>
                <w:i/>
                <w:iCs/>
              </w:rPr>
              <w:t>7166</w:t>
            </w:r>
          </w:p>
        </w:tc>
        <w:tc>
          <w:tcPr>
            <w:tcW w:w="0" w:type="auto"/>
            <w:noWrap/>
            <w:vAlign w:val="bottom"/>
            <w:hideMark/>
          </w:tcPr>
          <w:p w14:paraId="0E7B511C" w14:textId="0F76F928" w:rsidR="00780E30" w:rsidRPr="00780E30" w:rsidRDefault="00780E30" w:rsidP="00780E30">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TPH1</w:t>
            </w:r>
          </w:p>
        </w:tc>
        <w:tc>
          <w:tcPr>
            <w:tcW w:w="0" w:type="auto"/>
            <w:noWrap/>
            <w:vAlign w:val="bottom"/>
            <w:hideMark/>
          </w:tcPr>
          <w:p w14:paraId="2BE3501B" w14:textId="77777777" w:rsidR="00780E30" w:rsidRPr="00C66693" w:rsidRDefault="00780E30" w:rsidP="00780E30">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color w:val="333333"/>
                <w:sz w:val="22"/>
                <w:szCs w:val="22"/>
              </w:rPr>
            </w:pPr>
          </w:p>
        </w:tc>
        <w:tc>
          <w:tcPr>
            <w:tcW w:w="0" w:type="auto"/>
            <w:noWrap/>
            <w:vAlign w:val="bottom"/>
            <w:hideMark/>
          </w:tcPr>
          <w:p w14:paraId="4A84D760" w14:textId="7B7A9730" w:rsidR="00780E30" w:rsidRPr="00780E30" w:rsidRDefault="00780E30" w:rsidP="00780E30">
            <w:pPr>
              <w:jc w:val="right"/>
              <w:cnfStyle w:val="000000000000" w:firstRow="0" w:lastRow="0" w:firstColumn="0" w:lastColumn="0" w:oddVBand="0" w:evenVBand="0" w:oddHBand="0" w:evenHBand="0" w:firstRowFirstColumn="0" w:firstRowLastColumn="0" w:lastRowFirstColumn="0" w:lastRowLastColumn="0"/>
              <w:rPr>
                <w:rFonts w:cstheme="minorHAnsi"/>
                <w:i/>
                <w:iCs/>
              </w:rPr>
            </w:pPr>
            <w:r w:rsidRPr="00780E30">
              <w:rPr>
                <w:rFonts w:cstheme="minorHAnsi"/>
                <w:i/>
                <w:iCs/>
              </w:rPr>
              <w:t>5145</w:t>
            </w:r>
          </w:p>
        </w:tc>
        <w:tc>
          <w:tcPr>
            <w:tcW w:w="0" w:type="auto"/>
            <w:noWrap/>
            <w:vAlign w:val="bottom"/>
            <w:hideMark/>
          </w:tcPr>
          <w:p w14:paraId="65476739" w14:textId="0EECDC5C" w:rsidR="00780E30" w:rsidRPr="00780E30" w:rsidRDefault="00780E30" w:rsidP="00780E30">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PDE6A</w:t>
            </w:r>
          </w:p>
        </w:tc>
        <w:tc>
          <w:tcPr>
            <w:tcW w:w="0" w:type="auto"/>
            <w:noWrap/>
            <w:vAlign w:val="bottom"/>
            <w:hideMark/>
          </w:tcPr>
          <w:p w14:paraId="7F4FDE61" w14:textId="77777777" w:rsidR="00780E30" w:rsidRPr="00C66693" w:rsidRDefault="00780E30" w:rsidP="00780E30">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color w:val="333333"/>
                <w:sz w:val="22"/>
                <w:szCs w:val="22"/>
              </w:rPr>
            </w:pPr>
          </w:p>
        </w:tc>
        <w:tc>
          <w:tcPr>
            <w:tcW w:w="0" w:type="auto"/>
            <w:noWrap/>
            <w:vAlign w:val="bottom"/>
            <w:hideMark/>
          </w:tcPr>
          <w:p w14:paraId="361325ED" w14:textId="1D89A67F" w:rsidR="00780E30" w:rsidRPr="00780E30" w:rsidRDefault="00780E30" w:rsidP="00780E30">
            <w:pPr>
              <w:jc w:val="right"/>
              <w:cnfStyle w:val="000000000000" w:firstRow="0" w:lastRow="0" w:firstColumn="0" w:lastColumn="0" w:oddVBand="0" w:evenVBand="0" w:oddHBand="0" w:evenHBand="0" w:firstRowFirstColumn="0" w:firstRowLastColumn="0" w:lastRowFirstColumn="0" w:lastRowLastColumn="0"/>
              <w:rPr>
                <w:rFonts w:cstheme="minorHAnsi"/>
                <w:i/>
                <w:iCs/>
              </w:rPr>
            </w:pPr>
            <w:r w:rsidRPr="00780E30">
              <w:rPr>
                <w:rFonts w:cstheme="minorHAnsi"/>
                <w:i/>
                <w:iCs/>
              </w:rPr>
              <w:t>3957</w:t>
            </w:r>
          </w:p>
        </w:tc>
        <w:tc>
          <w:tcPr>
            <w:tcW w:w="0" w:type="auto"/>
            <w:noWrap/>
            <w:vAlign w:val="bottom"/>
            <w:hideMark/>
          </w:tcPr>
          <w:p w14:paraId="17A2C426" w14:textId="5678F8EC" w:rsidR="00780E30" w:rsidRPr="00780E30" w:rsidRDefault="00780E30" w:rsidP="00780E30">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LGALS2</w:t>
            </w:r>
          </w:p>
        </w:tc>
      </w:tr>
      <w:tr w:rsidR="00780E30" w:rsidRPr="00C66693" w14:paraId="42DC2D5F" w14:textId="77777777" w:rsidTr="00780E30">
        <w:trPr>
          <w:cnfStyle w:val="000000100000" w:firstRow="0" w:lastRow="0" w:firstColumn="0" w:lastColumn="0" w:oddVBand="0" w:evenVBand="0" w:oddHBand="1" w:evenHBand="0" w:firstRowFirstColumn="0" w:firstRowLastColumn="0" w:lastRowFirstColumn="0" w:lastRowLastColumn="0"/>
          <w:trHeight w:val="399"/>
          <w:jc w:val="center"/>
        </w:trPr>
        <w:tc>
          <w:tcPr>
            <w:cnfStyle w:val="001000000000" w:firstRow="0" w:lastRow="0" w:firstColumn="1" w:lastColumn="0" w:oddVBand="0" w:evenVBand="0" w:oddHBand="0" w:evenHBand="0" w:firstRowFirstColumn="0" w:firstRowLastColumn="0" w:lastRowFirstColumn="0" w:lastRowLastColumn="0"/>
            <w:tcW w:w="0" w:type="auto"/>
            <w:noWrap/>
            <w:vAlign w:val="bottom"/>
            <w:hideMark/>
          </w:tcPr>
          <w:p w14:paraId="24E4A70F" w14:textId="5FF7AB2B" w:rsidR="00780E30" w:rsidRPr="00C66693" w:rsidRDefault="00780E30" w:rsidP="00780E30">
            <w:pPr>
              <w:jc w:val="right"/>
              <w:rPr>
                <w:rFonts w:cstheme="minorHAnsi"/>
                <w:b w:val="0"/>
                <w:bCs w:val="0"/>
                <w:i/>
                <w:iCs/>
              </w:rPr>
            </w:pPr>
            <w:r w:rsidRPr="00780E30">
              <w:rPr>
                <w:rFonts w:cstheme="minorHAnsi"/>
                <w:b w:val="0"/>
                <w:bCs w:val="0"/>
                <w:i/>
                <w:iCs/>
              </w:rPr>
              <w:t>221476</w:t>
            </w:r>
          </w:p>
        </w:tc>
        <w:tc>
          <w:tcPr>
            <w:tcW w:w="0" w:type="auto"/>
            <w:noWrap/>
            <w:vAlign w:val="bottom"/>
            <w:hideMark/>
          </w:tcPr>
          <w:p w14:paraId="72E9A916" w14:textId="1755B2C4" w:rsidR="00780E30" w:rsidRPr="00780E30" w:rsidRDefault="00780E30" w:rsidP="00780E30">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PI16</w:t>
            </w:r>
          </w:p>
        </w:tc>
        <w:tc>
          <w:tcPr>
            <w:tcW w:w="0" w:type="auto"/>
            <w:noWrap/>
            <w:vAlign w:val="bottom"/>
            <w:hideMark/>
          </w:tcPr>
          <w:p w14:paraId="0908AB81" w14:textId="77777777" w:rsidR="00780E30" w:rsidRPr="00C66693" w:rsidRDefault="00780E30" w:rsidP="00780E30">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color w:val="333333"/>
                <w:sz w:val="22"/>
                <w:szCs w:val="22"/>
              </w:rPr>
            </w:pPr>
          </w:p>
        </w:tc>
        <w:tc>
          <w:tcPr>
            <w:tcW w:w="0" w:type="auto"/>
            <w:noWrap/>
            <w:vAlign w:val="bottom"/>
            <w:hideMark/>
          </w:tcPr>
          <w:p w14:paraId="2CA826BE" w14:textId="1C21B8A5" w:rsidR="00780E30" w:rsidRPr="00780E30" w:rsidRDefault="00780E30" w:rsidP="00780E30">
            <w:pPr>
              <w:jc w:val="right"/>
              <w:cnfStyle w:val="000000100000" w:firstRow="0" w:lastRow="0" w:firstColumn="0" w:lastColumn="0" w:oddVBand="0" w:evenVBand="0" w:oddHBand="1" w:evenHBand="0" w:firstRowFirstColumn="0" w:firstRowLastColumn="0" w:lastRowFirstColumn="0" w:lastRowLastColumn="0"/>
              <w:rPr>
                <w:rFonts w:cstheme="minorHAnsi"/>
                <w:i/>
                <w:iCs/>
              </w:rPr>
            </w:pPr>
            <w:r w:rsidRPr="00780E30">
              <w:rPr>
                <w:rFonts w:cstheme="minorHAnsi"/>
                <w:i/>
                <w:iCs/>
              </w:rPr>
              <w:t>283316</w:t>
            </w:r>
          </w:p>
        </w:tc>
        <w:tc>
          <w:tcPr>
            <w:tcW w:w="0" w:type="auto"/>
            <w:noWrap/>
            <w:vAlign w:val="bottom"/>
            <w:hideMark/>
          </w:tcPr>
          <w:p w14:paraId="49E30750" w14:textId="4BB30ED5" w:rsidR="00780E30" w:rsidRPr="00780E30" w:rsidRDefault="00780E30" w:rsidP="00780E30">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CD163L1</w:t>
            </w:r>
          </w:p>
        </w:tc>
        <w:tc>
          <w:tcPr>
            <w:tcW w:w="0" w:type="auto"/>
            <w:noWrap/>
            <w:vAlign w:val="bottom"/>
            <w:hideMark/>
          </w:tcPr>
          <w:p w14:paraId="259C5C0F" w14:textId="77777777" w:rsidR="00780E30" w:rsidRPr="00C66693" w:rsidRDefault="00780E30" w:rsidP="00780E30">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color w:val="333333"/>
                <w:sz w:val="22"/>
                <w:szCs w:val="22"/>
              </w:rPr>
            </w:pPr>
          </w:p>
        </w:tc>
        <w:tc>
          <w:tcPr>
            <w:tcW w:w="0" w:type="auto"/>
            <w:noWrap/>
            <w:vAlign w:val="bottom"/>
            <w:hideMark/>
          </w:tcPr>
          <w:p w14:paraId="7A8476AD" w14:textId="3351BBB5" w:rsidR="00780E30" w:rsidRPr="00780E30" w:rsidRDefault="00780E30" w:rsidP="00780E30">
            <w:pPr>
              <w:jc w:val="right"/>
              <w:cnfStyle w:val="000000100000" w:firstRow="0" w:lastRow="0" w:firstColumn="0" w:lastColumn="0" w:oddVBand="0" w:evenVBand="0" w:oddHBand="1" w:evenHBand="0" w:firstRowFirstColumn="0" w:firstRowLastColumn="0" w:lastRowFirstColumn="0" w:lastRowLastColumn="0"/>
              <w:rPr>
                <w:rFonts w:cstheme="minorHAnsi"/>
                <w:i/>
                <w:iCs/>
              </w:rPr>
            </w:pPr>
            <w:r w:rsidRPr="00780E30">
              <w:rPr>
                <w:rFonts w:cstheme="minorHAnsi"/>
                <w:i/>
                <w:iCs/>
              </w:rPr>
              <w:t>4493</w:t>
            </w:r>
          </w:p>
        </w:tc>
        <w:tc>
          <w:tcPr>
            <w:tcW w:w="0" w:type="auto"/>
            <w:noWrap/>
            <w:vAlign w:val="bottom"/>
            <w:hideMark/>
          </w:tcPr>
          <w:p w14:paraId="46C9B2C6" w14:textId="0A8FD24C" w:rsidR="00780E30" w:rsidRPr="00780E30" w:rsidRDefault="00780E30" w:rsidP="00780E30">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MT1E</w:t>
            </w:r>
          </w:p>
        </w:tc>
      </w:tr>
      <w:tr w:rsidR="00780E30" w:rsidRPr="00C66693" w14:paraId="52BC10A7" w14:textId="77777777" w:rsidTr="00780E30">
        <w:trPr>
          <w:trHeight w:val="399"/>
          <w:jc w:val="center"/>
        </w:trPr>
        <w:tc>
          <w:tcPr>
            <w:cnfStyle w:val="001000000000" w:firstRow="0" w:lastRow="0" w:firstColumn="1" w:lastColumn="0" w:oddVBand="0" w:evenVBand="0" w:oddHBand="0" w:evenHBand="0" w:firstRowFirstColumn="0" w:firstRowLastColumn="0" w:lastRowFirstColumn="0" w:lastRowLastColumn="0"/>
            <w:tcW w:w="0" w:type="auto"/>
            <w:noWrap/>
            <w:vAlign w:val="bottom"/>
            <w:hideMark/>
          </w:tcPr>
          <w:p w14:paraId="13C56E61" w14:textId="2D52D91D" w:rsidR="00780E30" w:rsidRPr="00C66693" w:rsidRDefault="00780E30" w:rsidP="00780E30">
            <w:pPr>
              <w:jc w:val="right"/>
              <w:rPr>
                <w:rFonts w:cstheme="minorHAnsi"/>
                <w:b w:val="0"/>
                <w:bCs w:val="0"/>
                <w:i/>
                <w:iCs/>
              </w:rPr>
            </w:pPr>
            <w:r w:rsidRPr="00780E30">
              <w:rPr>
                <w:rFonts w:cstheme="minorHAnsi"/>
                <w:b w:val="0"/>
                <w:bCs w:val="0"/>
                <w:i/>
                <w:iCs/>
              </w:rPr>
              <w:t>10590</w:t>
            </w:r>
          </w:p>
        </w:tc>
        <w:tc>
          <w:tcPr>
            <w:tcW w:w="0" w:type="auto"/>
            <w:noWrap/>
            <w:vAlign w:val="bottom"/>
            <w:hideMark/>
          </w:tcPr>
          <w:p w14:paraId="1828430D" w14:textId="234D1377" w:rsidR="00780E30" w:rsidRPr="00780E30" w:rsidRDefault="00780E30" w:rsidP="00780E30">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SCGN</w:t>
            </w:r>
          </w:p>
        </w:tc>
        <w:tc>
          <w:tcPr>
            <w:tcW w:w="0" w:type="auto"/>
            <w:noWrap/>
            <w:vAlign w:val="bottom"/>
            <w:hideMark/>
          </w:tcPr>
          <w:p w14:paraId="5BA10BF5" w14:textId="77777777" w:rsidR="00780E30" w:rsidRPr="00C66693" w:rsidRDefault="00780E30" w:rsidP="00780E30">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color w:val="333333"/>
                <w:sz w:val="22"/>
                <w:szCs w:val="22"/>
              </w:rPr>
            </w:pPr>
          </w:p>
        </w:tc>
        <w:tc>
          <w:tcPr>
            <w:tcW w:w="0" w:type="auto"/>
            <w:noWrap/>
            <w:vAlign w:val="bottom"/>
            <w:hideMark/>
          </w:tcPr>
          <w:p w14:paraId="4C54A5B9" w14:textId="4C082140" w:rsidR="00780E30" w:rsidRPr="00780E30" w:rsidRDefault="00780E30" w:rsidP="00780E30">
            <w:pPr>
              <w:jc w:val="right"/>
              <w:cnfStyle w:val="000000000000" w:firstRow="0" w:lastRow="0" w:firstColumn="0" w:lastColumn="0" w:oddVBand="0" w:evenVBand="0" w:oddHBand="0" w:evenHBand="0" w:firstRowFirstColumn="0" w:firstRowLastColumn="0" w:lastRowFirstColumn="0" w:lastRowLastColumn="0"/>
              <w:rPr>
                <w:rFonts w:cstheme="minorHAnsi"/>
                <w:i/>
                <w:iCs/>
              </w:rPr>
            </w:pPr>
            <w:r w:rsidRPr="00780E30">
              <w:rPr>
                <w:rFonts w:cstheme="minorHAnsi"/>
                <w:i/>
                <w:iCs/>
              </w:rPr>
              <w:t>3158</w:t>
            </w:r>
          </w:p>
        </w:tc>
        <w:tc>
          <w:tcPr>
            <w:tcW w:w="0" w:type="auto"/>
            <w:noWrap/>
            <w:vAlign w:val="bottom"/>
            <w:hideMark/>
          </w:tcPr>
          <w:p w14:paraId="66667D60" w14:textId="1769094A" w:rsidR="00780E30" w:rsidRPr="00780E30" w:rsidRDefault="00780E30" w:rsidP="00780E30">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HMGCS2</w:t>
            </w:r>
          </w:p>
        </w:tc>
        <w:tc>
          <w:tcPr>
            <w:tcW w:w="0" w:type="auto"/>
            <w:noWrap/>
            <w:vAlign w:val="bottom"/>
            <w:hideMark/>
          </w:tcPr>
          <w:p w14:paraId="04E4BD8C" w14:textId="77777777" w:rsidR="00780E30" w:rsidRPr="00C66693" w:rsidRDefault="00780E30" w:rsidP="00780E30">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color w:val="333333"/>
                <w:sz w:val="22"/>
                <w:szCs w:val="22"/>
              </w:rPr>
            </w:pPr>
          </w:p>
        </w:tc>
        <w:tc>
          <w:tcPr>
            <w:tcW w:w="0" w:type="auto"/>
            <w:noWrap/>
            <w:vAlign w:val="bottom"/>
            <w:hideMark/>
          </w:tcPr>
          <w:p w14:paraId="56484607" w14:textId="22A96220" w:rsidR="00780E30" w:rsidRPr="00780E30" w:rsidRDefault="00780E30" w:rsidP="00780E30">
            <w:pPr>
              <w:jc w:val="right"/>
              <w:cnfStyle w:val="000000000000" w:firstRow="0" w:lastRow="0" w:firstColumn="0" w:lastColumn="0" w:oddVBand="0" w:evenVBand="0" w:oddHBand="0" w:evenHBand="0" w:firstRowFirstColumn="0" w:firstRowLastColumn="0" w:lastRowFirstColumn="0" w:lastRowLastColumn="0"/>
              <w:rPr>
                <w:rFonts w:cstheme="minorHAnsi"/>
                <w:i/>
                <w:iCs/>
              </w:rPr>
            </w:pPr>
            <w:r w:rsidRPr="00780E30">
              <w:rPr>
                <w:rFonts w:cstheme="minorHAnsi"/>
                <w:i/>
                <w:iCs/>
              </w:rPr>
              <w:t>80726</w:t>
            </w:r>
          </w:p>
        </w:tc>
        <w:tc>
          <w:tcPr>
            <w:tcW w:w="0" w:type="auto"/>
            <w:noWrap/>
            <w:vAlign w:val="bottom"/>
            <w:hideMark/>
          </w:tcPr>
          <w:p w14:paraId="2DB34DCA" w14:textId="6E49ED56" w:rsidR="00780E30" w:rsidRPr="00780E30" w:rsidRDefault="00780E30" w:rsidP="00780E30">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IQCN</w:t>
            </w:r>
          </w:p>
        </w:tc>
      </w:tr>
      <w:tr w:rsidR="00780E30" w:rsidRPr="00C66693" w14:paraId="02D3547F" w14:textId="77777777" w:rsidTr="00780E30">
        <w:trPr>
          <w:cnfStyle w:val="000000100000" w:firstRow="0" w:lastRow="0" w:firstColumn="0" w:lastColumn="0" w:oddVBand="0" w:evenVBand="0" w:oddHBand="1" w:evenHBand="0" w:firstRowFirstColumn="0" w:firstRowLastColumn="0" w:lastRowFirstColumn="0" w:lastRowLastColumn="0"/>
          <w:trHeight w:val="399"/>
          <w:jc w:val="center"/>
        </w:trPr>
        <w:tc>
          <w:tcPr>
            <w:cnfStyle w:val="001000000000" w:firstRow="0" w:lastRow="0" w:firstColumn="1" w:lastColumn="0" w:oddVBand="0" w:evenVBand="0" w:oddHBand="0" w:evenHBand="0" w:firstRowFirstColumn="0" w:firstRowLastColumn="0" w:lastRowFirstColumn="0" w:lastRowLastColumn="0"/>
            <w:tcW w:w="0" w:type="auto"/>
            <w:noWrap/>
            <w:vAlign w:val="bottom"/>
            <w:hideMark/>
          </w:tcPr>
          <w:p w14:paraId="13D7C172" w14:textId="46E89971" w:rsidR="00780E30" w:rsidRPr="00C66693" w:rsidRDefault="00780E30" w:rsidP="00780E30">
            <w:pPr>
              <w:jc w:val="right"/>
              <w:rPr>
                <w:rFonts w:cstheme="minorHAnsi"/>
                <w:b w:val="0"/>
                <w:bCs w:val="0"/>
                <w:i/>
                <w:iCs/>
              </w:rPr>
            </w:pPr>
            <w:r w:rsidRPr="00780E30">
              <w:rPr>
                <w:rFonts w:cstheme="minorHAnsi"/>
                <w:b w:val="0"/>
                <w:bCs w:val="0"/>
                <w:i/>
                <w:iCs/>
              </w:rPr>
              <w:t>7102</w:t>
            </w:r>
          </w:p>
        </w:tc>
        <w:tc>
          <w:tcPr>
            <w:tcW w:w="0" w:type="auto"/>
            <w:noWrap/>
            <w:vAlign w:val="bottom"/>
            <w:hideMark/>
          </w:tcPr>
          <w:p w14:paraId="5724DFAB" w14:textId="6D14E7B2" w:rsidR="00780E30" w:rsidRPr="00780E30" w:rsidRDefault="00780E30" w:rsidP="00780E30">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TSPAN7</w:t>
            </w:r>
          </w:p>
        </w:tc>
        <w:tc>
          <w:tcPr>
            <w:tcW w:w="0" w:type="auto"/>
            <w:noWrap/>
            <w:vAlign w:val="bottom"/>
            <w:hideMark/>
          </w:tcPr>
          <w:p w14:paraId="3CA5983C" w14:textId="77777777" w:rsidR="00780E30" w:rsidRPr="00C66693" w:rsidRDefault="00780E30" w:rsidP="00780E30">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color w:val="333333"/>
                <w:sz w:val="22"/>
                <w:szCs w:val="22"/>
              </w:rPr>
            </w:pPr>
          </w:p>
        </w:tc>
        <w:tc>
          <w:tcPr>
            <w:tcW w:w="0" w:type="auto"/>
            <w:noWrap/>
            <w:vAlign w:val="bottom"/>
            <w:hideMark/>
          </w:tcPr>
          <w:p w14:paraId="37CE0BF7" w14:textId="4802DD9B" w:rsidR="00780E30" w:rsidRPr="00780E30" w:rsidRDefault="00780E30" w:rsidP="00780E30">
            <w:pPr>
              <w:jc w:val="right"/>
              <w:cnfStyle w:val="000000100000" w:firstRow="0" w:lastRow="0" w:firstColumn="0" w:lastColumn="0" w:oddVBand="0" w:evenVBand="0" w:oddHBand="1" w:evenHBand="0" w:firstRowFirstColumn="0" w:firstRowLastColumn="0" w:lastRowFirstColumn="0" w:lastRowLastColumn="0"/>
              <w:rPr>
                <w:rFonts w:cstheme="minorHAnsi"/>
                <w:i/>
                <w:iCs/>
              </w:rPr>
            </w:pPr>
            <w:r w:rsidRPr="00780E30">
              <w:rPr>
                <w:rFonts w:cstheme="minorHAnsi"/>
                <w:i/>
                <w:iCs/>
              </w:rPr>
              <w:t>11170</w:t>
            </w:r>
          </w:p>
        </w:tc>
        <w:tc>
          <w:tcPr>
            <w:tcW w:w="0" w:type="auto"/>
            <w:noWrap/>
            <w:vAlign w:val="bottom"/>
            <w:hideMark/>
          </w:tcPr>
          <w:p w14:paraId="76ADD838" w14:textId="5DAADFAC" w:rsidR="00780E30" w:rsidRPr="00780E30" w:rsidRDefault="00780E30" w:rsidP="00780E30">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FAM107A</w:t>
            </w:r>
          </w:p>
        </w:tc>
        <w:tc>
          <w:tcPr>
            <w:tcW w:w="0" w:type="auto"/>
            <w:noWrap/>
            <w:vAlign w:val="bottom"/>
            <w:hideMark/>
          </w:tcPr>
          <w:p w14:paraId="064CE637" w14:textId="77777777" w:rsidR="00780E30" w:rsidRPr="00C66693" w:rsidRDefault="00780E30" w:rsidP="00780E30">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color w:val="333333"/>
                <w:sz w:val="22"/>
                <w:szCs w:val="22"/>
              </w:rPr>
            </w:pPr>
          </w:p>
        </w:tc>
        <w:tc>
          <w:tcPr>
            <w:tcW w:w="0" w:type="auto"/>
            <w:noWrap/>
            <w:vAlign w:val="bottom"/>
            <w:hideMark/>
          </w:tcPr>
          <w:p w14:paraId="4F2887D9" w14:textId="48B5C16A" w:rsidR="00780E30" w:rsidRPr="00780E30" w:rsidRDefault="00780E30" w:rsidP="00780E30">
            <w:pPr>
              <w:jc w:val="right"/>
              <w:cnfStyle w:val="000000100000" w:firstRow="0" w:lastRow="0" w:firstColumn="0" w:lastColumn="0" w:oddVBand="0" w:evenVBand="0" w:oddHBand="1" w:evenHBand="0" w:firstRowFirstColumn="0" w:firstRowLastColumn="0" w:lastRowFirstColumn="0" w:lastRowLastColumn="0"/>
              <w:rPr>
                <w:rFonts w:cstheme="minorHAnsi"/>
                <w:i/>
                <w:iCs/>
              </w:rPr>
            </w:pPr>
            <w:r w:rsidRPr="00780E30">
              <w:rPr>
                <w:rFonts w:cstheme="minorHAnsi"/>
                <w:i/>
                <w:iCs/>
              </w:rPr>
              <w:t>10317</w:t>
            </w:r>
          </w:p>
        </w:tc>
        <w:tc>
          <w:tcPr>
            <w:tcW w:w="0" w:type="auto"/>
            <w:noWrap/>
            <w:vAlign w:val="bottom"/>
            <w:hideMark/>
          </w:tcPr>
          <w:p w14:paraId="60F06EB1" w14:textId="00C8D8CC" w:rsidR="00780E30" w:rsidRPr="00780E30" w:rsidRDefault="00780E30" w:rsidP="00780E30">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B3GALT5</w:t>
            </w:r>
          </w:p>
        </w:tc>
      </w:tr>
      <w:tr w:rsidR="00780E30" w:rsidRPr="00C66693" w14:paraId="36CB1A6B" w14:textId="77777777" w:rsidTr="00780E30">
        <w:trPr>
          <w:trHeight w:val="399"/>
          <w:jc w:val="center"/>
        </w:trPr>
        <w:tc>
          <w:tcPr>
            <w:cnfStyle w:val="001000000000" w:firstRow="0" w:lastRow="0" w:firstColumn="1" w:lastColumn="0" w:oddVBand="0" w:evenVBand="0" w:oddHBand="0" w:evenHBand="0" w:firstRowFirstColumn="0" w:firstRowLastColumn="0" w:lastRowFirstColumn="0" w:lastRowLastColumn="0"/>
            <w:tcW w:w="0" w:type="auto"/>
            <w:noWrap/>
            <w:vAlign w:val="bottom"/>
            <w:hideMark/>
          </w:tcPr>
          <w:p w14:paraId="005D3799" w14:textId="72C47ADA" w:rsidR="00780E30" w:rsidRPr="00C66693" w:rsidRDefault="00780E30" w:rsidP="00780E30">
            <w:pPr>
              <w:jc w:val="right"/>
              <w:rPr>
                <w:rFonts w:cstheme="minorHAnsi"/>
                <w:b w:val="0"/>
                <w:bCs w:val="0"/>
                <w:i/>
                <w:iCs/>
              </w:rPr>
            </w:pPr>
            <w:r w:rsidRPr="00780E30">
              <w:rPr>
                <w:rFonts w:cstheme="minorHAnsi"/>
                <w:b w:val="0"/>
                <w:bCs w:val="0"/>
                <w:i/>
                <w:iCs/>
              </w:rPr>
              <w:t>6689</w:t>
            </w:r>
          </w:p>
        </w:tc>
        <w:tc>
          <w:tcPr>
            <w:tcW w:w="0" w:type="auto"/>
            <w:noWrap/>
            <w:vAlign w:val="bottom"/>
            <w:hideMark/>
          </w:tcPr>
          <w:p w14:paraId="132AA98D" w14:textId="728092DE" w:rsidR="00780E30" w:rsidRPr="00780E30" w:rsidRDefault="00780E30" w:rsidP="00780E30">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SPIB</w:t>
            </w:r>
          </w:p>
        </w:tc>
        <w:tc>
          <w:tcPr>
            <w:tcW w:w="0" w:type="auto"/>
            <w:noWrap/>
            <w:vAlign w:val="bottom"/>
            <w:hideMark/>
          </w:tcPr>
          <w:p w14:paraId="66B73CD6" w14:textId="77777777" w:rsidR="00780E30" w:rsidRPr="00C66693" w:rsidRDefault="00780E30" w:rsidP="00780E30">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color w:val="333333"/>
                <w:sz w:val="22"/>
                <w:szCs w:val="22"/>
              </w:rPr>
            </w:pPr>
          </w:p>
        </w:tc>
        <w:tc>
          <w:tcPr>
            <w:tcW w:w="0" w:type="auto"/>
            <w:noWrap/>
            <w:vAlign w:val="bottom"/>
            <w:hideMark/>
          </w:tcPr>
          <w:p w14:paraId="1EA5DDA6" w14:textId="16B1B6E6" w:rsidR="00780E30" w:rsidRPr="00780E30" w:rsidRDefault="00780E30" w:rsidP="00780E30">
            <w:pPr>
              <w:jc w:val="right"/>
              <w:cnfStyle w:val="000000000000" w:firstRow="0" w:lastRow="0" w:firstColumn="0" w:lastColumn="0" w:oddVBand="0" w:evenVBand="0" w:oddHBand="0" w:evenHBand="0" w:firstRowFirstColumn="0" w:firstRowLastColumn="0" w:lastRowFirstColumn="0" w:lastRowLastColumn="0"/>
              <w:rPr>
                <w:rFonts w:cstheme="minorHAnsi"/>
                <w:i/>
                <w:iCs/>
              </w:rPr>
            </w:pPr>
            <w:r w:rsidRPr="00780E30">
              <w:rPr>
                <w:rFonts w:cstheme="minorHAnsi"/>
                <w:i/>
                <w:iCs/>
              </w:rPr>
              <w:t>162514</w:t>
            </w:r>
          </w:p>
        </w:tc>
        <w:tc>
          <w:tcPr>
            <w:tcW w:w="0" w:type="auto"/>
            <w:noWrap/>
            <w:vAlign w:val="bottom"/>
            <w:hideMark/>
          </w:tcPr>
          <w:p w14:paraId="5C34DF1A" w14:textId="4AA96761" w:rsidR="00780E30" w:rsidRPr="00780E30" w:rsidRDefault="00780E30" w:rsidP="00780E30">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TRPV3</w:t>
            </w:r>
          </w:p>
        </w:tc>
        <w:tc>
          <w:tcPr>
            <w:tcW w:w="0" w:type="auto"/>
            <w:noWrap/>
            <w:vAlign w:val="bottom"/>
            <w:hideMark/>
          </w:tcPr>
          <w:p w14:paraId="735FD251" w14:textId="77777777" w:rsidR="00780E30" w:rsidRPr="00C66693" w:rsidRDefault="00780E30" w:rsidP="00780E30">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color w:val="333333"/>
                <w:sz w:val="22"/>
                <w:szCs w:val="22"/>
              </w:rPr>
            </w:pPr>
          </w:p>
        </w:tc>
        <w:tc>
          <w:tcPr>
            <w:tcW w:w="0" w:type="auto"/>
            <w:noWrap/>
            <w:vAlign w:val="bottom"/>
            <w:hideMark/>
          </w:tcPr>
          <w:p w14:paraId="3E146084" w14:textId="0EB03C35" w:rsidR="00780E30" w:rsidRPr="00780E30" w:rsidRDefault="00780E30" w:rsidP="00780E30">
            <w:pPr>
              <w:jc w:val="right"/>
              <w:cnfStyle w:val="000000000000" w:firstRow="0" w:lastRow="0" w:firstColumn="0" w:lastColumn="0" w:oddVBand="0" w:evenVBand="0" w:oddHBand="0" w:evenHBand="0" w:firstRowFirstColumn="0" w:firstRowLastColumn="0" w:lastRowFirstColumn="0" w:lastRowLastColumn="0"/>
              <w:rPr>
                <w:rFonts w:cstheme="minorHAnsi"/>
                <w:i/>
                <w:iCs/>
              </w:rPr>
            </w:pPr>
            <w:r w:rsidRPr="00780E30">
              <w:rPr>
                <w:rFonts w:cstheme="minorHAnsi"/>
                <w:i/>
                <w:iCs/>
              </w:rPr>
              <w:t>124872</w:t>
            </w:r>
          </w:p>
        </w:tc>
        <w:tc>
          <w:tcPr>
            <w:tcW w:w="0" w:type="auto"/>
            <w:noWrap/>
            <w:vAlign w:val="bottom"/>
            <w:hideMark/>
          </w:tcPr>
          <w:p w14:paraId="2EC781CB" w14:textId="6B15E2D1" w:rsidR="00780E30" w:rsidRPr="00780E30" w:rsidRDefault="00780E30" w:rsidP="00780E30">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B4GALNT2</w:t>
            </w:r>
          </w:p>
        </w:tc>
      </w:tr>
      <w:tr w:rsidR="00780E30" w:rsidRPr="00C66693" w14:paraId="1D7F884E" w14:textId="77777777" w:rsidTr="00780E30">
        <w:trPr>
          <w:cnfStyle w:val="000000100000" w:firstRow="0" w:lastRow="0" w:firstColumn="0" w:lastColumn="0" w:oddVBand="0" w:evenVBand="0" w:oddHBand="1" w:evenHBand="0" w:firstRowFirstColumn="0" w:firstRowLastColumn="0" w:lastRowFirstColumn="0" w:lastRowLastColumn="0"/>
          <w:trHeight w:val="399"/>
          <w:jc w:val="center"/>
        </w:trPr>
        <w:tc>
          <w:tcPr>
            <w:cnfStyle w:val="001000000000" w:firstRow="0" w:lastRow="0" w:firstColumn="1" w:lastColumn="0" w:oddVBand="0" w:evenVBand="0" w:oddHBand="0" w:evenHBand="0" w:firstRowFirstColumn="0" w:firstRowLastColumn="0" w:lastRowFirstColumn="0" w:lastRowLastColumn="0"/>
            <w:tcW w:w="0" w:type="auto"/>
            <w:noWrap/>
            <w:vAlign w:val="bottom"/>
            <w:hideMark/>
          </w:tcPr>
          <w:p w14:paraId="28C15443" w14:textId="68741EE7" w:rsidR="00780E30" w:rsidRPr="00C66693" w:rsidRDefault="00780E30" w:rsidP="00780E30">
            <w:pPr>
              <w:jc w:val="right"/>
              <w:rPr>
                <w:rFonts w:cstheme="minorHAnsi"/>
                <w:b w:val="0"/>
                <w:bCs w:val="0"/>
                <w:i/>
                <w:iCs/>
              </w:rPr>
            </w:pPr>
            <w:r w:rsidRPr="00780E30">
              <w:rPr>
                <w:rFonts w:cstheme="minorHAnsi"/>
                <w:b w:val="0"/>
                <w:bCs w:val="0"/>
                <w:i/>
                <w:iCs/>
              </w:rPr>
              <w:t>1113</w:t>
            </w:r>
          </w:p>
        </w:tc>
        <w:tc>
          <w:tcPr>
            <w:tcW w:w="0" w:type="auto"/>
            <w:noWrap/>
            <w:vAlign w:val="bottom"/>
            <w:hideMark/>
          </w:tcPr>
          <w:p w14:paraId="1BCA5C91" w14:textId="29D62572" w:rsidR="00780E30" w:rsidRPr="00780E30" w:rsidRDefault="00780E30" w:rsidP="00780E30">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CHGA</w:t>
            </w:r>
          </w:p>
        </w:tc>
        <w:tc>
          <w:tcPr>
            <w:tcW w:w="0" w:type="auto"/>
            <w:noWrap/>
            <w:vAlign w:val="bottom"/>
            <w:hideMark/>
          </w:tcPr>
          <w:p w14:paraId="3D4DF26E" w14:textId="77777777" w:rsidR="00780E30" w:rsidRPr="00C66693" w:rsidRDefault="00780E30" w:rsidP="00780E30">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color w:val="333333"/>
                <w:sz w:val="22"/>
                <w:szCs w:val="22"/>
              </w:rPr>
            </w:pPr>
          </w:p>
        </w:tc>
        <w:tc>
          <w:tcPr>
            <w:tcW w:w="0" w:type="auto"/>
            <w:noWrap/>
            <w:vAlign w:val="bottom"/>
            <w:hideMark/>
          </w:tcPr>
          <w:p w14:paraId="725A31EF" w14:textId="73F2CEA3" w:rsidR="00780E30" w:rsidRPr="00780E30" w:rsidRDefault="00780E30" w:rsidP="00780E30">
            <w:pPr>
              <w:jc w:val="right"/>
              <w:cnfStyle w:val="000000100000" w:firstRow="0" w:lastRow="0" w:firstColumn="0" w:lastColumn="0" w:oddVBand="0" w:evenVBand="0" w:oddHBand="1" w:evenHBand="0" w:firstRowFirstColumn="0" w:firstRowLastColumn="0" w:lastRowFirstColumn="0" w:lastRowLastColumn="0"/>
              <w:rPr>
                <w:rFonts w:cstheme="minorHAnsi"/>
                <w:i/>
                <w:iCs/>
              </w:rPr>
            </w:pPr>
            <w:r w:rsidRPr="00780E30">
              <w:rPr>
                <w:rFonts w:cstheme="minorHAnsi"/>
                <w:i/>
                <w:iCs/>
              </w:rPr>
              <w:t>25890</w:t>
            </w:r>
          </w:p>
        </w:tc>
        <w:tc>
          <w:tcPr>
            <w:tcW w:w="0" w:type="auto"/>
            <w:noWrap/>
            <w:vAlign w:val="bottom"/>
            <w:hideMark/>
          </w:tcPr>
          <w:p w14:paraId="093AA513" w14:textId="0075760A" w:rsidR="00780E30" w:rsidRPr="00780E30" w:rsidRDefault="00780E30" w:rsidP="00780E30">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ABI3BP</w:t>
            </w:r>
          </w:p>
        </w:tc>
        <w:tc>
          <w:tcPr>
            <w:tcW w:w="0" w:type="auto"/>
            <w:noWrap/>
            <w:vAlign w:val="bottom"/>
            <w:hideMark/>
          </w:tcPr>
          <w:p w14:paraId="29DB7823" w14:textId="77777777" w:rsidR="00780E30" w:rsidRPr="00C66693" w:rsidRDefault="00780E30" w:rsidP="00780E30">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color w:val="333333"/>
                <w:sz w:val="22"/>
                <w:szCs w:val="22"/>
              </w:rPr>
            </w:pPr>
          </w:p>
        </w:tc>
        <w:tc>
          <w:tcPr>
            <w:tcW w:w="0" w:type="auto"/>
            <w:noWrap/>
            <w:vAlign w:val="bottom"/>
            <w:hideMark/>
          </w:tcPr>
          <w:p w14:paraId="639C8CF6" w14:textId="2679EF7F" w:rsidR="00780E30" w:rsidRPr="00780E30" w:rsidRDefault="00780E30" w:rsidP="00780E30">
            <w:pPr>
              <w:jc w:val="right"/>
              <w:cnfStyle w:val="000000100000" w:firstRow="0" w:lastRow="0" w:firstColumn="0" w:lastColumn="0" w:oddVBand="0" w:evenVBand="0" w:oddHBand="1" w:evenHBand="0" w:firstRowFirstColumn="0" w:firstRowLastColumn="0" w:lastRowFirstColumn="0" w:lastRowLastColumn="0"/>
              <w:rPr>
                <w:rFonts w:cstheme="minorHAnsi"/>
                <w:i/>
                <w:iCs/>
              </w:rPr>
            </w:pPr>
            <w:r w:rsidRPr="00780E30">
              <w:rPr>
                <w:rFonts w:cstheme="minorHAnsi"/>
                <w:i/>
                <w:iCs/>
              </w:rPr>
              <w:t>6817</w:t>
            </w:r>
          </w:p>
        </w:tc>
        <w:tc>
          <w:tcPr>
            <w:tcW w:w="0" w:type="auto"/>
            <w:noWrap/>
            <w:vAlign w:val="bottom"/>
            <w:hideMark/>
          </w:tcPr>
          <w:p w14:paraId="07D8A6B1" w14:textId="3BE86D3E" w:rsidR="00780E30" w:rsidRPr="00780E30" w:rsidRDefault="00780E30" w:rsidP="00780E30">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SULT1A1</w:t>
            </w:r>
          </w:p>
        </w:tc>
      </w:tr>
      <w:tr w:rsidR="00780E30" w:rsidRPr="00C66693" w14:paraId="42D16052" w14:textId="77777777" w:rsidTr="00780E30">
        <w:trPr>
          <w:trHeight w:val="399"/>
          <w:jc w:val="center"/>
        </w:trPr>
        <w:tc>
          <w:tcPr>
            <w:cnfStyle w:val="001000000000" w:firstRow="0" w:lastRow="0" w:firstColumn="1" w:lastColumn="0" w:oddVBand="0" w:evenVBand="0" w:oddHBand="0" w:evenHBand="0" w:firstRowFirstColumn="0" w:firstRowLastColumn="0" w:lastRowFirstColumn="0" w:lastRowLastColumn="0"/>
            <w:tcW w:w="0" w:type="auto"/>
            <w:noWrap/>
            <w:vAlign w:val="bottom"/>
            <w:hideMark/>
          </w:tcPr>
          <w:p w14:paraId="409CCE0F" w14:textId="2D008230" w:rsidR="00780E30" w:rsidRPr="00C66693" w:rsidRDefault="00780E30" w:rsidP="00780E30">
            <w:pPr>
              <w:jc w:val="right"/>
              <w:rPr>
                <w:rFonts w:cstheme="minorHAnsi"/>
                <w:b w:val="0"/>
                <w:bCs w:val="0"/>
                <w:i/>
                <w:iCs/>
              </w:rPr>
            </w:pPr>
            <w:r w:rsidRPr="00780E30">
              <w:rPr>
                <w:rFonts w:cstheme="minorHAnsi"/>
                <w:b w:val="0"/>
                <w:bCs w:val="0"/>
                <w:i/>
                <w:iCs/>
              </w:rPr>
              <w:t>5697</w:t>
            </w:r>
          </w:p>
        </w:tc>
        <w:tc>
          <w:tcPr>
            <w:tcW w:w="0" w:type="auto"/>
            <w:noWrap/>
            <w:vAlign w:val="bottom"/>
            <w:hideMark/>
          </w:tcPr>
          <w:p w14:paraId="5A99F85A" w14:textId="1DFA0B1F" w:rsidR="00780E30" w:rsidRPr="00780E30" w:rsidRDefault="00780E30" w:rsidP="00780E30">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PYY</w:t>
            </w:r>
          </w:p>
        </w:tc>
        <w:tc>
          <w:tcPr>
            <w:tcW w:w="0" w:type="auto"/>
            <w:noWrap/>
            <w:vAlign w:val="bottom"/>
            <w:hideMark/>
          </w:tcPr>
          <w:p w14:paraId="5FD98BE8" w14:textId="77777777" w:rsidR="00780E30" w:rsidRPr="00C66693" w:rsidRDefault="00780E30" w:rsidP="00780E30">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color w:val="333333"/>
                <w:sz w:val="22"/>
                <w:szCs w:val="22"/>
              </w:rPr>
            </w:pPr>
          </w:p>
        </w:tc>
        <w:tc>
          <w:tcPr>
            <w:tcW w:w="0" w:type="auto"/>
            <w:noWrap/>
            <w:vAlign w:val="bottom"/>
            <w:hideMark/>
          </w:tcPr>
          <w:p w14:paraId="37D91CBF" w14:textId="60E2C6B0" w:rsidR="00780E30" w:rsidRPr="00780E30" w:rsidRDefault="00780E30" w:rsidP="00780E30">
            <w:pPr>
              <w:jc w:val="right"/>
              <w:cnfStyle w:val="000000000000" w:firstRow="0" w:lastRow="0" w:firstColumn="0" w:lastColumn="0" w:oddVBand="0" w:evenVBand="0" w:oddHBand="0" w:evenHBand="0" w:firstRowFirstColumn="0" w:firstRowLastColumn="0" w:lastRowFirstColumn="0" w:lastRowLastColumn="0"/>
              <w:rPr>
                <w:rFonts w:cstheme="minorHAnsi"/>
                <w:i/>
                <w:iCs/>
              </w:rPr>
            </w:pPr>
            <w:r w:rsidRPr="00780E30">
              <w:rPr>
                <w:rFonts w:cstheme="minorHAnsi"/>
                <w:i/>
                <w:iCs/>
              </w:rPr>
              <w:t>140803</w:t>
            </w:r>
          </w:p>
        </w:tc>
        <w:tc>
          <w:tcPr>
            <w:tcW w:w="0" w:type="auto"/>
            <w:noWrap/>
            <w:vAlign w:val="bottom"/>
            <w:hideMark/>
          </w:tcPr>
          <w:p w14:paraId="1F30A095" w14:textId="02BFD31B" w:rsidR="00780E30" w:rsidRPr="00780E30" w:rsidRDefault="00780E30" w:rsidP="00780E30">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TRPM6</w:t>
            </w:r>
          </w:p>
        </w:tc>
        <w:tc>
          <w:tcPr>
            <w:tcW w:w="0" w:type="auto"/>
            <w:noWrap/>
            <w:vAlign w:val="bottom"/>
            <w:hideMark/>
          </w:tcPr>
          <w:p w14:paraId="278D3BC3" w14:textId="77777777" w:rsidR="00780E30" w:rsidRPr="00C66693" w:rsidRDefault="00780E30" w:rsidP="00780E30">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color w:val="333333"/>
                <w:sz w:val="22"/>
                <w:szCs w:val="22"/>
              </w:rPr>
            </w:pPr>
          </w:p>
        </w:tc>
        <w:tc>
          <w:tcPr>
            <w:tcW w:w="0" w:type="auto"/>
            <w:noWrap/>
            <w:vAlign w:val="bottom"/>
            <w:hideMark/>
          </w:tcPr>
          <w:p w14:paraId="703A7430" w14:textId="236333BE" w:rsidR="00780E30" w:rsidRPr="00780E30" w:rsidRDefault="00780E30" w:rsidP="00780E30">
            <w:pPr>
              <w:jc w:val="right"/>
              <w:cnfStyle w:val="000000000000" w:firstRow="0" w:lastRow="0" w:firstColumn="0" w:lastColumn="0" w:oddVBand="0" w:evenVBand="0" w:oddHBand="0" w:evenHBand="0" w:firstRowFirstColumn="0" w:firstRowLastColumn="0" w:lastRowFirstColumn="0" w:lastRowLastColumn="0"/>
              <w:rPr>
                <w:rFonts w:cstheme="minorHAnsi"/>
                <w:i/>
                <w:iCs/>
              </w:rPr>
            </w:pPr>
            <w:r w:rsidRPr="00780E30">
              <w:rPr>
                <w:rFonts w:cstheme="minorHAnsi"/>
                <w:i/>
                <w:iCs/>
              </w:rPr>
              <w:t>4058</w:t>
            </w:r>
          </w:p>
        </w:tc>
        <w:tc>
          <w:tcPr>
            <w:tcW w:w="0" w:type="auto"/>
            <w:noWrap/>
            <w:vAlign w:val="bottom"/>
            <w:hideMark/>
          </w:tcPr>
          <w:p w14:paraId="0D88592A" w14:textId="2DA4A7EF" w:rsidR="00780E30" w:rsidRPr="00780E30" w:rsidRDefault="00780E30" w:rsidP="00780E30">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LTK</w:t>
            </w:r>
          </w:p>
        </w:tc>
      </w:tr>
      <w:tr w:rsidR="00780E30" w:rsidRPr="00C66693" w14:paraId="5D72C77F" w14:textId="77777777" w:rsidTr="00780E30">
        <w:trPr>
          <w:cnfStyle w:val="000000100000" w:firstRow="0" w:lastRow="0" w:firstColumn="0" w:lastColumn="0" w:oddVBand="0" w:evenVBand="0" w:oddHBand="1" w:evenHBand="0" w:firstRowFirstColumn="0" w:firstRowLastColumn="0" w:lastRowFirstColumn="0" w:lastRowLastColumn="0"/>
          <w:trHeight w:val="399"/>
          <w:jc w:val="center"/>
        </w:trPr>
        <w:tc>
          <w:tcPr>
            <w:cnfStyle w:val="001000000000" w:firstRow="0" w:lastRow="0" w:firstColumn="1" w:lastColumn="0" w:oddVBand="0" w:evenVBand="0" w:oddHBand="0" w:evenHBand="0" w:firstRowFirstColumn="0" w:firstRowLastColumn="0" w:lastRowFirstColumn="0" w:lastRowLastColumn="0"/>
            <w:tcW w:w="0" w:type="auto"/>
            <w:noWrap/>
            <w:vAlign w:val="bottom"/>
            <w:hideMark/>
          </w:tcPr>
          <w:p w14:paraId="75690F3D" w14:textId="3085F041" w:rsidR="00780E30" w:rsidRPr="00C66693" w:rsidRDefault="00780E30" w:rsidP="00780E30">
            <w:pPr>
              <w:jc w:val="right"/>
              <w:rPr>
                <w:rFonts w:cstheme="minorHAnsi"/>
                <w:b w:val="0"/>
                <w:bCs w:val="0"/>
                <w:i/>
                <w:iCs/>
              </w:rPr>
            </w:pPr>
            <w:r w:rsidRPr="00780E30">
              <w:rPr>
                <w:rFonts w:cstheme="minorHAnsi"/>
                <w:b w:val="0"/>
                <w:bCs w:val="0"/>
                <w:i/>
                <w:iCs/>
              </w:rPr>
              <w:t>5570</w:t>
            </w:r>
          </w:p>
        </w:tc>
        <w:tc>
          <w:tcPr>
            <w:tcW w:w="0" w:type="auto"/>
            <w:noWrap/>
            <w:vAlign w:val="bottom"/>
            <w:hideMark/>
          </w:tcPr>
          <w:p w14:paraId="5A7A951D" w14:textId="569DEFC1" w:rsidR="00780E30" w:rsidRPr="00780E30" w:rsidRDefault="00780E30" w:rsidP="00780E30">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PKIB</w:t>
            </w:r>
          </w:p>
        </w:tc>
        <w:tc>
          <w:tcPr>
            <w:tcW w:w="0" w:type="auto"/>
            <w:noWrap/>
            <w:vAlign w:val="bottom"/>
            <w:hideMark/>
          </w:tcPr>
          <w:p w14:paraId="2BB7606A" w14:textId="77777777" w:rsidR="00780E30" w:rsidRPr="00C66693" w:rsidRDefault="00780E30" w:rsidP="00780E30">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color w:val="333333"/>
                <w:sz w:val="22"/>
                <w:szCs w:val="22"/>
              </w:rPr>
            </w:pPr>
          </w:p>
        </w:tc>
        <w:tc>
          <w:tcPr>
            <w:tcW w:w="0" w:type="auto"/>
            <w:noWrap/>
            <w:vAlign w:val="bottom"/>
            <w:hideMark/>
          </w:tcPr>
          <w:p w14:paraId="34FA850C" w14:textId="1968B64E" w:rsidR="00780E30" w:rsidRPr="00780E30" w:rsidRDefault="00780E30" w:rsidP="00780E30">
            <w:pPr>
              <w:jc w:val="right"/>
              <w:cnfStyle w:val="000000100000" w:firstRow="0" w:lastRow="0" w:firstColumn="0" w:lastColumn="0" w:oddVBand="0" w:evenVBand="0" w:oddHBand="1" w:evenHBand="0" w:firstRowFirstColumn="0" w:firstRowLastColumn="0" w:lastRowFirstColumn="0" w:lastRowLastColumn="0"/>
              <w:rPr>
                <w:rFonts w:cstheme="minorHAnsi"/>
                <w:i/>
                <w:iCs/>
              </w:rPr>
            </w:pPr>
            <w:r w:rsidRPr="00780E30">
              <w:rPr>
                <w:rFonts w:cstheme="minorHAnsi"/>
                <w:i/>
                <w:iCs/>
              </w:rPr>
              <w:t>4969</w:t>
            </w:r>
          </w:p>
        </w:tc>
        <w:tc>
          <w:tcPr>
            <w:tcW w:w="0" w:type="auto"/>
            <w:noWrap/>
            <w:vAlign w:val="bottom"/>
            <w:hideMark/>
          </w:tcPr>
          <w:p w14:paraId="09CEDC3A" w14:textId="21178EA7" w:rsidR="00780E30" w:rsidRPr="00780E30" w:rsidRDefault="00780E30" w:rsidP="00780E30">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OGN</w:t>
            </w:r>
          </w:p>
        </w:tc>
        <w:tc>
          <w:tcPr>
            <w:tcW w:w="0" w:type="auto"/>
            <w:noWrap/>
            <w:vAlign w:val="bottom"/>
            <w:hideMark/>
          </w:tcPr>
          <w:p w14:paraId="5FE35FC1" w14:textId="77777777" w:rsidR="00780E30" w:rsidRPr="00C66693" w:rsidRDefault="00780E30" w:rsidP="00780E30">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color w:val="333333"/>
                <w:sz w:val="22"/>
                <w:szCs w:val="22"/>
              </w:rPr>
            </w:pPr>
          </w:p>
        </w:tc>
        <w:tc>
          <w:tcPr>
            <w:tcW w:w="0" w:type="auto"/>
            <w:noWrap/>
            <w:vAlign w:val="bottom"/>
            <w:hideMark/>
          </w:tcPr>
          <w:p w14:paraId="30DD6248" w14:textId="673DD8FE" w:rsidR="00780E30" w:rsidRPr="00780E30" w:rsidRDefault="00780E30" w:rsidP="00780E30">
            <w:pPr>
              <w:jc w:val="right"/>
              <w:cnfStyle w:val="000000100000" w:firstRow="0" w:lastRow="0" w:firstColumn="0" w:lastColumn="0" w:oddVBand="0" w:evenVBand="0" w:oddHBand="1" w:evenHBand="0" w:firstRowFirstColumn="0" w:firstRowLastColumn="0" w:lastRowFirstColumn="0" w:lastRowLastColumn="0"/>
              <w:rPr>
                <w:rFonts w:cstheme="minorHAnsi"/>
                <w:i/>
                <w:iCs/>
              </w:rPr>
            </w:pPr>
            <w:r w:rsidRPr="00780E30">
              <w:rPr>
                <w:rFonts w:cstheme="minorHAnsi"/>
                <w:i/>
                <w:iCs/>
              </w:rPr>
              <w:t>51196</w:t>
            </w:r>
          </w:p>
        </w:tc>
        <w:tc>
          <w:tcPr>
            <w:tcW w:w="0" w:type="auto"/>
            <w:noWrap/>
            <w:vAlign w:val="bottom"/>
            <w:hideMark/>
          </w:tcPr>
          <w:p w14:paraId="38101E9A" w14:textId="6F54F609" w:rsidR="00780E30" w:rsidRPr="00780E30" w:rsidRDefault="00780E30" w:rsidP="00780E30">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PLCE1</w:t>
            </w:r>
          </w:p>
        </w:tc>
      </w:tr>
      <w:tr w:rsidR="00780E30" w:rsidRPr="00C66693" w14:paraId="358317EE" w14:textId="77777777" w:rsidTr="00780E30">
        <w:trPr>
          <w:trHeight w:val="399"/>
          <w:jc w:val="center"/>
        </w:trPr>
        <w:tc>
          <w:tcPr>
            <w:cnfStyle w:val="001000000000" w:firstRow="0" w:lastRow="0" w:firstColumn="1" w:lastColumn="0" w:oddVBand="0" w:evenVBand="0" w:oddHBand="0" w:evenHBand="0" w:firstRowFirstColumn="0" w:firstRowLastColumn="0" w:lastRowFirstColumn="0" w:lastRowLastColumn="0"/>
            <w:tcW w:w="0" w:type="auto"/>
            <w:noWrap/>
            <w:vAlign w:val="bottom"/>
            <w:hideMark/>
          </w:tcPr>
          <w:p w14:paraId="175C2CE7" w14:textId="3BCAA6B4" w:rsidR="00780E30" w:rsidRPr="00C66693" w:rsidRDefault="00780E30" w:rsidP="00780E30">
            <w:pPr>
              <w:jc w:val="right"/>
              <w:rPr>
                <w:rFonts w:cstheme="minorHAnsi"/>
                <w:b w:val="0"/>
                <w:bCs w:val="0"/>
                <w:i/>
                <w:iCs/>
              </w:rPr>
            </w:pPr>
            <w:r w:rsidRPr="00780E30">
              <w:rPr>
                <w:rFonts w:cstheme="minorHAnsi"/>
                <w:b w:val="0"/>
                <w:bCs w:val="0"/>
                <w:i/>
                <w:iCs/>
              </w:rPr>
              <w:t>57126</w:t>
            </w:r>
          </w:p>
        </w:tc>
        <w:tc>
          <w:tcPr>
            <w:tcW w:w="0" w:type="auto"/>
            <w:noWrap/>
            <w:vAlign w:val="bottom"/>
            <w:hideMark/>
          </w:tcPr>
          <w:p w14:paraId="4633649F" w14:textId="4BD4373C" w:rsidR="00780E30" w:rsidRPr="00780E30" w:rsidRDefault="00780E30" w:rsidP="00780E30">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CD177</w:t>
            </w:r>
          </w:p>
        </w:tc>
        <w:tc>
          <w:tcPr>
            <w:tcW w:w="0" w:type="auto"/>
            <w:noWrap/>
            <w:vAlign w:val="bottom"/>
            <w:hideMark/>
          </w:tcPr>
          <w:p w14:paraId="3CA80546" w14:textId="77777777" w:rsidR="00780E30" w:rsidRPr="00C66693" w:rsidRDefault="00780E30" w:rsidP="00780E30">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color w:val="333333"/>
                <w:sz w:val="22"/>
                <w:szCs w:val="22"/>
              </w:rPr>
            </w:pPr>
          </w:p>
        </w:tc>
        <w:tc>
          <w:tcPr>
            <w:tcW w:w="0" w:type="auto"/>
            <w:noWrap/>
            <w:vAlign w:val="bottom"/>
            <w:hideMark/>
          </w:tcPr>
          <w:p w14:paraId="14DF1C48" w14:textId="6D1F0111" w:rsidR="00780E30" w:rsidRPr="00780E30" w:rsidRDefault="00780E30" w:rsidP="00780E30">
            <w:pPr>
              <w:jc w:val="right"/>
              <w:cnfStyle w:val="000000000000" w:firstRow="0" w:lastRow="0" w:firstColumn="0" w:lastColumn="0" w:oddVBand="0" w:evenVBand="0" w:oddHBand="0" w:evenHBand="0" w:firstRowFirstColumn="0" w:firstRowLastColumn="0" w:lastRowFirstColumn="0" w:lastRowLastColumn="0"/>
              <w:rPr>
                <w:rFonts w:cstheme="minorHAnsi"/>
                <w:i/>
                <w:iCs/>
              </w:rPr>
            </w:pPr>
            <w:r w:rsidRPr="00780E30">
              <w:rPr>
                <w:rFonts w:cstheme="minorHAnsi"/>
                <w:i/>
                <w:iCs/>
              </w:rPr>
              <w:t>163175</w:t>
            </w:r>
          </w:p>
        </w:tc>
        <w:tc>
          <w:tcPr>
            <w:tcW w:w="0" w:type="auto"/>
            <w:noWrap/>
            <w:vAlign w:val="bottom"/>
            <w:hideMark/>
          </w:tcPr>
          <w:p w14:paraId="4E4CC56E" w14:textId="0F0E1B05" w:rsidR="00780E30" w:rsidRPr="00780E30" w:rsidRDefault="00780E30" w:rsidP="00780E30">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LGI4</w:t>
            </w:r>
          </w:p>
        </w:tc>
        <w:tc>
          <w:tcPr>
            <w:tcW w:w="0" w:type="auto"/>
            <w:noWrap/>
            <w:vAlign w:val="bottom"/>
            <w:hideMark/>
          </w:tcPr>
          <w:p w14:paraId="723EED8A" w14:textId="77777777" w:rsidR="00780E30" w:rsidRPr="00C66693" w:rsidRDefault="00780E30" w:rsidP="00780E30">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color w:val="333333"/>
                <w:sz w:val="22"/>
                <w:szCs w:val="22"/>
              </w:rPr>
            </w:pPr>
          </w:p>
        </w:tc>
        <w:tc>
          <w:tcPr>
            <w:tcW w:w="0" w:type="auto"/>
            <w:noWrap/>
            <w:vAlign w:val="bottom"/>
            <w:hideMark/>
          </w:tcPr>
          <w:p w14:paraId="732BCC81" w14:textId="4FFD9E2F" w:rsidR="00780E30" w:rsidRPr="00780E30" w:rsidRDefault="00780E30" w:rsidP="00780E30">
            <w:pPr>
              <w:jc w:val="right"/>
              <w:cnfStyle w:val="000000000000" w:firstRow="0" w:lastRow="0" w:firstColumn="0" w:lastColumn="0" w:oddVBand="0" w:evenVBand="0" w:oddHBand="0" w:evenHBand="0" w:firstRowFirstColumn="0" w:firstRowLastColumn="0" w:lastRowFirstColumn="0" w:lastRowLastColumn="0"/>
              <w:rPr>
                <w:rFonts w:cstheme="minorHAnsi"/>
                <w:i/>
                <w:iCs/>
              </w:rPr>
            </w:pPr>
            <w:r w:rsidRPr="00780E30">
              <w:rPr>
                <w:rFonts w:cstheme="minorHAnsi"/>
                <w:i/>
                <w:iCs/>
              </w:rPr>
              <w:t>5284</w:t>
            </w:r>
          </w:p>
        </w:tc>
        <w:tc>
          <w:tcPr>
            <w:tcW w:w="0" w:type="auto"/>
            <w:noWrap/>
            <w:vAlign w:val="bottom"/>
            <w:hideMark/>
          </w:tcPr>
          <w:p w14:paraId="725156FD" w14:textId="53731FE5" w:rsidR="00780E30" w:rsidRPr="00780E30" w:rsidRDefault="00780E30" w:rsidP="00780E30">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PIGR</w:t>
            </w:r>
          </w:p>
        </w:tc>
      </w:tr>
      <w:tr w:rsidR="00780E30" w:rsidRPr="00C66693" w14:paraId="3685EBA4" w14:textId="77777777" w:rsidTr="00780E30">
        <w:trPr>
          <w:cnfStyle w:val="000000100000" w:firstRow="0" w:lastRow="0" w:firstColumn="0" w:lastColumn="0" w:oddVBand="0" w:evenVBand="0" w:oddHBand="1" w:evenHBand="0" w:firstRowFirstColumn="0" w:firstRowLastColumn="0" w:lastRowFirstColumn="0" w:lastRowLastColumn="0"/>
          <w:trHeight w:val="399"/>
          <w:jc w:val="center"/>
        </w:trPr>
        <w:tc>
          <w:tcPr>
            <w:cnfStyle w:val="001000000000" w:firstRow="0" w:lastRow="0" w:firstColumn="1" w:lastColumn="0" w:oddVBand="0" w:evenVBand="0" w:oddHBand="0" w:evenHBand="0" w:firstRowFirstColumn="0" w:firstRowLastColumn="0" w:lastRowFirstColumn="0" w:lastRowLastColumn="0"/>
            <w:tcW w:w="0" w:type="auto"/>
            <w:noWrap/>
            <w:vAlign w:val="bottom"/>
            <w:hideMark/>
          </w:tcPr>
          <w:p w14:paraId="0139CE38" w14:textId="1FED19AD" w:rsidR="00780E30" w:rsidRPr="00C66693" w:rsidRDefault="00780E30" w:rsidP="00780E30">
            <w:pPr>
              <w:jc w:val="right"/>
              <w:rPr>
                <w:rFonts w:cstheme="minorHAnsi"/>
                <w:b w:val="0"/>
                <w:bCs w:val="0"/>
                <w:i/>
                <w:iCs/>
              </w:rPr>
            </w:pPr>
            <w:r w:rsidRPr="00780E30">
              <w:rPr>
                <w:rFonts w:cstheme="minorHAnsi"/>
                <w:b w:val="0"/>
                <w:bCs w:val="0"/>
                <w:i/>
                <w:iCs/>
              </w:rPr>
              <w:lastRenderedPageBreak/>
              <w:t>4499</w:t>
            </w:r>
          </w:p>
        </w:tc>
        <w:tc>
          <w:tcPr>
            <w:tcW w:w="0" w:type="auto"/>
            <w:noWrap/>
            <w:vAlign w:val="bottom"/>
            <w:hideMark/>
          </w:tcPr>
          <w:p w14:paraId="21A8FC22" w14:textId="78DAEA2D" w:rsidR="00780E30" w:rsidRPr="00780E30" w:rsidRDefault="00780E30" w:rsidP="00780E30">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MT1M</w:t>
            </w:r>
          </w:p>
        </w:tc>
        <w:tc>
          <w:tcPr>
            <w:tcW w:w="0" w:type="auto"/>
            <w:noWrap/>
            <w:vAlign w:val="bottom"/>
            <w:hideMark/>
          </w:tcPr>
          <w:p w14:paraId="6ADD6A42" w14:textId="77777777" w:rsidR="00780E30" w:rsidRPr="00C66693" w:rsidRDefault="00780E30" w:rsidP="00780E30">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color w:val="333333"/>
                <w:sz w:val="22"/>
                <w:szCs w:val="22"/>
              </w:rPr>
            </w:pPr>
          </w:p>
        </w:tc>
        <w:tc>
          <w:tcPr>
            <w:tcW w:w="0" w:type="auto"/>
            <w:noWrap/>
            <w:vAlign w:val="bottom"/>
            <w:hideMark/>
          </w:tcPr>
          <w:p w14:paraId="4B425D60" w14:textId="76BB8343" w:rsidR="00780E30" w:rsidRPr="00780E30" w:rsidRDefault="00780E30" w:rsidP="00780E30">
            <w:pPr>
              <w:jc w:val="right"/>
              <w:cnfStyle w:val="000000100000" w:firstRow="0" w:lastRow="0" w:firstColumn="0" w:lastColumn="0" w:oddVBand="0" w:evenVBand="0" w:oddHBand="1" w:evenHBand="0" w:firstRowFirstColumn="0" w:firstRowLastColumn="0" w:lastRowFirstColumn="0" w:lastRowLastColumn="0"/>
              <w:rPr>
                <w:rFonts w:cstheme="minorHAnsi"/>
                <w:i/>
                <w:iCs/>
              </w:rPr>
            </w:pPr>
            <w:r w:rsidRPr="00780E30">
              <w:rPr>
                <w:rFonts w:cstheme="minorHAnsi"/>
                <w:i/>
                <w:iCs/>
              </w:rPr>
              <w:t>4494</w:t>
            </w:r>
          </w:p>
        </w:tc>
        <w:tc>
          <w:tcPr>
            <w:tcW w:w="0" w:type="auto"/>
            <w:noWrap/>
            <w:vAlign w:val="bottom"/>
            <w:hideMark/>
          </w:tcPr>
          <w:p w14:paraId="4C05039E" w14:textId="423B223C" w:rsidR="00780E30" w:rsidRPr="00780E30" w:rsidRDefault="00780E30" w:rsidP="00780E30">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MT1F</w:t>
            </w:r>
          </w:p>
        </w:tc>
        <w:tc>
          <w:tcPr>
            <w:tcW w:w="0" w:type="auto"/>
            <w:noWrap/>
            <w:vAlign w:val="bottom"/>
            <w:hideMark/>
          </w:tcPr>
          <w:p w14:paraId="776892C5" w14:textId="77777777" w:rsidR="00780E30" w:rsidRPr="00C66693" w:rsidRDefault="00780E30" w:rsidP="00780E30">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color w:val="333333"/>
                <w:sz w:val="22"/>
                <w:szCs w:val="22"/>
              </w:rPr>
            </w:pPr>
          </w:p>
        </w:tc>
        <w:tc>
          <w:tcPr>
            <w:tcW w:w="0" w:type="auto"/>
            <w:noWrap/>
            <w:vAlign w:val="bottom"/>
            <w:hideMark/>
          </w:tcPr>
          <w:p w14:paraId="01D38F9F" w14:textId="37915FDC" w:rsidR="00780E30" w:rsidRPr="00780E30" w:rsidRDefault="00780E30" w:rsidP="00780E30">
            <w:pPr>
              <w:jc w:val="right"/>
              <w:cnfStyle w:val="000000100000" w:firstRow="0" w:lastRow="0" w:firstColumn="0" w:lastColumn="0" w:oddVBand="0" w:evenVBand="0" w:oddHBand="1" w:evenHBand="0" w:firstRowFirstColumn="0" w:firstRowLastColumn="0" w:lastRowFirstColumn="0" w:lastRowLastColumn="0"/>
              <w:rPr>
                <w:rFonts w:cstheme="minorHAnsi"/>
                <w:i/>
                <w:iCs/>
              </w:rPr>
            </w:pPr>
            <w:r w:rsidRPr="00780E30">
              <w:rPr>
                <w:rFonts w:cstheme="minorHAnsi"/>
                <w:i/>
                <w:iCs/>
              </w:rPr>
              <w:t>140738</w:t>
            </w:r>
          </w:p>
        </w:tc>
        <w:tc>
          <w:tcPr>
            <w:tcW w:w="0" w:type="auto"/>
            <w:noWrap/>
            <w:vAlign w:val="bottom"/>
            <w:hideMark/>
          </w:tcPr>
          <w:p w14:paraId="2C398A93" w14:textId="1D1B8E84" w:rsidR="00780E30" w:rsidRPr="00780E30" w:rsidRDefault="00780E30" w:rsidP="00780E30">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TMEM37</w:t>
            </w:r>
          </w:p>
        </w:tc>
      </w:tr>
      <w:tr w:rsidR="00780E30" w:rsidRPr="00C66693" w14:paraId="5797B434" w14:textId="77777777" w:rsidTr="00780E30">
        <w:trPr>
          <w:trHeight w:val="399"/>
          <w:jc w:val="center"/>
        </w:trPr>
        <w:tc>
          <w:tcPr>
            <w:cnfStyle w:val="001000000000" w:firstRow="0" w:lastRow="0" w:firstColumn="1" w:lastColumn="0" w:oddVBand="0" w:evenVBand="0" w:oddHBand="0" w:evenHBand="0" w:firstRowFirstColumn="0" w:firstRowLastColumn="0" w:lastRowFirstColumn="0" w:lastRowLastColumn="0"/>
            <w:tcW w:w="0" w:type="auto"/>
            <w:noWrap/>
            <w:vAlign w:val="bottom"/>
            <w:hideMark/>
          </w:tcPr>
          <w:p w14:paraId="4AADD2F0" w14:textId="6C933B68" w:rsidR="00780E30" w:rsidRPr="00C66693" w:rsidRDefault="00780E30" w:rsidP="00780E30">
            <w:pPr>
              <w:jc w:val="right"/>
              <w:rPr>
                <w:rFonts w:cstheme="minorHAnsi"/>
                <w:b w:val="0"/>
                <w:bCs w:val="0"/>
                <w:i/>
                <w:iCs/>
              </w:rPr>
            </w:pPr>
            <w:r w:rsidRPr="00780E30">
              <w:rPr>
                <w:rFonts w:cstheme="minorHAnsi"/>
                <w:b w:val="0"/>
                <w:bCs w:val="0"/>
                <w:i/>
                <w:iCs/>
              </w:rPr>
              <w:t>7068</w:t>
            </w:r>
          </w:p>
        </w:tc>
        <w:tc>
          <w:tcPr>
            <w:tcW w:w="0" w:type="auto"/>
            <w:noWrap/>
            <w:vAlign w:val="bottom"/>
            <w:hideMark/>
          </w:tcPr>
          <w:p w14:paraId="09820B4C" w14:textId="27BEA19C" w:rsidR="00780E30" w:rsidRPr="00780E30" w:rsidRDefault="00780E30" w:rsidP="00780E30">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THRB</w:t>
            </w:r>
          </w:p>
        </w:tc>
        <w:tc>
          <w:tcPr>
            <w:tcW w:w="0" w:type="auto"/>
            <w:noWrap/>
            <w:vAlign w:val="bottom"/>
            <w:hideMark/>
          </w:tcPr>
          <w:p w14:paraId="5CF8085F" w14:textId="77777777" w:rsidR="00780E30" w:rsidRPr="00C66693" w:rsidRDefault="00780E30" w:rsidP="00780E30">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color w:val="333333"/>
                <w:sz w:val="22"/>
                <w:szCs w:val="22"/>
              </w:rPr>
            </w:pPr>
          </w:p>
        </w:tc>
        <w:tc>
          <w:tcPr>
            <w:tcW w:w="0" w:type="auto"/>
            <w:noWrap/>
            <w:vAlign w:val="bottom"/>
            <w:hideMark/>
          </w:tcPr>
          <w:p w14:paraId="32661355" w14:textId="64C8B84A" w:rsidR="00780E30" w:rsidRPr="00780E30" w:rsidRDefault="00780E30" w:rsidP="00780E30">
            <w:pPr>
              <w:jc w:val="right"/>
              <w:cnfStyle w:val="000000000000" w:firstRow="0" w:lastRow="0" w:firstColumn="0" w:lastColumn="0" w:oddVBand="0" w:evenVBand="0" w:oddHBand="0" w:evenHBand="0" w:firstRowFirstColumn="0" w:firstRowLastColumn="0" w:lastRowFirstColumn="0" w:lastRowLastColumn="0"/>
              <w:rPr>
                <w:rFonts w:cstheme="minorHAnsi"/>
                <w:i/>
                <w:iCs/>
              </w:rPr>
            </w:pPr>
            <w:r w:rsidRPr="00780E30">
              <w:rPr>
                <w:rFonts w:cstheme="minorHAnsi"/>
                <w:i/>
                <w:iCs/>
              </w:rPr>
              <w:t>957</w:t>
            </w:r>
          </w:p>
        </w:tc>
        <w:tc>
          <w:tcPr>
            <w:tcW w:w="0" w:type="auto"/>
            <w:noWrap/>
            <w:vAlign w:val="bottom"/>
            <w:hideMark/>
          </w:tcPr>
          <w:p w14:paraId="11007029" w14:textId="1F185743" w:rsidR="00780E30" w:rsidRPr="00780E30" w:rsidRDefault="00780E30" w:rsidP="00780E30">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ENTPD5</w:t>
            </w:r>
          </w:p>
        </w:tc>
        <w:tc>
          <w:tcPr>
            <w:tcW w:w="0" w:type="auto"/>
            <w:noWrap/>
            <w:vAlign w:val="bottom"/>
            <w:hideMark/>
          </w:tcPr>
          <w:p w14:paraId="58DB84EC" w14:textId="77777777" w:rsidR="00780E30" w:rsidRPr="00C66693" w:rsidRDefault="00780E30" w:rsidP="00780E30">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color w:val="333333"/>
                <w:sz w:val="22"/>
                <w:szCs w:val="22"/>
              </w:rPr>
            </w:pPr>
          </w:p>
        </w:tc>
        <w:tc>
          <w:tcPr>
            <w:tcW w:w="0" w:type="auto"/>
            <w:noWrap/>
            <w:vAlign w:val="bottom"/>
            <w:hideMark/>
          </w:tcPr>
          <w:p w14:paraId="78873C21" w14:textId="208333B2" w:rsidR="00780E30" w:rsidRPr="00780E30" w:rsidRDefault="00780E30" w:rsidP="00780E30">
            <w:pPr>
              <w:jc w:val="right"/>
              <w:cnfStyle w:val="000000000000" w:firstRow="0" w:lastRow="0" w:firstColumn="0" w:lastColumn="0" w:oddVBand="0" w:evenVBand="0" w:oddHBand="0" w:evenHBand="0" w:firstRowFirstColumn="0" w:firstRowLastColumn="0" w:lastRowFirstColumn="0" w:lastRowLastColumn="0"/>
              <w:rPr>
                <w:rFonts w:cstheme="minorHAnsi"/>
                <w:i/>
                <w:iCs/>
              </w:rPr>
            </w:pPr>
            <w:r w:rsidRPr="00780E30">
              <w:rPr>
                <w:rFonts w:cstheme="minorHAnsi"/>
                <w:i/>
                <w:iCs/>
              </w:rPr>
              <w:t>6352</w:t>
            </w:r>
          </w:p>
        </w:tc>
        <w:tc>
          <w:tcPr>
            <w:tcW w:w="0" w:type="auto"/>
            <w:noWrap/>
            <w:vAlign w:val="bottom"/>
            <w:hideMark/>
          </w:tcPr>
          <w:p w14:paraId="771ABB7D" w14:textId="41BD1C94" w:rsidR="00780E30" w:rsidRPr="00780E30" w:rsidRDefault="00780E30" w:rsidP="00780E30">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CCL5</w:t>
            </w:r>
          </w:p>
        </w:tc>
      </w:tr>
      <w:tr w:rsidR="00780E30" w:rsidRPr="00C66693" w14:paraId="3C657E4C" w14:textId="77777777" w:rsidTr="00780E30">
        <w:trPr>
          <w:cnfStyle w:val="000000100000" w:firstRow="0" w:lastRow="0" w:firstColumn="0" w:lastColumn="0" w:oddVBand="0" w:evenVBand="0" w:oddHBand="1" w:evenHBand="0" w:firstRowFirstColumn="0" w:firstRowLastColumn="0" w:lastRowFirstColumn="0" w:lastRowLastColumn="0"/>
          <w:trHeight w:val="399"/>
          <w:jc w:val="center"/>
        </w:trPr>
        <w:tc>
          <w:tcPr>
            <w:cnfStyle w:val="001000000000" w:firstRow="0" w:lastRow="0" w:firstColumn="1" w:lastColumn="0" w:oddVBand="0" w:evenVBand="0" w:oddHBand="0" w:evenHBand="0" w:firstRowFirstColumn="0" w:firstRowLastColumn="0" w:lastRowFirstColumn="0" w:lastRowLastColumn="0"/>
            <w:tcW w:w="0" w:type="auto"/>
            <w:noWrap/>
            <w:vAlign w:val="bottom"/>
            <w:hideMark/>
          </w:tcPr>
          <w:p w14:paraId="71E90A3A" w14:textId="4748676A" w:rsidR="00780E30" w:rsidRPr="00C66693" w:rsidRDefault="00780E30" w:rsidP="00780E30">
            <w:pPr>
              <w:jc w:val="right"/>
              <w:rPr>
                <w:rFonts w:cstheme="minorHAnsi"/>
                <w:b w:val="0"/>
                <w:bCs w:val="0"/>
                <w:i/>
                <w:iCs/>
              </w:rPr>
            </w:pPr>
            <w:r w:rsidRPr="00780E30">
              <w:rPr>
                <w:rFonts w:cstheme="minorHAnsi"/>
                <w:b w:val="0"/>
                <w:bCs w:val="0"/>
                <w:i/>
                <w:iCs/>
              </w:rPr>
              <w:t>1805</w:t>
            </w:r>
          </w:p>
        </w:tc>
        <w:tc>
          <w:tcPr>
            <w:tcW w:w="0" w:type="auto"/>
            <w:noWrap/>
            <w:vAlign w:val="bottom"/>
            <w:hideMark/>
          </w:tcPr>
          <w:p w14:paraId="143A3D06" w14:textId="7D1CD596" w:rsidR="00780E30" w:rsidRPr="00780E30" w:rsidRDefault="00780E30" w:rsidP="00780E30">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DPT</w:t>
            </w:r>
          </w:p>
        </w:tc>
        <w:tc>
          <w:tcPr>
            <w:tcW w:w="0" w:type="auto"/>
            <w:noWrap/>
            <w:vAlign w:val="bottom"/>
            <w:hideMark/>
          </w:tcPr>
          <w:p w14:paraId="1943BCAA" w14:textId="77777777" w:rsidR="00780E30" w:rsidRPr="00C66693" w:rsidRDefault="00780E30" w:rsidP="00780E30">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color w:val="333333"/>
                <w:sz w:val="22"/>
                <w:szCs w:val="22"/>
              </w:rPr>
            </w:pPr>
          </w:p>
        </w:tc>
        <w:tc>
          <w:tcPr>
            <w:tcW w:w="0" w:type="auto"/>
            <w:noWrap/>
            <w:vAlign w:val="bottom"/>
            <w:hideMark/>
          </w:tcPr>
          <w:p w14:paraId="56A9830C" w14:textId="2BD4445C" w:rsidR="00780E30" w:rsidRPr="00780E30" w:rsidRDefault="00780E30" w:rsidP="00780E30">
            <w:pPr>
              <w:jc w:val="right"/>
              <w:cnfStyle w:val="000000100000" w:firstRow="0" w:lastRow="0" w:firstColumn="0" w:lastColumn="0" w:oddVBand="0" w:evenVBand="0" w:oddHBand="1" w:evenHBand="0" w:firstRowFirstColumn="0" w:firstRowLastColumn="0" w:lastRowFirstColumn="0" w:lastRowLastColumn="0"/>
              <w:rPr>
                <w:rFonts w:cstheme="minorHAnsi"/>
                <w:i/>
                <w:iCs/>
              </w:rPr>
            </w:pPr>
            <w:r w:rsidRPr="00780E30">
              <w:rPr>
                <w:rFonts w:cstheme="minorHAnsi"/>
                <w:i/>
                <w:iCs/>
              </w:rPr>
              <w:t>3248</w:t>
            </w:r>
          </w:p>
        </w:tc>
        <w:tc>
          <w:tcPr>
            <w:tcW w:w="0" w:type="auto"/>
            <w:noWrap/>
            <w:vAlign w:val="bottom"/>
            <w:hideMark/>
          </w:tcPr>
          <w:p w14:paraId="40155387" w14:textId="41D0EE29" w:rsidR="00780E30" w:rsidRPr="00780E30" w:rsidRDefault="00780E30" w:rsidP="00780E30">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HPGD</w:t>
            </w:r>
          </w:p>
        </w:tc>
        <w:tc>
          <w:tcPr>
            <w:tcW w:w="0" w:type="auto"/>
            <w:noWrap/>
            <w:vAlign w:val="bottom"/>
            <w:hideMark/>
          </w:tcPr>
          <w:p w14:paraId="0D3238AA" w14:textId="77777777" w:rsidR="00780E30" w:rsidRPr="00C66693" w:rsidRDefault="00780E30" w:rsidP="00780E30">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color w:val="333333"/>
                <w:sz w:val="22"/>
                <w:szCs w:val="22"/>
              </w:rPr>
            </w:pPr>
          </w:p>
        </w:tc>
        <w:tc>
          <w:tcPr>
            <w:tcW w:w="0" w:type="auto"/>
            <w:noWrap/>
            <w:vAlign w:val="bottom"/>
            <w:hideMark/>
          </w:tcPr>
          <w:p w14:paraId="5AB48455" w14:textId="42C3339D" w:rsidR="00780E30" w:rsidRPr="00780E30" w:rsidRDefault="00780E30" w:rsidP="00780E30">
            <w:pPr>
              <w:jc w:val="right"/>
              <w:cnfStyle w:val="000000100000" w:firstRow="0" w:lastRow="0" w:firstColumn="0" w:lastColumn="0" w:oddVBand="0" w:evenVBand="0" w:oddHBand="1" w:evenHBand="0" w:firstRowFirstColumn="0" w:firstRowLastColumn="0" w:lastRowFirstColumn="0" w:lastRowLastColumn="0"/>
              <w:rPr>
                <w:rFonts w:cstheme="minorHAnsi"/>
                <w:i/>
                <w:iCs/>
              </w:rPr>
            </w:pPr>
            <w:r w:rsidRPr="00780E30">
              <w:rPr>
                <w:rFonts w:cstheme="minorHAnsi"/>
                <w:i/>
                <w:iCs/>
              </w:rPr>
              <w:t>375704</w:t>
            </w:r>
          </w:p>
        </w:tc>
        <w:tc>
          <w:tcPr>
            <w:tcW w:w="0" w:type="auto"/>
            <w:noWrap/>
            <w:vAlign w:val="bottom"/>
            <w:hideMark/>
          </w:tcPr>
          <w:p w14:paraId="5A45A205" w14:textId="72EE29C7" w:rsidR="00780E30" w:rsidRPr="00780E30" w:rsidRDefault="00780E30" w:rsidP="00780E30">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ENHO</w:t>
            </w:r>
          </w:p>
        </w:tc>
      </w:tr>
      <w:tr w:rsidR="00780E30" w:rsidRPr="00C66693" w14:paraId="6A76F94A" w14:textId="77777777" w:rsidTr="00780E30">
        <w:trPr>
          <w:trHeight w:val="399"/>
          <w:jc w:val="center"/>
        </w:trPr>
        <w:tc>
          <w:tcPr>
            <w:cnfStyle w:val="001000000000" w:firstRow="0" w:lastRow="0" w:firstColumn="1" w:lastColumn="0" w:oddVBand="0" w:evenVBand="0" w:oddHBand="0" w:evenHBand="0" w:firstRowFirstColumn="0" w:firstRowLastColumn="0" w:lastRowFirstColumn="0" w:lastRowLastColumn="0"/>
            <w:tcW w:w="0" w:type="auto"/>
            <w:noWrap/>
            <w:vAlign w:val="bottom"/>
            <w:hideMark/>
          </w:tcPr>
          <w:p w14:paraId="1CAAF357" w14:textId="79EA19D0" w:rsidR="00780E30" w:rsidRPr="00C66693" w:rsidRDefault="00780E30" w:rsidP="00780E30">
            <w:pPr>
              <w:jc w:val="right"/>
              <w:rPr>
                <w:rFonts w:cstheme="minorHAnsi"/>
                <w:b w:val="0"/>
                <w:bCs w:val="0"/>
                <w:i/>
                <w:iCs/>
              </w:rPr>
            </w:pPr>
            <w:r w:rsidRPr="00780E30">
              <w:rPr>
                <w:rFonts w:cstheme="minorHAnsi"/>
                <w:b w:val="0"/>
                <w:bCs w:val="0"/>
                <w:i/>
                <w:iCs/>
              </w:rPr>
              <w:t>145270</w:t>
            </w:r>
          </w:p>
        </w:tc>
        <w:tc>
          <w:tcPr>
            <w:tcW w:w="0" w:type="auto"/>
            <w:noWrap/>
            <w:vAlign w:val="bottom"/>
            <w:hideMark/>
          </w:tcPr>
          <w:p w14:paraId="65462041" w14:textId="3CA99339" w:rsidR="00780E30" w:rsidRPr="00780E30" w:rsidRDefault="00780E30" w:rsidP="00780E30">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PRIMA1</w:t>
            </w:r>
          </w:p>
        </w:tc>
        <w:tc>
          <w:tcPr>
            <w:tcW w:w="0" w:type="auto"/>
            <w:noWrap/>
            <w:vAlign w:val="bottom"/>
            <w:hideMark/>
          </w:tcPr>
          <w:p w14:paraId="4E503AAC" w14:textId="77777777" w:rsidR="00780E30" w:rsidRPr="00C66693" w:rsidRDefault="00780E30" w:rsidP="00780E30">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color w:val="333333"/>
                <w:sz w:val="22"/>
                <w:szCs w:val="22"/>
              </w:rPr>
            </w:pPr>
          </w:p>
        </w:tc>
        <w:tc>
          <w:tcPr>
            <w:tcW w:w="0" w:type="auto"/>
            <w:noWrap/>
            <w:vAlign w:val="bottom"/>
            <w:hideMark/>
          </w:tcPr>
          <w:p w14:paraId="76E7C940" w14:textId="1F701FC4" w:rsidR="00780E30" w:rsidRPr="00780E30" w:rsidRDefault="00780E30" w:rsidP="00780E30">
            <w:pPr>
              <w:jc w:val="right"/>
              <w:cnfStyle w:val="000000000000" w:firstRow="0" w:lastRow="0" w:firstColumn="0" w:lastColumn="0" w:oddVBand="0" w:evenVBand="0" w:oddHBand="0" w:evenHBand="0" w:firstRowFirstColumn="0" w:firstRowLastColumn="0" w:lastRowFirstColumn="0" w:lastRowLastColumn="0"/>
              <w:rPr>
                <w:rFonts w:cstheme="minorHAnsi"/>
                <w:i/>
                <w:iCs/>
              </w:rPr>
            </w:pPr>
            <w:r w:rsidRPr="00780E30">
              <w:rPr>
                <w:rFonts w:cstheme="minorHAnsi"/>
                <w:i/>
                <w:iCs/>
              </w:rPr>
              <w:t>54857</w:t>
            </w:r>
          </w:p>
        </w:tc>
        <w:tc>
          <w:tcPr>
            <w:tcW w:w="0" w:type="auto"/>
            <w:noWrap/>
            <w:vAlign w:val="bottom"/>
            <w:hideMark/>
          </w:tcPr>
          <w:p w14:paraId="35208440" w14:textId="504017C9" w:rsidR="00780E30" w:rsidRPr="00780E30" w:rsidRDefault="00780E30" w:rsidP="00780E30">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GDPD2</w:t>
            </w:r>
          </w:p>
        </w:tc>
        <w:tc>
          <w:tcPr>
            <w:tcW w:w="0" w:type="auto"/>
            <w:noWrap/>
            <w:vAlign w:val="bottom"/>
            <w:hideMark/>
          </w:tcPr>
          <w:p w14:paraId="3B7E6996" w14:textId="77777777" w:rsidR="00780E30" w:rsidRPr="00C66693" w:rsidRDefault="00780E30" w:rsidP="00780E30">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color w:val="333333"/>
                <w:sz w:val="22"/>
                <w:szCs w:val="22"/>
              </w:rPr>
            </w:pPr>
          </w:p>
        </w:tc>
        <w:tc>
          <w:tcPr>
            <w:tcW w:w="0" w:type="auto"/>
            <w:noWrap/>
            <w:vAlign w:val="bottom"/>
            <w:hideMark/>
          </w:tcPr>
          <w:p w14:paraId="7BA56D44" w14:textId="5881FE19" w:rsidR="00780E30" w:rsidRPr="00780E30" w:rsidRDefault="00780E30" w:rsidP="00780E30">
            <w:pPr>
              <w:jc w:val="right"/>
              <w:cnfStyle w:val="000000000000" w:firstRow="0" w:lastRow="0" w:firstColumn="0" w:lastColumn="0" w:oddVBand="0" w:evenVBand="0" w:oddHBand="0" w:evenHBand="0" w:firstRowFirstColumn="0" w:firstRowLastColumn="0" w:lastRowFirstColumn="0" w:lastRowLastColumn="0"/>
              <w:rPr>
                <w:rFonts w:cstheme="minorHAnsi"/>
                <w:i/>
                <w:iCs/>
              </w:rPr>
            </w:pPr>
            <w:r w:rsidRPr="00780E30">
              <w:rPr>
                <w:rFonts w:cstheme="minorHAnsi"/>
                <w:i/>
                <w:iCs/>
              </w:rPr>
              <w:t>10917</w:t>
            </w:r>
          </w:p>
        </w:tc>
        <w:tc>
          <w:tcPr>
            <w:tcW w:w="0" w:type="auto"/>
            <w:noWrap/>
            <w:vAlign w:val="bottom"/>
            <w:hideMark/>
          </w:tcPr>
          <w:p w14:paraId="145DB860" w14:textId="62F88BE4" w:rsidR="00780E30" w:rsidRPr="00780E30" w:rsidRDefault="00780E30" w:rsidP="00780E30">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BTNL3</w:t>
            </w:r>
          </w:p>
        </w:tc>
      </w:tr>
      <w:tr w:rsidR="00780E30" w:rsidRPr="00C66693" w14:paraId="4186640E" w14:textId="77777777" w:rsidTr="00780E30">
        <w:trPr>
          <w:cnfStyle w:val="000000100000" w:firstRow="0" w:lastRow="0" w:firstColumn="0" w:lastColumn="0" w:oddVBand="0" w:evenVBand="0" w:oddHBand="1" w:evenHBand="0" w:firstRowFirstColumn="0" w:firstRowLastColumn="0" w:lastRowFirstColumn="0" w:lastRowLastColumn="0"/>
          <w:trHeight w:val="399"/>
          <w:jc w:val="center"/>
        </w:trPr>
        <w:tc>
          <w:tcPr>
            <w:cnfStyle w:val="001000000000" w:firstRow="0" w:lastRow="0" w:firstColumn="1" w:lastColumn="0" w:oddVBand="0" w:evenVBand="0" w:oddHBand="0" w:evenHBand="0" w:firstRowFirstColumn="0" w:firstRowLastColumn="0" w:lastRowFirstColumn="0" w:lastRowLastColumn="0"/>
            <w:tcW w:w="0" w:type="auto"/>
            <w:noWrap/>
            <w:vAlign w:val="bottom"/>
            <w:hideMark/>
          </w:tcPr>
          <w:p w14:paraId="7146717C" w14:textId="617F874C" w:rsidR="00780E30" w:rsidRPr="00C66693" w:rsidRDefault="00780E30" w:rsidP="00780E30">
            <w:pPr>
              <w:jc w:val="right"/>
              <w:rPr>
                <w:rFonts w:cstheme="minorHAnsi"/>
                <w:b w:val="0"/>
                <w:bCs w:val="0"/>
                <w:i/>
                <w:iCs/>
              </w:rPr>
            </w:pPr>
            <w:r w:rsidRPr="00780E30">
              <w:rPr>
                <w:rFonts w:cstheme="minorHAnsi"/>
                <w:b w:val="0"/>
                <w:bCs w:val="0"/>
                <w:i/>
                <w:iCs/>
              </w:rPr>
              <w:t>10351</w:t>
            </w:r>
          </w:p>
        </w:tc>
        <w:tc>
          <w:tcPr>
            <w:tcW w:w="0" w:type="auto"/>
            <w:noWrap/>
            <w:vAlign w:val="bottom"/>
            <w:hideMark/>
          </w:tcPr>
          <w:p w14:paraId="367C8793" w14:textId="79BD6A53" w:rsidR="00780E30" w:rsidRPr="00780E30" w:rsidRDefault="00780E30" w:rsidP="00780E30">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ABCA8</w:t>
            </w:r>
          </w:p>
        </w:tc>
        <w:tc>
          <w:tcPr>
            <w:tcW w:w="0" w:type="auto"/>
            <w:noWrap/>
            <w:vAlign w:val="bottom"/>
            <w:hideMark/>
          </w:tcPr>
          <w:p w14:paraId="6269F109" w14:textId="77777777" w:rsidR="00780E30" w:rsidRPr="00C66693" w:rsidRDefault="00780E30" w:rsidP="00780E30">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color w:val="333333"/>
                <w:sz w:val="22"/>
                <w:szCs w:val="22"/>
              </w:rPr>
            </w:pPr>
          </w:p>
        </w:tc>
        <w:tc>
          <w:tcPr>
            <w:tcW w:w="0" w:type="auto"/>
            <w:noWrap/>
            <w:vAlign w:val="bottom"/>
            <w:hideMark/>
          </w:tcPr>
          <w:p w14:paraId="1550CFEC" w14:textId="3B826F5C" w:rsidR="00780E30" w:rsidRPr="00780E30" w:rsidRDefault="00780E30" w:rsidP="00780E30">
            <w:pPr>
              <w:jc w:val="right"/>
              <w:cnfStyle w:val="000000100000" w:firstRow="0" w:lastRow="0" w:firstColumn="0" w:lastColumn="0" w:oddVBand="0" w:evenVBand="0" w:oddHBand="1" w:evenHBand="0" w:firstRowFirstColumn="0" w:firstRowLastColumn="0" w:lastRowFirstColumn="0" w:lastRowLastColumn="0"/>
              <w:rPr>
                <w:rFonts w:cstheme="minorHAnsi"/>
                <w:i/>
                <w:iCs/>
              </w:rPr>
            </w:pPr>
            <w:r w:rsidRPr="00780E30">
              <w:rPr>
                <w:rFonts w:cstheme="minorHAnsi"/>
                <w:i/>
                <w:iCs/>
              </w:rPr>
              <w:t>27250</w:t>
            </w:r>
          </w:p>
        </w:tc>
        <w:tc>
          <w:tcPr>
            <w:tcW w:w="0" w:type="auto"/>
            <w:noWrap/>
            <w:vAlign w:val="bottom"/>
            <w:hideMark/>
          </w:tcPr>
          <w:p w14:paraId="5845488E" w14:textId="3DDF3F2F" w:rsidR="00780E30" w:rsidRPr="00780E30" w:rsidRDefault="00780E30" w:rsidP="00780E30">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PDCD4</w:t>
            </w:r>
          </w:p>
        </w:tc>
        <w:tc>
          <w:tcPr>
            <w:tcW w:w="0" w:type="auto"/>
            <w:noWrap/>
            <w:vAlign w:val="bottom"/>
            <w:hideMark/>
          </w:tcPr>
          <w:p w14:paraId="74FD55C9" w14:textId="77777777" w:rsidR="00780E30" w:rsidRPr="00C66693" w:rsidRDefault="00780E30" w:rsidP="00780E30">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color w:val="333333"/>
                <w:sz w:val="22"/>
                <w:szCs w:val="22"/>
              </w:rPr>
            </w:pPr>
          </w:p>
        </w:tc>
        <w:tc>
          <w:tcPr>
            <w:tcW w:w="0" w:type="auto"/>
            <w:noWrap/>
            <w:vAlign w:val="bottom"/>
            <w:hideMark/>
          </w:tcPr>
          <w:p w14:paraId="35D0F6EF" w14:textId="4DB0DACC" w:rsidR="00780E30" w:rsidRPr="00780E30" w:rsidRDefault="00780E30" w:rsidP="00780E30">
            <w:pPr>
              <w:jc w:val="right"/>
              <w:cnfStyle w:val="000000100000" w:firstRow="0" w:lastRow="0" w:firstColumn="0" w:lastColumn="0" w:oddVBand="0" w:evenVBand="0" w:oddHBand="1" w:evenHBand="0" w:firstRowFirstColumn="0" w:firstRowLastColumn="0" w:lastRowFirstColumn="0" w:lastRowLastColumn="0"/>
              <w:rPr>
                <w:rFonts w:cstheme="minorHAnsi"/>
                <w:i/>
                <w:iCs/>
              </w:rPr>
            </w:pPr>
            <w:r w:rsidRPr="00780E30">
              <w:rPr>
                <w:rFonts w:cstheme="minorHAnsi"/>
                <w:i/>
                <w:iCs/>
              </w:rPr>
              <w:t>9912</w:t>
            </w:r>
          </w:p>
        </w:tc>
        <w:tc>
          <w:tcPr>
            <w:tcW w:w="0" w:type="auto"/>
            <w:noWrap/>
            <w:vAlign w:val="bottom"/>
            <w:hideMark/>
          </w:tcPr>
          <w:p w14:paraId="2C9DEC7E" w14:textId="2466B0C7" w:rsidR="00780E30" w:rsidRPr="00780E30" w:rsidRDefault="00780E30" w:rsidP="00780E30">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ARHGAP44</w:t>
            </w:r>
          </w:p>
        </w:tc>
      </w:tr>
      <w:tr w:rsidR="00780E30" w:rsidRPr="00C66693" w14:paraId="12325F92" w14:textId="77777777" w:rsidTr="00780E30">
        <w:trPr>
          <w:trHeight w:val="399"/>
          <w:jc w:val="center"/>
        </w:trPr>
        <w:tc>
          <w:tcPr>
            <w:cnfStyle w:val="001000000000" w:firstRow="0" w:lastRow="0" w:firstColumn="1" w:lastColumn="0" w:oddVBand="0" w:evenVBand="0" w:oddHBand="0" w:evenHBand="0" w:firstRowFirstColumn="0" w:firstRowLastColumn="0" w:lastRowFirstColumn="0" w:lastRowLastColumn="0"/>
            <w:tcW w:w="0" w:type="auto"/>
            <w:noWrap/>
            <w:vAlign w:val="bottom"/>
            <w:hideMark/>
          </w:tcPr>
          <w:p w14:paraId="5BB95576" w14:textId="7F3E08F9" w:rsidR="00780E30" w:rsidRPr="00C66693" w:rsidRDefault="00780E30" w:rsidP="00780E30">
            <w:pPr>
              <w:jc w:val="right"/>
              <w:rPr>
                <w:rFonts w:cstheme="minorHAnsi"/>
                <w:b w:val="0"/>
                <w:bCs w:val="0"/>
                <w:i/>
                <w:iCs/>
              </w:rPr>
            </w:pPr>
            <w:r w:rsidRPr="00780E30">
              <w:rPr>
                <w:rFonts w:cstheme="minorHAnsi"/>
                <w:b w:val="0"/>
                <w:bCs w:val="0"/>
                <w:i/>
                <w:iCs/>
              </w:rPr>
              <w:t>6750</w:t>
            </w:r>
          </w:p>
        </w:tc>
        <w:tc>
          <w:tcPr>
            <w:tcW w:w="0" w:type="auto"/>
            <w:noWrap/>
            <w:vAlign w:val="bottom"/>
            <w:hideMark/>
          </w:tcPr>
          <w:p w14:paraId="70106AAD" w14:textId="21B56874" w:rsidR="00780E30" w:rsidRPr="00780E30" w:rsidRDefault="00780E30" w:rsidP="00780E30">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SST</w:t>
            </w:r>
          </w:p>
        </w:tc>
        <w:tc>
          <w:tcPr>
            <w:tcW w:w="0" w:type="auto"/>
            <w:noWrap/>
            <w:vAlign w:val="bottom"/>
            <w:hideMark/>
          </w:tcPr>
          <w:p w14:paraId="40D974BF" w14:textId="77777777" w:rsidR="00780E30" w:rsidRPr="00C66693" w:rsidRDefault="00780E30" w:rsidP="00780E30">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color w:val="333333"/>
                <w:sz w:val="22"/>
                <w:szCs w:val="22"/>
              </w:rPr>
            </w:pPr>
          </w:p>
        </w:tc>
        <w:tc>
          <w:tcPr>
            <w:tcW w:w="0" w:type="auto"/>
            <w:noWrap/>
            <w:vAlign w:val="bottom"/>
            <w:hideMark/>
          </w:tcPr>
          <w:p w14:paraId="71608DA3" w14:textId="694CE93B" w:rsidR="00780E30" w:rsidRPr="00780E30" w:rsidRDefault="00780E30" w:rsidP="00780E30">
            <w:pPr>
              <w:jc w:val="right"/>
              <w:cnfStyle w:val="000000000000" w:firstRow="0" w:lastRow="0" w:firstColumn="0" w:lastColumn="0" w:oddVBand="0" w:evenVBand="0" w:oddHBand="0" w:evenHBand="0" w:firstRowFirstColumn="0" w:firstRowLastColumn="0" w:lastRowFirstColumn="0" w:lastRowLastColumn="0"/>
              <w:rPr>
                <w:rFonts w:cstheme="minorHAnsi"/>
                <w:i/>
                <w:iCs/>
              </w:rPr>
            </w:pPr>
            <w:r w:rsidRPr="00780E30">
              <w:rPr>
                <w:rFonts w:cstheme="minorHAnsi"/>
                <w:i/>
                <w:iCs/>
              </w:rPr>
              <w:t>2651</w:t>
            </w:r>
          </w:p>
        </w:tc>
        <w:tc>
          <w:tcPr>
            <w:tcW w:w="0" w:type="auto"/>
            <w:noWrap/>
            <w:vAlign w:val="bottom"/>
            <w:hideMark/>
          </w:tcPr>
          <w:p w14:paraId="2026A6A5" w14:textId="7C242DDC" w:rsidR="00780E30" w:rsidRPr="00780E30" w:rsidRDefault="00780E30" w:rsidP="00780E30">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GCNT2</w:t>
            </w:r>
          </w:p>
        </w:tc>
        <w:tc>
          <w:tcPr>
            <w:tcW w:w="0" w:type="auto"/>
            <w:noWrap/>
            <w:vAlign w:val="bottom"/>
            <w:hideMark/>
          </w:tcPr>
          <w:p w14:paraId="05D3C84F" w14:textId="77777777" w:rsidR="00780E30" w:rsidRPr="00C66693" w:rsidRDefault="00780E30" w:rsidP="00780E30">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color w:val="333333"/>
                <w:sz w:val="22"/>
                <w:szCs w:val="22"/>
              </w:rPr>
            </w:pPr>
          </w:p>
        </w:tc>
        <w:tc>
          <w:tcPr>
            <w:tcW w:w="0" w:type="auto"/>
            <w:noWrap/>
            <w:vAlign w:val="bottom"/>
            <w:hideMark/>
          </w:tcPr>
          <w:p w14:paraId="28B8334D" w14:textId="0B18CE46" w:rsidR="00780E30" w:rsidRPr="00780E30" w:rsidRDefault="00780E30" w:rsidP="00780E30">
            <w:pPr>
              <w:jc w:val="right"/>
              <w:cnfStyle w:val="000000000000" w:firstRow="0" w:lastRow="0" w:firstColumn="0" w:lastColumn="0" w:oddVBand="0" w:evenVBand="0" w:oddHBand="0" w:evenHBand="0" w:firstRowFirstColumn="0" w:firstRowLastColumn="0" w:lastRowFirstColumn="0" w:lastRowLastColumn="0"/>
              <w:rPr>
                <w:rFonts w:cstheme="minorHAnsi"/>
                <w:i/>
                <w:iCs/>
              </w:rPr>
            </w:pPr>
            <w:r w:rsidRPr="00780E30">
              <w:rPr>
                <w:rFonts w:cstheme="minorHAnsi"/>
                <w:i/>
                <w:iCs/>
              </w:rPr>
              <w:t>7732</w:t>
            </w:r>
          </w:p>
        </w:tc>
        <w:tc>
          <w:tcPr>
            <w:tcW w:w="0" w:type="auto"/>
            <w:noWrap/>
            <w:vAlign w:val="bottom"/>
            <w:hideMark/>
          </w:tcPr>
          <w:p w14:paraId="3D94D815" w14:textId="1CE9DCD8" w:rsidR="00780E30" w:rsidRPr="00780E30" w:rsidRDefault="00780E30" w:rsidP="00780E30">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RNF112</w:t>
            </w:r>
          </w:p>
        </w:tc>
      </w:tr>
      <w:tr w:rsidR="00780E30" w:rsidRPr="00C66693" w14:paraId="155C6186" w14:textId="77777777" w:rsidTr="00780E30">
        <w:trPr>
          <w:cnfStyle w:val="000000100000" w:firstRow="0" w:lastRow="0" w:firstColumn="0" w:lastColumn="0" w:oddVBand="0" w:evenVBand="0" w:oddHBand="1" w:evenHBand="0" w:firstRowFirstColumn="0" w:firstRowLastColumn="0" w:lastRowFirstColumn="0" w:lastRowLastColumn="0"/>
          <w:trHeight w:val="399"/>
          <w:jc w:val="center"/>
        </w:trPr>
        <w:tc>
          <w:tcPr>
            <w:cnfStyle w:val="001000000000" w:firstRow="0" w:lastRow="0" w:firstColumn="1" w:lastColumn="0" w:oddVBand="0" w:evenVBand="0" w:oddHBand="0" w:evenHBand="0" w:firstRowFirstColumn="0" w:firstRowLastColumn="0" w:lastRowFirstColumn="0" w:lastRowLastColumn="0"/>
            <w:tcW w:w="0" w:type="auto"/>
            <w:noWrap/>
            <w:vAlign w:val="bottom"/>
            <w:hideMark/>
          </w:tcPr>
          <w:p w14:paraId="31891186" w14:textId="2A95D949" w:rsidR="00780E30" w:rsidRPr="00C66693" w:rsidRDefault="00780E30" w:rsidP="00780E30">
            <w:pPr>
              <w:jc w:val="right"/>
              <w:rPr>
                <w:rFonts w:cstheme="minorHAnsi"/>
                <w:b w:val="0"/>
                <w:bCs w:val="0"/>
                <w:i/>
                <w:iCs/>
              </w:rPr>
            </w:pPr>
            <w:r w:rsidRPr="00780E30">
              <w:rPr>
                <w:rFonts w:cstheme="minorHAnsi"/>
                <w:b w:val="0"/>
                <w:bCs w:val="0"/>
                <w:i/>
                <w:iCs/>
              </w:rPr>
              <w:t>1836</w:t>
            </w:r>
          </w:p>
        </w:tc>
        <w:tc>
          <w:tcPr>
            <w:tcW w:w="0" w:type="auto"/>
            <w:noWrap/>
            <w:vAlign w:val="bottom"/>
            <w:hideMark/>
          </w:tcPr>
          <w:p w14:paraId="7271FEF8" w14:textId="703319A3" w:rsidR="00780E30" w:rsidRPr="00780E30" w:rsidRDefault="00780E30" w:rsidP="00780E30">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SLC26A2</w:t>
            </w:r>
          </w:p>
        </w:tc>
        <w:tc>
          <w:tcPr>
            <w:tcW w:w="0" w:type="auto"/>
            <w:noWrap/>
            <w:vAlign w:val="bottom"/>
            <w:hideMark/>
          </w:tcPr>
          <w:p w14:paraId="1A4F6044" w14:textId="77777777" w:rsidR="00780E30" w:rsidRPr="00C66693" w:rsidRDefault="00780E30" w:rsidP="00780E30">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color w:val="333333"/>
                <w:sz w:val="22"/>
                <w:szCs w:val="22"/>
              </w:rPr>
            </w:pPr>
          </w:p>
        </w:tc>
        <w:tc>
          <w:tcPr>
            <w:tcW w:w="0" w:type="auto"/>
            <w:noWrap/>
            <w:vAlign w:val="bottom"/>
            <w:hideMark/>
          </w:tcPr>
          <w:p w14:paraId="722CC107" w14:textId="7DB67D34" w:rsidR="00780E30" w:rsidRPr="00780E30" w:rsidRDefault="00780E30" w:rsidP="00780E30">
            <w:pPr>
              <w:jc w:val="right"/>
              <w:cnfStyle w:val="000000100000" w:firstRow="0" w:lastRow="0" w:firstColumn="0" w:lastColumn="0" w:oddVBand="0" w:evenVBand="0" w:oddHBand="1" w:evenHBand="0" w:firstRowFirstColumn="0" w:firstRowLastColumn="0" w:lastRowFirstColumn="0" w:lastRowLastColumn="0"/>
              <w:rPr>
                <w:rFonts w:cstheme="minorHAnsi"/>
                <w:i/>
                <w:iCs/>
              </w:rPr>
            </w:pPr>
            <w:r w:rsidRPr="00780E30">
              <w:rPr>
                <w:rFonts w:cstheme="minorHAnsi"/>
                <w:i/>
                <w:iCs/>
              </w:rPr>
              <w:t>79861</w:t>
            </w:r>
          </w:p>
        </w:tc>
        <w:tc>
          <w:tcPr>
            <w:tcW w:w="0" w:type="auto"/>
            <w:noWrap/>
            <w:vAlign w:val="bottom"/>
            <w:hideMark/>
          </w:tcPr>
          <w:p w14:paraId="39F62FD1" w14:textId="3A65420D" w:rsidR="00780E30" w:rsidRPr="00780E30" w:rsidRDefault="00780E30" w:rsidP="00780E30">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TUBAL3</w:t>
            </w:r>
          </w:p>
        </w:tc>
        <w:tc>
          <w:tcPr>
            <w:tcW w:w="0" w:type="auto"/>
            <w:noWrap/>
            <w:vAlign w:val="bottom"/>
            <w:hideMark/>
          </w:tcPr>
          <w:p w14:paraId="34952B96" w14:textId="77777777" w:rsidR="00780E30" w:rsidRPr="00C66693" w:rsidRDefault="00780E30" w:rsidP="00780E30">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color w:val="333333"/>
                <w:sz w:val="22"/>
                <w:szCs w:val="22"/>
              </w:rPr>
            </w:pPr>
          </w:p>
        </w:tc>
        <w:tc>
          <w:tcPr>
            <w:tcW w:w="0" w:type="auto"/>
            <w:noWrap/>
            <w:vAlign w:val="bottom"/>
            <w:hideMark/>
          </w:tcPr>
          <w:p w14:paraId="59B5D7FB" w14:textId="7A337D6C" w:rsidR="00780E30" w:rsidRPr="00780E30" w:rsidRDefault="00780E30" w:rsidP="00780E30">
            <w:pPr>
              <w:jc w:val="right"/>
              <w:cnfStyle w:val="000000100000" w:firstRow="0" w:lastRow="0" w:firstColumn="0" w:lastColumn="0" w:oddVBand="0" w:evenVBand="0" w:oddHBand="1" w:evenHBand="0" w:firstRowFirstColumn="0" w:firstRowLastColumn="0" w:lastRowFirstColumn="0" w:lastRowLastColumn="0"/>
              <w:rPr>
                <w:rFonts w:cstheme="minorHAnsi"/>
                <w:i/>
                <w:iCs/>
              </w:rPr>
            </w:pPr>
            <w:r w:rsidRPr="00780E30">
              <w:rPr>
                <w:rFonts w:cstheme="minorHAnsi"/>
                <w:i/>
                <w:iCs/>
              </w:rPr>
              <w:t>1152</w:t>
            </w:r>
          </w:p>
        </w:tc>
        <w:tc>
          <w:tcPr>
            <w:tcW w:w="0" w:type="auto"/>
            <w:noWrap/>
            <w:vAlign w:val="bottom"/>
            <w:hideMark/>
          </w:tcPr>
          <w:p w14:paraId="302BA4C2" w14:textId="016DBD9D" w:rsidR="00780E30" w:rsidRPr="00780E30" w:rsidRDefault="00780E30" w:rsidP="00780E30">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CKB</w:t>
            </w:r>
          </w:p>
        </w:tc>
      </w:tr>
      <w:tr w:rsidR="00780E30" w:rsidRPr="00C66693" w14:paraId="431F1D09" w14:textId="77777777" w:rsidTr="00780E30">
        <w:trPr>
          <w:trHeight w:val="399"/>
          <w:jc w:val="center"/>
        </w:trPr>
        <w:tc>
          <w:tcPr>
            <w:cnfStyle w:val="001000000000" w:firstRow="0" w:lastRow="0" w:firstColumn="1" w:lastColumn="0" w:oddVBand="0" w:evenVBand="0" w:oddHBand="0" w:evenHBand="0" w:firstRowFirstColumn="0" w:firstRowLastColumn="0" w:lastRowFirstColumn="0" w:lastRowLastColumn="0"/>
            <w:tcW w:w="0" w:type="auto"/>
            <w:noWrap/>
            <w:vAlign w:val="bottom"/>
            <w:hideMark/>
          </w:tcPr>
          <w:p w14:paraId="14160A41" w14:textId="00837427" w:rsidR="00780E30" w:rsidRPr="00C66693" w:rsidRDefault="00780E30" w:rsidP="00780E30">
            <w:pPr>
              <w:jc w:val="right"/>
              <w:rPr>
                <w:rFonts w:cstheme="minorHAnsi"/>
                <w:b w:val="0"/>
                <w:bCs w:val="0"/>
                <w:i/>
                <w:iCs/>
              </w:rPr>
            </w:pPr>
            <w:r w:rsidRPr="00780E30">
              <w:rPr>
                <w:rFonts w:cstheme="minorHAnsi"/>
                <w:b w:val="0"/>
                <w:bCs w:val="0"/>
                <w:i/>
                <w:iCs/>
              </w:rPr>
              <w:t>11240</w:t>
            </w:r>
          </w:p>
        </w:tc>
        <w:tc>
          <w:tcPr>
            <w:tcW w:w="0" w:type="auto"/>
            <w:noWrap/>
            <w:vAlign w:val="bottom"/>
            <w:hideMark/>
          </w:tcPr>
          <w:p w14:paraId="2C941869" w14:textId="30E5640C" w:rsidR="00780E30" w:rsidRPr="00780E30" w:rsidRDefault="00780E30" w:rsidP="00780E30">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PADI2</w:t>
            </w:r>
          </w:p>
        </w:tc>
        <w:tc>
          <w:tcPr>
            <w:tcW w:w="0" w:type="auto"/>
            <w:noWrap/>
            <w:vAlign w:val="bottom"/>
            <w:hideMark/>
          </w:tcPr>
          <w:p w14:paraId="487941D8" w14:textId="77777777" w:rsidR="00780E30" w:rsidRPr="00C66693" w:rsidRDefault="00780E30" w:rsidP="00780E30">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color w:val="333333"/>
                <w:sz w:val="22"/>
                <w:szCs w:val="22"/>
              </w:rPr>
            </w:pPr>
          </w:p>
        </w:tc>
        <w:tc>
          <w:tcPr>
            <w:tcW w:w="0" w:type="auto"/>
            <w:noWrap/>
            <w:vAlign w:val="bottom"/>
            <w:hideMark/>
          </w:tcPr>
          <w:p w14:paraId="6EDFE32B" w14:textId="75D23584" w:rsidR="00780E30" w:rsidRPr="00780E30" w:rsidRDefault="00780E30" w:rsidP="00780E30">
            <w:pPr>
              <w:jc w:val="right"/>
              <w:cnfStyle w:val="000000000000" w:firstRow="0" w:lastRow="0" w:firstColumn="0" w:lastColumn="0" w:oddVBand="0" w:evenVBand="0" w:oddHBand="0" w:evenHBand="0" w:firstRowFirstColumn="0" w:firstRowLastColumn="0" w:lastRowFirstColumn="0" w:lastRowLastColumn="0"/>
              <w:rPr>
                <w:rFonts w:cstheme="minorHAnsi"/>
                <w:i/>
                <w:iCs/>
              </w:rPr>
            </w:pPr>
            <w:r w:rsidRPr="00780E30">
              <w:rPr>
                <w:rFonts w:cstheme="minorHAnsi"/>
                <w:i/>
                <w:iCs/>
              </w:rPr>
              <w:t>5764</w:t>
            </w:r>
          </w:p>
        </w:tc>
        <w:tc>
          <w:tcPr>
            <w:tcW w:w="0" w:type="auto"/>
            <w:noWrap/>
            <w:vAlign w:val="bottom"/>
            <w:hideMark/>
          </w:tcPr>
          <w:p w14:paraId="1E1AD173" w14:textId="122891A9" w:rsidR="00780E30" w:rsidRPr="00780E30" w:rsidRDefault="00780E30" w:rsidP="00780E30">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PTN</w:t>
            </w:r>
          </w:p>
        </w:tc>
        <w:tc>
          <w:tcPr>
            <w:tcW w:w="0" w:type="auto"/>
            <w:noWrap/>
            <w:vAlign w:val="bottom"/>
            <w:hideMark/>
          </w:tcPr>
          <w:p w14:paraId="05E1E0C1" w14:textId="77777777" w:rsidR="00780E30" w:rsidRPr="00C66693" w:rsidRDefault="00780E30" w:rsidP="00780E30">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color w:val="333333"/>
                <w:sz w:val="22"/>
                <w:szCs w:val="22"/>
              </w:rPr>
            </w:pPr>
          </w:p>
        </w:tc>
        <w:tc>
          <w:tcPr>
            <w:tcW w:w="0" w:type="auto"/>
            <w:noWrap/>
            <w:vAlign w:val="bottom"/>
            <w:hideMark/>
          </w:tcPr>
          <w:p w14:paraId="4577F387" w14:textId="01B7D8F4" w:rsidR="00780E30" w:rsidRPr="00780E30" w:rsidRDefault="00780E30" w:rsidP="00780E30">
            <w:pPr>
              <w:jc w:val="right"/>
              <w:cnfStyle w:val="000000000000" w:firstRow="0" w:lastRow="0" w:firstColumn="0" w:lastColumn="0" w:oddVBand="0" w:evenVBand="0" w:oddHBand="0" w:evenHBand="0" w:firstRowFirstColumn="0" w:firstRowLastColumn="0" w:lastRowFirstColumn="0" w:lastRowLastColumn="0"/>
              <w:rPr>
                <w:rFonts w:cstheme="minorHAnsi"/>
                <w:i/>
                <w:iCs/>
              </w:rPr>
            </w:pPr>
            <w:r w:rsidRPr="00780E30">
              <w:rPr>
                <w:rFonts w:cstheme="minorHAnsi"/>
                <w:i/>
                <w:iCs/>
              </w:rPr>
              <w:t>23052</w:t>
            </w:r>
          </w:p>
        </w:tc>
        <w:tc>
          <w:tcPr>
            <w:tcW w:w="0" w:type="auto"/>
            <w:noWrap/>
            <w:vAlign w:val="bottom"/>
            <w:hideMark/>
          </w:tcPr>
          <w:p w14:paraId="25C64A5A" w14:textId="0849F7CB" w:rsidR="00780E30" w:rsidRPr="00780E30" w:rsidRDefault="00780E30" w:rsidP="00780E30">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ENDOD1</w:t>
            </w:r>
          </w:p>
        </w:tc>
      </w:tr>
      <w:tr w:rsidR="00780E30" w:rsidRPr="00C66693" w14:paraId="6B772518" w14:textId="77777777" w:rsidTr="00780E30">
        <w:trPr>
          <w:cnfStyle w:val="000000100000" w:firstRow="0" w:lastRow="0" w:firstColumn="0" w:lastColumn="0" w:oddVBand="0" w:evenVBand="0" w:oddHBand="1" w:evenHBand="0" w:firstRowFirstColumn="0" w:firstRowLastColumn="0" w:lastRowFirstColumn="0" w:lastRowLastColumn="0"/>
          <w:trHeight w:val="399"/>
          <w:jc w:val="center"/>
        </w:trPr>
        <w:tc>
          <w:tcPr>
            <w:cnfStyle w:val="001000000000" w:firstRow="0" w:lastRow="0" w:firstColumn="1" w:lastColumn="0" w:oddVBand="0" w:evenVBand="0" w:oddHBand="0" w:evenHBand="0" w:firstRowFirstColumn="0" w:firstRowLastColumn="0" w:lastRowFirstColumn="0" w:lastRowLastColumn="0"/>
            <w:tcW w:w="0" w:type="auto"/>
            <w:noWrap/>
            <w:vAlign w:val="bottom"/>
            <w:hideMark/>
          </w:tcPr>
          <w:p w14:paraId="1BA9C0E8" w14:textId="448E0C00" w:rsidR="00780E30" w:rsidRPr="00C66693" w:rsidRDefault="00780E30" w:rsidP="00780E30">
            <w:pPr>
              <w:jc w:val="right"/>
              <w:rPr>
                <w:rFonts w:cstheme="minorHAnsi"/>
                <w:b w:val="0"/>
                <w:bCs w:val="0"/>
                <w:i/>
                <w:iCs/>
              </w:rPr>
            </w:pPr>
            <w:r w:rsidRPr="00780E30">
              <w:rPr>
                <w:rFonts w:cstheme="minorHAnsi"/>
                <w:b w:val="0"/>
                <w:bCs w:val="0"/>
                <w:i/>
                <w:iCs/>
              </w:rPr>
              <w:t>284723</w:t>
            </w:r>
          </w:p>
        </w:tc>
        <w:tc>
          <w:tcPr>
            <w:tcW w:w="0" w:type="auto"/>
            <w:noWrap/>
            <w:vAlign w:val="bottom"/>
            <w:hideMark/>
          </w:tcPr>
          <w:p w14:paraId="5A5A4791" w14:textId="7FB8D085" w:rsidR="00780E30" w:rsidRPr="00780E30" w:rsidRDefault="00780E30" w:rsidP="00780E30">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SLC25A34</w:t>
            </w:r>
          </w:p>
        </w:tc>
        <w:tc>
          <w:tcPr>
            <w:tcW w:w="0" w:type="auto"/>
            <w:noWrap/>
            <w:vAlign w:val="bottom"/>
            <w:hideMark/>
          </w:tcPr>
          <w:p w14:paraId="547863DC" w14:textId="77777777" w:rsidR="00780E30" w:rsidRPr="00C66693" w:rsidRDefault="00780E30" w:rsidP="00780E30">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color w:val="333333"/>
                <w:sz w:val="22"/>
                <w:szCs w:val="22"/>
              </w:rPr>
            </w:pPr>
          </w:p>
        </w:tc>
        <w:tc>
          <w:tcPr>
            <w:tcW w:w="0" w:type="auto"/>
            <w:noWrap/>
            <w:vAlign w:val="bottom"/>
            <w:hideMark/>
          </w:tcPr>
          <w:p w14:paraId="299BD520" w14:textId="4421D9F6" w:rsidR="00780E30" w:rsidRPr="00780E30" w:rsidRDefault="00780E30" w:rsidP="00780E30">
            <w:pPr>
              <w:jc w:val="right"/>
              <w:cnfStyle w:val="000000100000" w:firstRow="0" w:lastRow="0" w:firstColumn="0" w:lastColumn="0" w:oddVBand="0" w:evenVBand="0" w:oddHBand="1" w:evenHBand="0" w:firstRowFirstColumn="0" w:firstRowLastColumn="0" w:lastRowFirstColumn="0" w:lastRowLastColumn="0"/>
              <w:rPr>
                <w:rFonts w:cstheme="minorHAnsi"/>
                <w:i/>
                <w:iCs/>
              </w:rPr>
            </w:pPr>
            <w:r w:rsidRPr="00780E30">
              <w:rPr>
                <w:rFonts w:cstheme="minorHAnsi"/>
                <w:i/>
                <w:iCs/>
              </w:rPr>
              <w:t>5333</w:t>
            </w:r>
          </w:p>
        </w:tc>
        <w:tc>
          <w:tcPr>
            <w:tcW w:w="0" w:type="auto"/>
            <w:noWrap/>
            <w:vAlign w:val="bottom"/>
            <w:hideMark/>
          </w:tcPr>
          <w:p w14:paraId="5A4BFD2C" w14:textId="40169EED" w:rsidR="00780E30" w:rsidRPr="00780E30" w:rsidRDefault="00780E30" w:rsidP="00780E30">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PLCD1</w:t>
            </w:r>
          </w:p>
        </w:tc>
        <w:tc>
          <w:tcPr>
            <w:tcW w:w="0" w:type="auto"/>
            <w:noWrap/>
            <w:vAlign w:val="bottom"/>
            <w:hideMark/>
          </w:tcPr>
          <w:p w14:paraId="303C64F1" w14:textId="77777777" w:rsidR="00780E30" w:rsidRPr="00C66693" w:rsidRDefault="00780E30" w:rsidP="00780E30">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color w:val="333333"/>
                <w:sz w:val="22"/>
                <w:szCs w:val="22"/>
              </w:rPr>
            </w:pPr>
          </w:p>
        </w:tc>
        <w:tc>
          <w:tcPr>
            <w:tcW w:w="0" w:type="auto"/>
            <w:noWrap/>
            <w:vAlign w:val="bottom"/>
            <w:hideMark/>
          </w:tcPr>
          <w:p w14:paraId="17F930DE" w14:textId="0FE760A3" w:rsidR="00780E30" w:rsidRPr="00780E30" w:rsidRDefault="00780E30" w:rsidP="00780E30">
            <w:pPr>
              <w:jc w:val="right"/>
              <w:cnfStyle w:val="000000100000" w:firstRow="0" w:lastRow="0" w:firstColumn="0" w:lastColumn="0" w:oddVBand="0" w:evenVBand="0" w:oddHBand="1" w:evenHBand="0" w:firstRowFirstColumn="0" w:firstRowLastColumn="0" w:lastRowFirstColumn="0" w:lastRowLastColumn="0"/>
              <w:rPr>
                <w:rFonts w:cstheme="minorHAnsi"/>
                <w:i/>
                <w:iCs/>
              </w:rPr>
            </w:pPr>
            <w:r w:rsidRPr="00780E30">
              <w:rPr>
                <w:rFonts w:cstheme="minorHAnsi"/>
                <w:i/>
                <w:iCs/>
              </w:rPr>
              <w:t>79849</w:t>
            </w:r>
          </w:p>
        </w:tc>
        <w:tc>
          <w:tcPr>
            <w:tcW w:w="0" w:type="auto"/>
            <w:noWrap/>
            <w:vAlign w:val="bottom"/>
            <w:hideMark/>
          </w:tcPr>
          <w:p w14:paraId="4DD47AC8" w14:textId="6C91AE12" w:rsidR="00780E30" w:rsidRPr="00780E30" w:rsidRDefault="00780E30" w:rsidP="00780E30">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NHERF4</w:t>
            </w:r>
          </w:p>
        </w:tc>
      </w:tr>
      <w:tr w:rsidR="00780E30" w:rsidRPr="00C66693" w14:paraId="51A94C69" w14:textId="77777777" w:rsidTr="00780E30">
        <w:trPr>
          <w:trHeight w:val="399"/>
          <w:jc w:val="center"/>
        </w:trPr>
        <w:tc>
          <w:tcPr>
            <w:cnfStyle w:val="001000000000" w:firstRow="0" w:lastRow="0" w:firstColumn="1" w:lastColumn="0" w:oddVBand="0" w:evenVBand="0" w:oddHBand="0" w:evenHBand="0" w:firstRowFirstColumn="0" w:firstRowLastColumn="0" w:lastRowFirstColumn="0" w:lastRowLastColumn="0"/>
            <w:tcW w:w="0" w:type="auto"/>
            <w:noWrap/>
            <w:vAlign w:val="bottom"/>
            <w:hideMark/>
          </w:tcPr>
          <w:p w14:paraId="54D6ECC6" w14:textId="5D6F08D4" w:rsidR="00780E30" w:rsidRPr="00C66693" w:rsidRDefault="00780E30" w:rsidP="00780E30">
            <w:pPr>
              <w:jc w:val="right"/>
              <w:rPr>
                <w:rFonts w:cstheme="minorHAnsi"/>
                <w:b w:val="0"/>
                <w:bCs w:val="0"/>
                <w:i/>
                <w:iCs/>
              </w:rPr>
            </w:pPr>
            <w:r w:rsidRPr="00780E30">
              <w:rPr>
                <w:rFonts w:cstheme="minorHAnsi"/>
                <w:b w:val="0"/>
                <w:bCs w:val="0"/>
                <w:i/>
                <w:iCs/>
              </w:rPr>
              <w:t>9429</w:t>
            </w:r>
          </w:p>
        </w:tc>
        <w:tc>
          <w:tcPr>
            <w:tcW w:w="0" w:type="auto"/>
            <w:noWrap/>
            <w:vAlign w:val="bottom"/>
            <w:hideMark/>
          </w:tcPr>
          <w:p w14:paraId="544646DD" w14:textId="6756AC71" w:rsidR="00780E30" w:rsidRPr="00780E30" w:rsidRDefault="00780E30" w:rsidP="00780E30">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ABCG2</w:t>
            </w:r>
          </w:p>
        </w:tc>
        <w:tc>
          <w:tcPr>
            <w:tcW w:w="0" w:type="auto"/>
            <w:noWrap/>
            <w:vAlign w:val="bottom"/>
            <w:hideMark/>
          </w:tcPr>
          <w:p w14:paraId="27196B72" w14:textId="77777777" w:rsidR="00780E30" w:rsidRPr="00C66693" w:rsidRDefault="00780E30" w:rsidP="00780E30">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color w:val="333333"/>
                <w:sz w:val="22"/>
                <w:szCs w:val="22"/>
              </w:rPr>
            </w:pPr>
          </w:p>
        </w:tc>
        <w:tc>
          <w:tcPr>
            <w:tcW w:w="0" w:type="auto"/>
            <w:noWrap/>
            <w:vAlign w:val="bottom"/>
            <w:hideMark/>
          </w:tcPr>
          <w:p w14:paraId="153BC21E" w14:textId="5A8D8D61" w:rsidR="00780E30" w:rsidRPr="00780E30" w:rsidRDefault="00780E30" w:rsidP="00780E30">
            <w:pPr>
              <w:jc w:val="right"/>
              <w:cnfStyle w:val="000000000000" w:firstRow="0" w:lastRow="0" w:firstColumn="0" w:lastColumn="0" w:oddVBand="0" w:evenVBand="0" w:oddHBand="0" w:evenHBand="0" w:firstRowFirstColumn="0" w:firstRowLastColumn="0" w:lastRowFirstColumn="0" w:lastRowLastColumn="0"/>
              <w:rPr>
                <w:rFonts w:cstheme="minorHAnsi"/>
                <w:i/>
                <w:iCs/>
              </w:rPr>
            </w:pPr>
            <w:r w:rsidRPr="00780E30">
              <w:rPr>
                <w:rFonts w:cstheme="minorHAnsi"/>
                <w:i/>
                <w:iCs/>
              </w:rPr>
              <w:t>23495</w:t>
            </w:r>
          </w:p>
        </w:tc>
        <w:tc>
          <w:tcPr>
            <w:tcW w:w="0" w:type="auto"/>
            <w:noWrap/>
            <w:vAlign w:val="bottom"/>
            <w:hideMark/>
          </w:tcPr>
          <w:p w14:paraId="3092BA3D" w14:textId="534D644B" w:rsidR="00780E30" w:rsidRPr="00780E30" w:rsidRDefault="00780E30" w:rsidP="00780E30">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TNFRSF13B</w:t>
            </w:r>
          </w:p>
        </w:tc>
        <w:tc>
          <w:tcPr>
            <w:tcW w:w="0" w:type="auto"/>
            <w:noWrap/>
            <w:vAlign w:val="bottom"/>
            <w:hideMark/>
          </w:tcPr>
          <w:p w14:paraId="07FF78A0" w14:textId="77777777" w:rsidR="00780E30" w:rsidRPr="00C66693" w:rsidRDefault="00780E30" w:rsidP="00780E30">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color w:val="333333"/>
                <w:sz w:val="22"/>
                <w:szCs w:val="22"/>
              </w:rPr>
            </w:pPr>
          </w:p>
        </w:tc>
        <w:tc>
          <w:tcPr>
            <w:tcW w:w="0" w:type="auto"/>
            <w:noWrap/>
            <w:vAlign w:val="bottom"/>
            <w:hideMark/>
          </w:tcPr>
          <w:p w14:paraId="6EC34A05" w14:textId="2B67CCF6" w:rsidR="00780E30" w:rsidRPr="00780E30" w:rsidRDefault="00780E30" w:rsidP="00780E30">
            <w:pPr>
              <w:jc w:val="right"/>
              <w:cnfStyle w:val="000000000000" w:firstRow="0" w:lastRow="0" w:firstColumn="0" w:lastColumn="0" w:oddVBand="0" w:evenVBand="0" w:oddHBand="0" w:evenHBand="0" w:firstRowFirstColumn="0" w:firstRowLastColumn="0" w:lastRowFirstColumn="0" w:lastRowLastColumn="0"/>
              <w:rPr>
                <w:rFonts w:cstheme="minorHAnsi"/>
                <w:i/>
                <w:iCs/>
              </w:rPr>
            </w:pPr>
            <w:r w:rsidRPr="00780E30">
              <w:rPr>
                <w:rFonts w:cstheme="minorHAnsi"/>
                <w:i/>
                <w:iCs/>
              </w:rPr>
              <w:t>219348</w:t>
            </w:r>
          </w:p>
        </w:tc>
        <w:tc>
          <w:tcPr>
            <w:tcW w:w="0" w:type="auto"/>
            <w:noWrap/>
            <w:vAlign w:val="bottom"/>
            <w:hideMark/>
          </w:tcPr>
          <w:p w14:paraId="54FB8EFC" w14:textId="44AC097B" w:rsidR="00780E30" w:rsidRPr="00780E30" w:rsidRDefault="00780E30" w:rsidP="00780E30">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PLAC9</w:t>
            </w:r>
          </w:p>
        </w:tc>
      </w:tr>
      <w:tr w:rsidR="00780E30" w:rsidRPr="00C66693" w14:paraId="21722260" w14:textId="77777777" w:rsidTr="00780E30">
        <w:trPr>
          <w:cnfStyle w:val="000000100000" w:firstRow="0" w:lastRow="0" w:firstColumn="0" w:lastColumn="0" w:oddVBand="0" w:evenVBand="0" w:oddHBand="1" w:evenHBand="0" w:firstRowFirstColumn="0" w:firstRowLastColumn="0" w:lastRowFirstColumn="0" w:lastRowLastColumn="0"/>
          <w:trHeight w:val="399"/>
          <w:jc w:val="center"/>
        </w:trPr>
        <w:tc>
          <w:tcPr>
            <w:cnfStyle w:val="001000000000" w:firstRow="0" w:lastRow="0" w:firstColumn="1" w:lastColumn="0" w:oddVBand="0" w:evenVBand="0" w:oddHBand="0" w:evenHBand="0" w:firstRowFirstColumn="0" w:firstRowLastColumn="0" w:lastRowFirstColumn="0" w:lastRowLastColumn="0"/>
            <w:tcW w:w="0" w:type="auto"/>
            <w:noWrap/>
            <w:vAlign w:val="bottom"/>
            <w:hideMark/>
          </w:tcPr>
          <w:p w14:paraId="66E54371" w14:textId="400B5229" w:rsidR="00780E30" w:rsidRPr="00C66693" w:rsidRDefault="00780E30" w:rsidP="00780E30">
            <w:pPr>
              <w:jc w:val="right"/>
              <w:rPr>
                <w:rFonts w:cstheme="minorHAnsi"/>
                <w:b w:val="0"/>
                <w:bCs w:val="0"/>
                <w:i/>
                <w:iCs/>
              </w:rPr>
            </w:pPr>
            <w:r w:rsidRPr="00780E30">
              <w:rPr>
                <w:rFonts w:cstheme="minorHAnsi"/>
                <w:b w:val="0"/>
                <w:bCs w:val="0"/>
                <w:i/>
                <w:iCs/>
              </w:rPr>
              <w:t>1675</w:t>
            </w:r>
          </w:p>
        </w:tc>
        <w:tc>
          <w:tcPr>
            <w:tcW w:w="0" w:type="auto"/>
            <w:noWrap/>
            <w:vAlign w:val="bottom"/>
            <w:hideMark/>
          </w:tcPr>
          <w:p w14:paraId="04592417" w14:textId="155EA3E7" w:rsidR="00780E30" w:rsidRPr="00780E30" w:rsidRDefault="00780E30" w:rsidP="00780E30">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CFD</w:t>
            </w:r>
          </w:p>
        </w:tc>
        <w:tc>
          <w:tcPr>
            <w:tcW w:w="0" w:type="auto"/>
            <w:noWrap/>
            <w:vAlign w:val="bottom"/>
            <w:hideMark/>
          </w:tcPr>
          <w:p w14:paraId="6ACA3841" w14:textId="77777777" w:rsidR="00780E30" w:rsidRPr="00C66693" w:rsidRDefault="00780E30" w:rsidP="00780E30">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color w:val="333333"/>
                <w:sz w:val="22"/>
                <w:szCs w:val="22"/>
              </w:rPr>
            </w:pPr>
          </w:p>
        </w:tc>
        <w:tc>
          <w:tcPr>
            <w:tcW w:w="0" w:type="auto"/>
            <w:noWrap/>
            <w:vAlign w:val="bottom"/>
            <w:hideMark/>
          </w:tcPr>
          <w:p w14:paraId="6ADD14C4" w14:textId="45840A84" w:rsidR="00780E30" w:rsidRPr="00780E30" w:rsidRDefault="00780E30" w:rsidP="00780E30">
            <w:pPr>
              <w:jc w:val="right"/>
              <w:cnfStyle w:val="000000100000" w:firstRow="0" w:lastRow="0" w:firstColumn="0" w:lastColumn="0" w:oddVBand="0" w:evenVBand="0" w:oddHBand="1" w:evenHBand="0" w:firstRowFirstColumn="0" w:firstRowLastColumn="0" w:lastRowFirstColumn="0" w:lastRowLastColumn="0"/>
              <w:rPr>
                <w:rFonts w:cstheme="minorHAnsi"/>
                <w:i/>
                <w:iCs/>
              </w:rPr>
            </w:pPr>
            <w:r w:rsidRPr="00780E30">
              <w:rPr>
                <w:rFonts w:cstheme="minorHAnsi"/>
                <w:i/>
                <w:iCs/>
              </w:rPr>
              <w:t>57595</w:t>
            </w:r>
          </w:p>
        </w:tc>
        <w:tc>
          <w:tcPr>
            <w:tcW w:w="0" w:type="auto"/>
            <w:noWrap/>
            <w:vAlign w:val="bottom"/>
            <w:hideMark/>
          </w:tcPr>
          <w:p w14:paraId="3E72867C" w14:textId="54EB098E" w:rsidR="00780E30" w:rsidRPr="00780E30" w:rsidRDefault="00780E30" w:rsidP="00780E30">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PDZD4</w:t>
            </w:r>
          </w:p>
        </w:tc>
        <w:tc>
          <w:tcPr>
            <w:tcW w:w="0" w:type="auto"/>
            <w:noWrap/>
            <w:vAlign w:val="bottom"/>
            <w:hideMark/>
          </w:tcPr>
          <w:p w14:paraId="4A9E1073" w14:textId="77777777" w:rsidR="00780E30" w:rsidRPr="00C66693" w:rsidRDefault="00780E30" w:rsidP="00780E30">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color w:val="333333"/>
                <w:sz w:val="22"/>
                <w:szCs w:val="22"/>
              </w:rPr>
            </w:pPr>
          </w:p>
        </w:tc>
        <w:tc>
          <w:tcPr>
            <w:tcW w:w="0" w:type="auto"/>
            <w:noWrap/>
            <w:vAlign w:val="bottom"/>
            <w:hideMark/>
          </w:tcPr>
          <w:p w14:paraId="2CE9D79B" w14:textId="706A3756" w:rsidR="00780E30" w:rsidRPr="00780E30" w:rsidRDefault="00780E30" w:rsidP="00780E30">
            <w:pPr>
              <w:jc w:val="right"/>
              <w:cnfStyle w:val="000000100000" w:firstRow="0" w:lastRow="0" w:firstColumn="0" w:lastColumn="0" w:oddVBand="0" w:evenVBand="0" w:oddHBand="1" w:evenHBand="0" w:firstRowFirstColumn="0" w:firstRowLastColumn="0" w:lastRowFirstColumn="0" w:lastRowLastColumn="0"/>
              <w:rPr>
                <w:rFonts w:cstheme="minorHAnsi"/>
                <w:i/>
                <w:iCs/>
              </w:rPr>
            </w:pPr>
            <w:r w:rsidRPr="00780E30">
              <w:rPr>
                <w:rFonts w:cstheme="minorHAnsi"/>
                <w:i/>
                <w:iCs/>
              </w:rPr>
              <w:t>114131</w:t>
            </w:r>
          </w:p>
        </w:tc>
        <w:tc>
          <w:tcPr>
            <w:tcW w:w="0" w:type="auto"/>
            <w:noWrap/>
            <w:vAlign w:val="bottom"/>
            <w:hideMark/>
          </w:tcPr>
          <w:p w14:paraId="22012842" w14:textId="00886090" w:rsidR="00780E30" w:rsidRPr="00780E30" w:rsidRDefault="00780E30" w:rsidP="00780E30">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UCN3</w:t>
            </w:r>
          </w:p>
        </w:tc>
      </w:tr>
      <w:tr w:rsidR="00780E30" w:rsidRPr="00C66693" w14:paraId="63C74EFF" w14:textId="77777777" w:rsidTr="00780E30">
        <w:trPr>
          <w:trHeight w:val="399"/>
          <w:jc w:val="center"/>
        </w:trPr>
        <w:tc>
          <w:tcPr>
            <w:cnfStyle w:val="001000000000" w:firstRow="0" w:lastRow="0" w:firstColumn="1" w:lastColumn="0" w:oddVBand="0" w:evenVBand="0" w:oddHBand="0" w:evenHBand="0" w:firstRowFirstColumn="0" w:firstRowLastColumn="0" w:lastRowFirstColumn="0" w:lastRowLastColumn="0"/>
            <w:tcW w:w="0" w:type="auto"/>
            <w:noWrap/>
            <w:vAlign w:val="bottom"/>
            <w:hideMark/>
          </w:tcPr>
          <w:p w14:paraId="329D91C5" w14:textId="48BD0F4E" w:rsidR="00780E30" w:rsidRPr="00C66693" w:rsidRDefault="00780E30" w:rsidP="00780E30">
            <w:pPr>
              <w:jc w:val="right"/>
              <w:rPr>
                <w:rFonts w:cstheme="minorHAnsi"/>
                <w:b w:val="0"/>
                <w:bCs w:val="0"/>
                <w:i/>
                <w:iCs/>
              </w:rPr>
            </w:pPr>
            <w:r w:rsidRPr="00780E30">
              <w:rPr>
                <w:rFonts w:cstheme="minorHAnsi"/>
                <w:b w:val="0"/>
                <w:bCs w:val="0"/>
                <w:i/>
                <w:iCs/>
              </w:rPr>
              <w:t>123264</w:t>
            </w:r>
          </w:p>
        </w:tc>
        <w:tc>
          <w:tcPr>
            <w:tcW w:w="0" w:type="auto"/>
            <w:noWrap/>
            <w:vAlign w:val="bottom"/>
            <w:hideMark/>
          </w:tcPr>
          <w:p w14:paraId="61EE04B0" w14:textId="77557C0E" w:rsidR="00780E30" w:rsidRPr="00780E30" w:rsidRDefault="00780E30" w:rsidP="00780E30">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SLC51B</w:t>
            </w:r>
          </w:p>
        </w:tc>
        <w:tc>
          <w:tcPr>
            <w:tcW w:w="0" w:type="auto"/>
            <w:noWrap/>
            <w:vAlign w:val="bottom"/>
            <w:hideMark/>
          </w:tcPr>
          <w:p w14:paraId="0336B0C7" w14:textId="77777777" w:rsidR="00780E30" w:rsidRPr="00C66693" w:rsidRDefault="00780E30" w:rsidP="00780E30">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color w:val="333333"/>
                <w:sz w:val="22"/>
                <w:szCs w:val="22"/>
              </w:rPr>
            </w:pPr>
          </w:p>
        </w:tc>
        <w:tc>
          <w:tcPr>
            <w:tcW w:w="0" w:type="auto"/>
            <w:noWrap/>
            <w:vAlign w:val="bottom"/>
            <w:hideMark/>
          </w:tcPr>
          <w:p w14:paraId="642877CA" w14:textId="7E78EAB2" w:rsidR="00780E30" w:rsidRPr="00780E30" w:rsidRDefault="00780E30" w:rsidP="00780E30">
            <w:pPr>
              <w:jc w:val="right"/>
              <w:cnfStyle w:val="000000000000" w:firstRow="0" w:lastRow="0" w:firstColumn="0" w:lastColumn="0" w:oddVBand="0" w:evenVBand="0" w:oddHBand="0" w:evenHBand="0" w:firstRowFirstColumn="0" w:firstRowLastColumn="0" w:lastRowFirstColumn="0" w:lastRowLastColumn="0"/>
              <w:rPr>
                <w:rFonts w:cstheme="minorHAnsi"/>
                <w:i/>
                <w:iCs/>
              </w:rPr>
            </w:pPr>
            <w:r w:rsidRPr="00780E30">
              <w:rPr>
                <w:rFonts w:cstheme="minorHAnsi"/>
                <w:i/>
                <w:iCs/>
              </w:rPr>
              <w:t>5152</w:t>
            </w:r>
          </w:p>
        </w:tc>
        <w:tc>
          <w:tcPr>
            <w:tcW w:w="0" w:type="auto"/>
            <w:noWrap/>
            <w:vAlign w:val="bottom"/>
            <w:hideMark/>
          </w:tcPr>
          <w:p w14:paraId="7F8874BF" w14:textId="05D3D553" w:rsidR="00780E30" w:rsidRPr="00780E30" w:rsidRDefault="00780E30" w:rsidP="00780E30">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PDE9A</w:t>
            </w:r>
          </w:p>
        </w:tc>
        <w:tc>
          <w:tcPr>
            <w:tcW w:w="0" w:type="auto"/>
            <w:noWrap/>
            <w:vAlign w:val="bottom"/>
            <w:hideMark/>
          </w:tcPr>
          <w:p w14:paraId="30F3B79A" w14:textId="77777777" w:rsidR="00780E30" w:rsidRPr="00C66693" w:rsidRDefault="00780E30" w:rsidP="00780E30">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color w:val="333333"/>
                <w:sz w:val="22"/>
                <w:szCs w:val="22"/>
              </w:rPr>
            </w:pPr>
          </w:p>
        </w:tc>
        <w:tc>
          <w:tcPr>
            <w:tcW w:w="0" w:type="auto"/>
            <w:noWrap/>
            <w:vAlign w:val="bottom"/>
            <w:hideMark/>
          </w:tcPr>
          <w:p w14:paraId="10D75E4C" w14:textId="11C3DDE3" w:rsidR="00780E30" w:rsidRPr="00780E30" w:rsidRDefault="00780E30" w:rsidP="00780E30">
            <w:pPr>
              <w:jc w:val="right"/>
              <w:cnfStyle w:val="000000000000" w:firstRow="0" w:lastRow="0" w:firstColumn="0" w:lastColumn="0" w:oddVBand="0" w:evenVBand="0" w:oddHBand="0" w:evenHBand="0" w:firstRowFirstColumn="0" w:firstRowLastColumn="0" w:lastRowFirstColumn="0" w:lastRowLastColumn="0"/>
              <w:rPr>
                <w:rFonts w:cstheme="minorHAnsi"/>
                <w:i/>
                <w:iCs/>
              </w:rPr>
            </w:pPr>
            <w:r w:rsidRPr="00780E30">
              <w:rPr>
                <w:rFonts w:cstheme="minorHAnsi"/>
                <w:i/>
                <w:iCs/>
              </w:rPr>
              <w:t>10022</w:t>
            </w:r>
          </w:p>
        </w:tc>
        <w:tc>
          <w:tcPr>
            <w:tcW w:w="0" w:type="auto"/>
            <w:noWrap/>
            <w:vAlign w:val="bottom"/>
            <w:hideMark/>
          </w:tcPr>
          <w:p w14:paraId="31494ACC" w14:textId="5AEBA7B8" w:rsidR="00780E30" w:rsidRPr="00780E30" w:rsidRDefault="00780E30" w:rsidP="00780E30">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INSL5</w:t>
            </w:r>
          </w:p>
        </w:tc>
      </w:tr>
      <w:tr w:rsidR="00780E30" w:rsidRPr="00C66693" w14:paraId="18829B24" w14:textId="77777777" w:rsidTr="00780E30">
        <w:trPr>
          <w:cnfStyle w:val="000000100000" w:firstRow="0" w:lastRow="0" w:firstColumn="0" w:lastColumn="0" w:oddVBand="0" w:evenVBand="0" w:oddHBand="1" w:evenHBand="0" w:firstRowFirstColumn="0" w:firstRowLastColumn="0" w:lastRowFirstColumn="0" w:lastRowLastColumn="0"/>
          <w:trHeight w:val="399"/>
          <w:jc w:val="center"/>
        </w:trPr>
        <w:tc>
          <w:tcPr>
            <w:cnfStyle w:val="001000000000" w:firstRow="0" w:lastRow="0" w:firstColumn="1" w:lastColumn="0" w:oddVBand="0" w:evenVBand="0" w:oddHBand="0" w:evenHBand="0" w:firstRowFirstColumn="0" w:firstRowLastColumn="0" w:lastRowFirstColumn="0" w:lastRowLastColumn="0"/>
            <w:tcW w:w="0" w:type="auto"/>
            <w:noWrap/>
            <w:vAlign w:val="bottom"/>
            <w:hideMark/>
          </w:tcPr>
          <w:p w14:paraId="702E7323" w14:textId="738AB411" w:rsidR="00780E30" w:rsidRPr="00C66693" w:rsidRDefault="00780E30" w:rsidP="00780E30">
            <w:pPr>
              <w:jc w:val="right"/>
              <w:rPr>
                <w:rFonts w:cstheme="minorHAnsi"/>
                <w:b w:val="0"/>
                <w:bCs w:val="0"/>
                <w:i/>
                <w:iCs/>
              </w:rPr>
            </w:pPr>
            <w:r w:rsidRPr="00780E30">
              <w:rPr>
                <w:rFonts w:cstheme="minorHAnsi"/>
                <w:b w:val="0"/>
                <w:bCs w:val="0"/>
                <w:i/>
                <w:iCs/>
              </w:rPr>
              <w:t>130497</w:t>
            </w:r>
          </w:p>
        </w:tc>
        <w:tc>
          <w:tcPr>
            <w:tcW w:w="0" w:type="auto"/>
            <w:noWrap/>
            <w:vAlign w:val="bottom"/>
            <w:hideMark/>
          </w:tcPr>
          <w:p w14:paraId="4103F223" w14:textId="255AF8C5" w:rsidR="00780E30" w:rsidRPr="00780E30" w:rsidRDefault="00780E30" w:rsidP="00780E30">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OSR1</w:t>
            </w:r>
          </w:p>
        </w:tc>
        <w:tc>
          <w:tcPr>
            <w:tcW w:w="0" w:type="auto"/>
            <w:noWrap/>
            <w:vAlign w:val="bottom"/>
            <w:hideMark/>
          </w:tcPr>
          <w:p w14:paraId="4F6CFC42" w14:textId="77777777" w:rsidR="00780E30" w:rsidRPr="00C66693" w:rsidRDefault="00780E30" w:rsidP="00780E30">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color w:val="333333"/>
                <w:sz w:val="22"/>
                <w:szCs w:val="22"/>
              </w:rPr>
            </w:pPr>
          </w:p>
        </w:tc>
        <w:tc>
          <w:tcPr>
            <w:tcW w:w="0" w:type="auto"/>
            <w:noWrap/>
            <w:vAlign w:val="bottom"/>
            <w:hideMark/>
          </w:tcPr>
          <w:p w14:paraId="23165E20" w14:textId="4482379B" w:rsidR="00780E30" w:rsidRPr="00780E30" w:rsidRDefault="00780E30" w:rsidP="00780E30">
            <w:pPr>
              <w:jc w:val="right"/>
              <w:cnfStyle w:val="000000100000" w:firstRow="0" w:lastRow="0" w:firstColumn="0" w:lastColumn="0" w:oddVBand="0" w:evenVBand="0" w:oddHBand="1" w:evenHBand="0" w:firstRowFirstColumn="0" w:firstRowLastColumn="0" w:lastRowFirstColumn="0" w:lastRowLastColumn="0"/>
              <w:rPr>
                <w:rFonts w:cstheme="minorHAnsi"/>
                <w:i/>
                <w:iCs/>
              </w:rPr>
            </w:pPr>
            <w:r w:rsidRPr="00780E30">
              <w:rPr>
                <w:rFonts w:cstheme="minorHAnsi"/>
                <w:i/>
                <w:iCs/>
              </w:rPr>
              <w:t>1412</w:t>
            </w:r>
          </w:p>
        </w:tc>
        <w:tc>
          <w:tcPr>
            <w:tcW w:w="0" w:type="auto"/>
            <w:noWrap/>
            <w:vAlign w:val="bottom"/>
            <w:hideMark/>
          </w:tcPr>
          <w:p w14:paraId="2C25A58D" w14:textId="48CA0D4B" w:rsidR="00780E30" w:rsidRPr="00780E30" w:rsidRDefault="00780E30" w:rsidP="00780E30">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CRYBA2</w:t>
            </w:r>
          </w:p>
        </w:tc>
        <w:tc>
          <w:tcPr>
            <w:tcW w:w="0" w:type="auto"/>
            <w:noWrap/>
            <w:vAlign w:val="bottom"/>
            <w:hideMark/>
          </w:tcPr>
          <w:p w14:paraId="3B4CE758" w14:textId="77777777" w:rsidR="00780E30" w:rsidRPr="00C66693" w:rsidRDefault="00780E30" w:rsidP="00780E30">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color w:val="333333"/>
                <w:sz w:val="22"/>
                <w:szCs w:val="22"/>
              </w:rPr>
            </w:pPr>
          </w:p>
        </w:tc>
        <w:tc>
          <w:tcPr>
            <w:tcW w:w="0" w:type="auto"/>
            <w:noWrap/>
            <w:vAlign w:val="bottom"/>
            <w:hideMark/>
          </w:tcPr>
          <w:p w14:paraId="1053DBA3" w14:textId="0D8B75BE" w:rsidR="00780E30" w:rsidRPr="00780E30" w:rsidRDefault="00780E30" w:rsidP="00780E30">
            <w:pPr>
              <w:jc w:val="right"/>
              <w:cnfStyle w:val="000000100000" w:firstRow="0" w:lastRow="0" w:firstColumn="0" w:lastColumn="0" w:oddVBand="0" w:evenVBand="0" w:oddHBand="1" w:evenHBand="0" w:firstRowFirstColumn="0" w:firstRowLastColumn="0" w:lastRowFirstColumn="0" w:lastRowLastColumn="0"/>
              <w:rPr>
                <w:rFonts w:cstheme="minorHAnsi"/>
                <w:i/>
                <w:iCs/>
              </w:rPr>
            </w:pPr>
            <w:r w:rsidRPr="00780E30">
              <w:rPr>
                <w:rFonts w:cstheme="minorHAnsi"/>
                <w:i/>
                <w:iCs/>
              </w:rPr>
              <w:t>100506542</w:t>
            </w:r>
          </w:p>
        </w:tc>
        <w:tc>
          <w:tcPr>
            <w:tcW w:w="0" w:type="auto"/>
            <w:noWrap/>
            <w:vAlign w:val="bottom"/>
            <w:hideMark/>
          </w:tcPr>
          <w:p w14:paraId="7C1DA652" w14:textId="7926718A" w:rsidR="00780E30" w:rsidRPr="00780E30" w:rsidRDefault="00780E30" w:rsidP="00780E30">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LINC01082</w:t>
            </w:r>
          </w:p>
        </w:tc>
      </w:tr>
      <w:tr w:rsidR="00780E30" w:rsidRPr="00C66693" w14:paraId="0E01C79D" w14:textId="77777777" w:rsidTr="00780E30">
        <w:trPr>
          <w:trHeight w:val="399"/>
          <w:jc w:val="center"/>
        </w:trPr>
        <w:tc>
          <w:tcPr>
            <w:cnfStyle w:val="001000000000" w:firstRow="0" w:lastRow="0" w:firstColumn="1" w:lastColumn="0" w:oddVBand="0" w:evenVBand="0" w:oddHBand="0" w:evenHBand="0" w:firstRowFirstColumn="0" w:firstRowLastColumn="0" w:lastRowFirstColumn="0" w:lastRowLastColumn="0"/>
            <w:tcW w:w="0" w:type="auto"/>
            <w:noWrap/>
            <w:vAlign w:val="bottom"/>
            <w:hideMark/>
          </w:tcPr>
          <w:p w14:paraId="65867796" w14:textId="43C31B10" w:rsidR="00780E30" w:rsidRPr="00C66693" w:rsidRDefault="00780E30" w:rsidP="00780E30">
            <w:pPr>
              <w:jc w:val="right"/>
              <w:rPr>
                <w:rFonts w:cstheme="minorHAnsi"/>
                <w:b w:val="0"/>
                <w:bCs w:val="0"/>
                <w:i/>
                <w:iCs/>
              </w:rPr>
            </w:pPr>
            <w:r w:rsidRPr="00780E30">
              <w:rPr>
                <w:rFonts w:cstheme="minorHAnsi"/>
                <w:b w:val="0"/>
                <w:bCs w:val="0"/>
                <w:i/>
                <w:iCs/>
              </w:rPr>
              <w:t>2980</w:t>
            </w:r>
          </w:p>
        </w:tc>
        <w:tc>
          <w:tcPr>
            <w:tcW w:w="0" w:type="auto"/>
            <w:noWrap/>
            <w:vAlign w:val="bottom"/>
            <w:hideMark/>
          </w:tcPr>
          <w:p w14:paraId="72A6A894" w14:textId="1867FFFD" w:rsidR="00780E30" w:rsidRPr="00780E30" w:rsidRDefault="00780E30" w:rsidP="00780E30">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GUCA2A</w:t>
            </w:r>
          </w:p>
        </w:tc>
        <w:tc>
          <w:tcPr>
            <w:tcW w:w="0" w:type="auto"/>
            <w:noWrap/>
            <w:vAlign w:val="bottom"/>
            <w:hideMark/>
          </w:tcPr>
          <w:p w14:paraId="7E9E35F7" w14:textId="77777777" w:rsidR="00780E30" w:rsidRPr="00C66693" w:rsidRDefault="00780E30" w:rsidP="00780E30">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color w:val="333333"/>
                <w:sz w:val="22"/>
                <w:szCs w:val="22"/>
              </w:rPr>
            </w:pPr>
          </w:p>
        </w:tc>
        <w:tc>
          <w:tcPr>
            <w:tcW w:w="0" w:type="auto"/>
            <w:noWrap/>
            <w:vAlign w:val="bottom"/>
            <w:hideMark/>
          </w:tcPr>
          <w:p w14:paraId="16893CD8" w14:textId="3215C35F" w:rsidR="00780E30" w:rsidRPr="00780E30" w:rsidRDefault="00780E30" w:rsidP="00780E30">
            <w:pPr>
              <w:jc w:val="right"/>
              <w:cnfStyle w:val="000000000000" w:firstRow="0" w:lastRow="0" w:firstColumn="0" w:lastColumn="0" w:oddVBand="0" w:evenVBand="0" w:oddHBand="0" w:evenHBand="0" w:firstRowFirstColumn="0" w:firstRowLastColumn="0" w:lastRowFirstColumn="0" w:lastRowLastColumn="0"/>
              <w:rPr>
                <w:rFonts w:cstheme="minorHAnsi"/>
                <w:i/>
                <w:iCs/>
              </w:rPr>
            </w:pPr>
            <w:r w:rsidRPr="00780E30">
              <w:rPr>
                <w:rFonts w:cstheme="minorHAnsi"/>
                <w:i/>
                <w:iCs/>
              </w:rPr>
              <w:t>653808</w:t>
            </w:r>
          </w:p>
        </w:tc>
        <w:tc>
          <w:tcPr>
            <w:tcW w:w="0" w:type="auto"/>
            <w:noWrap/>
            <w:vAlign w:val="bottom"/>
            <w:hideMark/>
          </w:tcPr>
          <w:p w14:paraId="29EFE48A" w14:textId="570F2C39" w:rsidR="00780E30" w:rsidRPr="00780E30" w:rsidRDefault="00780E30" w:rsidP="00780E30">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ZG16</w:t>
            </w:r>
          </w:p>
        </w:tc>
        <w:tc>
          <w:tcPr>
            <w:tcW w:w="0" w:type="auto"/>
            <w:noWrap/>
            <w:vAlign w:val="bottom"/>
            <w:hideMark/>
          </w:tcPr>
          <w:p w14:paraId="731F5334" w14:textId="77777777" w:rsidR="00780E30" w:rsidRPr="00C66693" w:rsidRDefault="00780E30" w:rsidP="00780E30">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color w:val="333333"/>
                <w:sz w:val="22"/>
                <w:szCs w:val="22"/>
              </w:rPr>
            </w:pPr>
          </w:p>
        </w:tc>
        <w:tc>
          <w:tcPr>
            <w:tcW w:w="0" w:type="auto"/>
            <w:noWrap/>
            <w:vAlign w:val="bottom"/>
            <w:hideMark/>
          </w:tcPr>
          <w:p w14:paraId="13C7E043" w14:textId="049CE493" w:rsidR="00780E30" w:rsidRPr="00780E30" w:rsidRDefault="00780E30" w:rsidP="00780E30">
            <w:pPr>
              <w:jc w:val="right"/>
              <w:cnfStyle w:val="000000000000" w:firstRow="0" w:lastRow="0" w:firstColumn="0" w:lastColumn="0" w:oddVBand="0" w:evenVBand="0" w:oddHBand="0" w:evenHBand="0" w:firstRowFirstColumn="0" w:firstRowLastColumn="0" w:lastRowFirstColumn="0" w:lastRowLastColumn="0"/>
              <w:rPr>
                <w:rFonts w:cstheme="minorHAnsi"/>
                <w:i/>
                <w:iCs/>
              </w:rPr>
            </w:pPr>
            <w:r w:rsidRPr="00780E30">
              <w:rPr>
                <w:rFonts w:cstheme="minorHAnsi"/>
                <w:i/>
                <w:iCs/>
              </w:rPr>
              <w:t>23140</w:t>
            </w:r>
          </w:p>
        </w:tc>
        <w:tc>
          <w:tcPr>
            <w:tcW w:w="0" w:type="auto"/>
            <w:noWrap/>
            <w:vAlign w:val="bottom"/>
            <w:hideMark/>
          </w:tcPr>
          <w:p w14:paraId="75F3333E" w14:textId="2CC02CDD" w:rsidR="00780E30" w:rsidRPr="00780E30" w:rsidRDefault="00780E30" w:rsidP="00780E30">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ZZEF1</w:t>
            </w:r>
          </w:p>
        </w:tc>
      </w:tr>
      <w:tr w:rsidR="00780E30" w:rsidRPr="00C66693" w14:paraId="5F46D89F" w14:textId="77777777" w:rsidTr="00780E30">
        <w:trPr>
          <w:cnfStyle w:val="000000100000" w:firstRow="0" w:lastRow="0" w:firstColumn="0" w:lastColumn="0" w:oddVBand="0" w:evenVBand="0" w:oddHBand="1" w:evenHBand="0" w:firstRowFirstColumn="0" w:firstRowLastColumn="0" w:lastRowFirstColumn="0" w:lastRowLastColumn="0"/>
          <w:trHeight w:val="399"/>
          <w:jc w:val="center"/>
        </w:trPr>
        <w:tc>
          <w:tcPr>
            <w:cnfStyle w:val="001000000000" w:firstRow="0" w:lastRow="0" w:firstColumn="1" w:lastColumn="0" w:oddVBand="0" w:evenVBand="0" w:oddHBand="0" w:evenHBand="0" w:firstRowFirstColumn="0" w:firstRowLastColumn="0" w:lastRowFirstColumn="0" w:lastRowLastColumn="0"/>
            <w:tcW w:w="0" w:type="auto"/>
            <w:noWrap/>
            <w:vAlign w:val="bottom"/>
            <w:hideMark/>
          </w:tcPr>
          <w:p w14:paraId="75538FB3" w14:textId="201F38E9" w:rsidR="00780E30" w:rsidRPr="00C66693" w:rsidRDefault="00780E30" w:rsidP="00780E30">
            <w:pPr>
              <w:jc w:val="right"/>
              <w:rPr>
                <w:rFonts w:cstheme="minorHAnsi"/>
                <w:b w:val="0"/>
                <w:bCs w:val="0"/>
                <w:i/>
                <w:iCs/>
              </w:rPr>
            </w:pPr>
            <w:r w:rsidRPr="00780E30">
              <w:rPr>
                <w:rFonts w:cstheme="minorHAnsi"/>
                <w:b w:val="0"/>
                <w:bCs w:val="0"/>
                <w:i/>
                <w:iCs/>
              </w:rPr>
              <w:t>4496</w:t>
            </w:r>
          </w:p>
        </w:tc>
        <w:tc>
          <w:tcPr>
            <w:tcW w:w="0" w:type="auto"/>
            <w:noWrap/>
            <w:vAlign w:val="bottom"/>
            <w:hideMark/>
          </w:tcPr>
          <w:p w14:paraId="21BCB2AD" w14:textId="1AB5490A" w:rsidR="00780E30" w:rsidRPr="00780E30" w:rsidRDefault="00780E30" w:rsidP="00780E30">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MT1H</w:t>
            </w:r>
          </w:p>
        </w:tc>
        <w:tc>
          <w:tcPr>
            <w:tcW w:w="0" w:type="auto"/>
            <w:noWrap/>
            <w:vAlign w:val="bottom"/>
            <w:hideMark/>
          </w:tcPr>
          <w:p w14:paraId="5F1F5902" w14:textId="77777777" w:rsidR="00780E30" w:rsidRPr="00C66693" w:rsidRDefault="00780E30" w:rsidP="00780E30">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color w:val="333333"/>
                <w:sz w:val="22"/>
                <w:szCs w:val="22"/>
              </w:rPr>
            </w:pPr>
          </w:p>
        </w:tc>
        <w:tc>
          <w:tcPr>
            <w:tcW w:w="0" w:type="auto"/>
            <w:noWrap/>
            <w:vAlign w:val="bottom"/>
            <w:hideMark/>
          </w:tcPr>
          <w:p w14:paraId="50A68A7A" w14:textId="51A214DC" w:rsidR="00780E30" w:rsidRPr="00780E30" w:rsidRDefault="00780E30" w:rsidP="00780E30">
            <w:pPr>
              <w:jc w:val="right"/>
              <w:cnfStyle w:val="000000100000" w:firstRow="0" w:lastRow="0" w:firstColumn="0" w:lastColumn="0" w:oddVBand="0" w:evenVBand="0" w:oddHBand="1" w:evenHBand="0" w:firstRowFirstColumn="0" w:firstRowLastColumn="0" w:lastRowFirstColumn="0" w:lastRowLastColumn="0"/>
              <w:rPr>
                <w:rFonts w:cstheme="minorHAnsi"/>
                <w:i/>
                <w:iCs/>
              </w:rPr>
            </w:pPr>
            <w:r w:rsidRPr="00780E30">
              <w:rPr>
                <w:rFonts w:cstheme="minorHAnsi"/>
                <w:i/>
                <w:iCs/>
              </w:rPr>
              <w:t>11148</w:t>
            </w:r>
          </w:p>
        </w:tc>
        <w:tc>
          <w:tcPr>
            <w:tcW w:w="0" w:type="auto"/>
            <w:noWrap/>
            <w:vAlign w:val="bottom"/>
            <w:hideMark/>
          </w:tcPr>
          <w:p w14:paraId="201B419D" w14:textId="75EE9F18" w:rsidR="00780E30" w:rsidRPr="00780E30" w:rsidRDefault="00780E30" w:rsidP="00780E30">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HHLA2</w:t>
            </w:r>
          </w:p>
        </w:tc>
        <w:tc>
          <w:tcPr>
            <w:tcW w:w="0" w:type="auto"/>
            <w:noWrap/>
            <w:vAlign w:val="bottom"/>
            <w:hideMark/>
          </w:tcPr>
          <w:p w14:paraId="50B0EEF6" w14:textId="77777777" w:rsidR="00780E30" w:rsidRPr="00C66693" w:rsidRDefault="00780E30" w:rsidP="00780E30">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color w:val="333333"/>
                <w:sz w:val="22"/>
                <w:szCs w:val="22"/>
              </w:rPr>
            </w:pPr>
          </w:p>
        </w:tc>
        <w:tc>
          <w:tcPr>
            <w:tcW w:w="0" w:type="auto"/>
            <w:noWrap/>
            <w:vAlign w:val="bottom"/>
            <w:hideMark/>
          </w:tcPr>
          <w:p w14:paraId="2ECC45C9" w14:textId="49A813F3" w:rsidR="00780E30" w:rsidRPr="00780E30" w:rsidRDefault="00780E30" w:rsidP="00780E30">
            <w:pPr>
              <w:jc w:val="right"/>
              <w:cnfStyle w:val="000000100000" w:firstRow="0" w:lastRow="0" w:firstColumn="0" w:lastColumn="0" w:oddVBand="0" w:evenVBand="0" w:oddHBand="1" w:evenHBand="0" w:firstRowFirstColumn="0" w:firstRowLastColumn="0" w:lastRowFirstColumn="0" w:lastRowLastColumn="0"/>
              <w:rPr>
                <w:rFonts w:cstheme="minorHAnsi"/>
                <w:i/>
                <w:iCs/>
              </w:rPr>
            </w:pPr>
            <w:r w:rsidRPr="00780E30">
              <w:rPr>
                <w:rFonts w:cstheme="minorHAnsi"/>
                <w:i/>
                <w:iCs/>
              </w:rPr>
              <w:t>3294</w:t>
            </w:r>
          </w:p>
        </w:tc>
        <w:tc>
          <w:tcPr>
            <w:tcW w:w="0" w:type="auto"/>
            <w:noWrap/>
            <w:vAlign w:val="bottom"/>
            <w:hideMark/>
          </w:tcPr>
          <w:p w14:paraId="6D9DF181" w14:textId="640FCF70" w:rsidR="00780E30" w:rsidRPr="00780E30" w:rsidRDefault="00780E30" w:rsidP="00780E30">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HSD17B2</w:t>
            </w:r>
          </w:p>
        </w:tc>
      </w:tr>
      <w:tr w:rsidR="00780E30" w:rsidRPr="00C66693" w14:paraId="2B68A904" w14:textId="77777777" w:rsidTr="00780E30">
        <w:trPr>
          <w:trHeight w:val="399"/>
          <w:jc w:val="center"/>
        </w:trPr>
        <w:tc>
          <w:tcPr>
            <w:cnfStyle w:val="001000000000" w:firstRow="0" w:lastRow="0" w:firstColumn="1" w:lastColumn="0" w:oddVBand="0" w:evenVBand="0" w:oddHBand="0" w:evenHBand="0" w:firstRowFirstColumn="0" w:firstRowLastColumn="0" w:lastRowFirstColumn="0" w:lastRowLastColumn="0"/>
            <w:tcW w:w="0" w:type="auto"/>
            <w:noWrap/>
            <w:vAlign w:val="bottom"/>
            <w:hideMark/>
          </w:tcPr>
          <w:p w14:paraId="3BF14838" w14:textId="0D3DD364" w:rsidR="00780E30" w:rsidRPr="00C66693" w:rsidRDefault="00780E30" w:rsidP="00780E30">
            <w:pPr>
              <w:jc w:val="right"/>
              <w:rPr>
                <w:rFonts w:cstheme="minorHAnsi"/>
                <w:b w:val="0"/>
                <w:bCs w:val="0"/>
                <w:i/>
                <w:iCs/>
              </w:rPr>
            </w:pPr>
            <w:r w:rsidRPr="00780E30">
              <w:rPr>
                <w:rFonts w:cstheme="minorHAnsi"/>
                <w:b w:val="0"/>
                <w:bCs w:val="0"/>
                <w:i/>
                <w:iCs/>
              </w:rPr>
              <w:t>343</w:t>
            </w:r>
          </w:p>
        </w:tc>
        <w:tc>
          <w:tcPr>
            <w:tcW w:w="0" w:type="auto"/>
            <w:noWrap/>
            <w:vAlign w:val="bottom"/>
            <w:hideMark/>
          </w:tcPr>
          <w:p w14:paraId="326C5ADF" w14:textId="0AA22AB0" w:rsidR="00780E30" w:rsidRPr="00780E30" w:rsidRDefault="00780E30" w:rsidP="00780E30">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AQP8</w:t>
            </w:r>
          </w:p>
        </w:tc>
        <w:tc>
          <w:tcPr>
            <w:tcW w:w="0" w:type="auto"/>
            <w:noWrap/>
            <w:vAlign w:val="bottom"/>
            <w:hideMark/>
          </w:tcPr>
          <w:p w14:paraId="01E6DE47" w14:textId="77777777" w:rsidR="00780E30" w:rsidRPr="00C66693" w:rsidRDefault="00780E30" w:rsidP="00780E30">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color w:val="333333"/>
                <w:sz w:val="22"/>
                <w:szCs w:val="22"/>
              </w:rPr>
            </w:pPr>
          </w:p>
        </w:tc>
        <w:tc>
          <w:tcPr>
            <w:tcW w:w="0" w:type="auto"/>
            <w:noWrap/>
            <w:vAlign w:val="bottom"/>
            <w:hideMark/>
          </w:tcPr>
          <w:p w14:paraId="10EA054A" w14:textId="2ECBA5CB" w:rsidR="00780E30" w:rsidRPr="00780E30" w:rsidRDefault="00780E30" w:rsidP="00780E30">
            <w:pPr>
              <w:jc w:val="right"/>
              <w:cnfStyle w:val="000000000000" w:firstRow="0" w:lastRow="0" w:firstColumn="0" w:lastColumn="0" w:oddVBand="0" w:evenVBand="0" w:oddHBand="0" w:evenHBand="0" w:firstRowFirstColumn="0" w:firstRowLastColumn="0" w:lastRowFirstColumn="0" w:lastRowLastColumn="0"/>
              <w:rPr>
                <w:rFonts w:cstheme="minorHAnsi"/>
                <w:i/>
                <w:iCs/>
              </w:rPr>
            </w:pPr>
            <w:r w:rsidRPr="00780E30">
              <w:rPr>
                <w:rFonts w:cstheme="minorHAnsi"/>
                <w:i/>
                <w:iCs/>
              </w:rPr>
              <w:t>22989</w:t>
            </w:r>
          </w:p>
        </w:tc>
        <w:tc>
          <w:tcPr>
            <w:tcW w:w="0" w:type="auto"/>
            <w:noWrap/>
            <w:vAlign w:val="bottom"/>
            <w:hideMark/>
          </w:tcPr>
          <w:p w14:paraId="7CD9A3E6" w14:textId="133CFECD" w:rsidR="00780E30" w:rsidRPr="00780E30" w:rsidRDefault="00780E30" w:rsidP="00780E30">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MYH15</w:t>
            </w:r>
          </w:p>
        </w:tc>
        <w:tc>
          <w:tcPr>
            <w:tcW w:w="0" w:type="auto"/>
            <w:noWrap/>
            <w:vAlign w:val="bottom"/>
            <w:hideMark/>
          </w:tcPr>
          <w:p w14:paraId="4471B25B" w14:textId="77777777" w:rsidR="00780E30" w:rsidRPr="00C66693" w:rsidRDefault="00780E30" w:rsidP="00780E30">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color w:val="333333"/>
                <w:sz w:val="22"/>
                <w:szCs w:val="22"/>
              </w:rPr>
            </w:pPr>
          </w:p>
        </w:tc>
        <w:tc>
          <w:tcPr>
            <w:tcW w:w="0" w:type="auto"/>
            <w:noWrap/>
            <w:vAlign w:val="bottom"/>
            <w:hideMark/>
          </w:tcPr>
          <w:p w14:paraId="58D41404" w14:textId="1455FA02" w:rsidR="00780E30" w:rsidRPr="00780E30" w:rsidRDefault="00780E30" w:rsidP="00780E30">
            <w:pPr>
              <w:jc w:val="right"/>
              <w:cnfStyle w:val="000000000000" w:firstRow="0" w:lastRow="0" w:firstColumn="0" w:lastColumn="0" w:oddVBand="0" w:evenVBand="0" w:oddHBand="0" w:evenHBand="0" w:firstRowFirstColumn="0" w:firstRowLastColumn="0" w:lastRowFirstColumn="0" w:lastRowLastColumn="0"/>
              <w:rPr>
                <w:rFonts w:cstheme="minorHAnsi"/>
                <w:i/>
                <w:iCs/>
              </w:rPr>
            </w:pPr>
            <w:r w:rsidRPr="00780E30">
              <w:rPr>
                <w:rFonts w:cstheme="minorHAnsi"/>
                <w:i/>
                <w:iCs/>
              </w:rPr>
              <w:t>1776</w:t>
            </w:r>
          </w:p>
        </w:tc>
        <w:tc>
          <w:tcPr>
            <w:tcW w:w="0" w:type="auto"/>
            <w:noWrap/>
            <w:vAlign w:val="bottom"/>
            <w:hideMark/>
          </w:tcPr>
          <w:p w14:paraId="5B10B7D1" w14:textId="53D846F3" w:rsidR="00780E30" w:rsidRPr="00780E30" w:rsidRDefault="00780E30" w:rsidP="00780E30">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DNASE1L3</w:t>
            </w:r>
          </w:p>
        </w:tc>
      </w:tr>
      <w:tr w:rsidR="00780E30" w:rsidRPr="00C66693" w14:paraId="20C42C29" w14:textId="77777777" w:rsidTr="00780E30">
        <w:trPr>
          <w:cnfStyle w:val="000000100000" w:firstRow="0" w:lastRow="0" w:firstColumn="0" w:lastColumn="0" w:oddVBand="0" w:evenVBand="0" w:oddHBand="1" w:evenHBand="0" w:firstRowFirstColumn="0" w:firstRowLastColumn="0" w:lastRowFirstColumn="0" w:lastRowLastColumn="0"/>
          <w:trHeight w:val="399"/>
          <w:jc w:val="center"/>
        </w:trPr>
        <w:tc>
          <w:tcPr>
            <w:cnfStyle w:val="001000000000" w:firstRow="0" w:lastRow="0" w:firstColumn="1" w:lastColumn="0" w:oddVBand="0" w:evenVBand="0" w:oddHBand="0" w:evenHBand="0" w:firstRowFirstColumn="0" w:firstRowLastColumn="0" w:lastRowFirstColumn="0" w:lastRowLastColumn="0"/>
            <w:tcW w:w="0" w:type="auto"/>
            <w:noWrap/>
            <w:vAlign w:val="bottom"/>
            <w:hideMark/>
          </w:tcPr>
          <w:p w14:paraId="6928BAFE" w14:textId="08550603" w:rsidR="00780E30" w:rsidRPr="00C66693" w:rsidRDefault="00780E30" w:rsidP="00780E30">
            <w:pPr>
              <w:jc w:val="right"/>
              <w:rPr>
                <w:rFonts w:cstheme="minorHAnsi"/>
                <w:b w:val="0"/>
                <w:bCs w:val="0"/>
                <w:i/>
                <w:iCs/>
              </w:rPr>
            </w:pPr>
            <w:r w:rsidRPr="00780E30">
              <w:rPr>
                <w:rFonts w:cstheme="minorHAnsi"/>
                <w:b w:val="0"/>
                <w:bCs w:val="0"/>
                <w:i/>
                <w:iCs/>
              </w:rPr>
              <w:t>2675</w:t>
            </w:r>
          </w:p>
        </w:tc>
        <w:tc>
          <w:tcPr>
            <w:tcW w:w="0" w:type="auto"/>
            <w:noWrap/>
            <w:vAlign w:val="bottom"/>
            <w:hideMark/>
          </w:tcPr>
          <w:p w14:paraId="5A9A997C" w14:textId="2C35F66D" w:rsidR="00780E30" w:rsidRPr="00780E30" w:rsidRDefault="00780E30" w:rsidP="00780E30">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GFRA2</w:t>
            </w:r>
          </w:p>
        </w:tc>
        <w:tc>
          <w:tcPr>
            <w:tcW w:w="0" w:type="auto"/>
            <w:noWrap/>
            <w:vAlign w:val="bottom"/>
            <w:hideMark/>
          </w:tcPr>
          <w:p w14:paraId="77FF0382" w14:textId="77777777" w:rsidR="00780E30" w:rsidRPr="00C66693" w:rsidRDefault="00780E30" w:rsidP="00780E30">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color w:val="333333"/>
                <w:sz w:val="22"/>
                <w:szCs w:val="22"/>
              </w:rPr>
            </w:pPr>
          </w:p>
        </w:tc>
        <w:tc>
          <w:tcPr>
            <w:tcW w:w="0" w:type="auto"/>
            <w:noWrap/>
            <w:vAlign w:val="bottom"/>
            <w:hideMark/>
          </w:tcPr>
          <w:p w14:paraId="0D368DC9" w14:textId="60E470E7" w:rsidR="00780E30" w:rsidRPr="00780E30" w:rsidRDefault="00780E30" w:rsidP="00780E30">
            <w:pPr>
              <w:jc w:val="right"/>
              <w:cnfStyle w:val="000000100000" w:firstRow="0" w:lastRow="0" w:firstColumn="0" w:lastColumn="0" w:oddVBand="0" w:evenVBand="0" w:oddHBand="1" w:evenHBand="0" w:firstRowFirstColumn="0" w:firstRowLastColumn="0" w:lastRowFirstColumn="0" w:lastRowLastColumn="0"/>
              <w:rPr>
                <w:rFonts w:cstheme="minorHAnsi"/>
                <w:i/>
                <w:iCs/>
              </w:rPr>
            </w:pPr>
            <w:r w:rsidRPr="00780E30">
              <w:rPr>
                <w:rFonts w:cstheme="minorHAnsi"/>
                <w:i/>
                <w:iCs/>
              </w:rPr>
              <w:t>8736</w:t>
            </w:r>
          </w:p>
        </w:tc>
        <w:tc>
          <w:tcPr>
            <w:tcW w:w="0" w:type="auto"/>
            <w:noWrap/>
            <w:vAlign w:val="bottom"/>
            <w:hideMark/>
          </w:tcPr>
          <w:p w14:paraId="00EA1FBB" w14:textId="50D072A4" w:rsidR="00780E30" w:rsidRPr="00780E30" w:rsidRDefault="00780E30" w:rsidP="00780E30">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MYOM1</w:t>
            </w:r>
          </w:p>
        </w:tc>
        <w:tc>
          <w:tcPr>
            <w:tcW w:w="0" w:type="auto"/>
            <w:noWrap/>
            <w:vAlign w:val="bottom"/>
            <w:hideMark/>
          </w:tcPr>
          <w:p w14:paraId="30CFF5E4" w14:textId="77777777" w:rsidR="00780E30" w:rsidRPr="00C66693" w:rsidRDefault="00780E30" w:rsidP="00780E30">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color w:val="333333"/>
                <w:sz w:val="22"/>
                <w:szCs w:val="22"/>
              </w:rPr>
            </w:pPr>
          </w:p>
        </w:tc>
        <w:tc>
          <w:tcPr>
            <w:tcW w:w="0" w:type="auto"/>
            <w:noWrap/>
            <w:vAlign w:val="bottom"/>
            <w:hideMark/>
          </w:tcPr>
          <w:p w14:paraId="35190512" w14:textId="6B131CEA" w:rsidR="00780E30" w:rsidRPr="00780E30" w:rsidRDefault="00780E30" w:rsidP="00780E30">
            <w:pPr>
              <w:jc w:val="right"/>
              <w:cnfStyle w:val="000000100000" w:firstRow="0" w:lastRow="0" w:firstColumn="0" w:lastColumn="0" w:oddVBand="0" w:evenVBand="0" w:oddHBand="1" w:evenHBand="0" w:firstRowFirstColumn="0" w:firstRowLastColumn="0" w:lastRowFirstColumn="0" w:lastRowLastColumn="0"/>
              <w:rPr>
                <w:rFonts w:cstheme="minorHAnsi"/>
                <w:i/>
                <w:iCs/>
              </w:rPr>
            </w:pPr>
            <w:r w:rsidRPr="00780E30">
              <w:rPr>
                <w:rFonts w:cstheme="minorHAnsi"/>
                <w:i/>
                <w:iCs/>
              </w:rPr>
              <w:t>654346</w:t>
            </w:r>
          </w:p>
        </w:tc>
        <w:tc>
          <w:tcPr>
            <w:tcW w:w="0" w:type="auto"/>
            <w:noWrap/>
            <w:vAlign w:val="bottom"/>
            <w:hideMark/>
          </w:tcPr>
          <w:p w14:paraId="1BE44F55" w14:textId="2AA22D22" w:rsidR="00780E30" w:rsidRPr="00780E30" w:rsidRDefault="00780E30" w:rsidP="00780E30">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LGALS9C</w:t>
            </w:r>
          </w:p>
        </w:tc>
      </w:tr>
      <w:tr w:rsidR="00780E30" w:rsidRPr="00C66693" w14:paraId="2E560610" w14:textId="77777777" w:rsidTr="00780E30">
        <w:trPr>
          <w:trHeight w:val="399"/>
          <w:jc w:val="center"/>
        </w:trPr>
        <w:tc>
          <w:tcPr>
            <w:cnfStyle w:val="001000000000" w:firstRow="0" w:lastRow="0" w:firstColumn="1" w:lastColumn="0" w:oddVBand="0" w:evenVBand="0" w:oddHBand="0" w:evenHBand="0" w:firstRowFirstColumn="0" w:firstRowLastColumn="0" w:lastRowFirstColumn="0" w:lastRowLastColumn="0"/>
            <w:tcW w:w="0" w:type="auto"/>
            <w:noWrap/>
            <w:vAlign w:val="bottom"/>
            <w:hideMark/>
          </w:tcPr>
          <w:p w14:paraId="20DEEC89" w14:textId="614D1165" w:rsidR="00780E30" w:rsidRPr="00C66693" w:rsidRDefault="00780E30" w:rsidP="00780E30">
            <w:pPr>
              <w:jc w:val="right"/>
              <w:rPr>
                <w:rFonts w:cstheme="minorHAnsi"/>
                <w:b w:val="0"/>
                <w:bCs w:val="0"/>
                <w:i/>
                <w:iCs/>
              </w:rPr>
            </w:pPr>
            <w:r w:rsidRPr="00780E30">
              <w:rPr>
                <w:rFonts w:cstheme="minorHAnsi"/>
                <w:b w:val="0"/>
                <w:bCs w:val="0"/>
                <w:i/>
                <w:iCs/>
              </w:rPr>
              <w:t>84281</w:t>
            </w:r>
          </w:p>
        </w:tc>
        <w:tc>
          <w:tcPr>
            <w:tcW w:w="0" w:type="auto"/>
            <w:noWrap/>
            <w:vAlign w:val="bottom"/>
            <w:hideMark/>
          </w:tcPr>
          <w:p w14:paraId="2325187A" w14:textId="18105D92" w:rsidR="00780E30" w:rsidRPr="00780E30" w:rsidRDefault="00780E30" w:rsidP="00780E30">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AKAP19</w:t>
            </w:r>
          </w:p>
        </w:tc>
        <w:tc>
          <w:tcPr>
            <w:tcW w:w="0" w:type="auto"/>
            <w:noWrap/>
            <w:vAlign w:val="bottom"/>
            <w:hideMark/>
          </w:tcPr>
          <w:p w14:paraId="6128D433" w14:textId="77777777" w:rsidR="00780E30" w:rsidRPr="00C66693" w:rsidRDefault="00780E30" w:rsidP="00780E30">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color w:val="333333"/>
                <w:sz w:val="22"/>
                <w:szCs w:val="22"/>
              </w:rPr>
            </w:pPr>
          </w:p>
        </w:tc>
        <w:tc>
          <w:tcPr>
            <w:tcW w:w="0" w:type="auto"/>
            <w:noWrap/>
            <w:vAlign w:val="bottom"/>
            <w:hideMark/>
          </w:tcPr>
          <w:p w14:paraId="7661A2D8" w14:textId="74F984D2" w:rsidR="00780E30" w:rsidRPr="00780E30" w:rsidRDefault="00780E30" w:rsidP="00780E30">
            <w:pPr>
              <w:jc w:val="right"/>
              <w:cnfStyle w:val="000000000000" w:firstRow="0" w:lastRow="0" w:firstColumn="0" w:lastColumn="0" w:oddVBand="0" w:evenVBand="0" w:oddHBand="0" w:evenHBand="0" w:firstRowFirstColumn="0" w:firstRowLastColumn="0" w:lastRowFirstColumn="0" w:lastRowLastColumn="0"/>
              <w:rPr>
                <w:rFonts w:cstheme="minorHAnsi"/>
                <w:i/>
                <w:iCs/>
              </w:rPr>
            </w:pPr>
            <w:r w:rsidRPr="00780E30">
              <w:rPr>
                <w:rFonts w:cstheme="minorHAnsi"/>
                <w:i/>
                <w:iCs/>
              </w:rPr>
              <w:t>25840</w:t>
            </w:r>
          </w:p>
        </w:tc>
        <w:tc>
          <w:tcPr>
            <w:tcW w:w="0" w:type="auto"/>
            <w:noWrap/>
            <w:vAlign w:val="bottom"/>
            <w:hideMark/>
          </w:tcPr>
          <w:p w14:paraId="1AB139CC" w14:textId="1D62DBBC" w:rsidR="00780E30" w:rsidRPr="00780E30" w:rsidRDefault="00780E30" w:rsidP="00780E30">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TMT1A</w:t>
            </w:r>
          </w:p>
        </w:tc>
        <w:tc>
          <w:tcPr>
            <w:tcW w:w="0" w:type="auto"/>
            <w:noWrap/>
            <w:vAlign w:val="bottom"/>
            <w:hideMark/>
          </w:tcPr>
          <w:p w14:paraId="1C030E5E" w14:textId="77777777" w:rsidR="00780E30" w:rsidRPr="00C66693" w:rsidRDefault="00780E30" w:rsidP="00780E30">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color w:val="333333"/>
                <w:sz w:val="22"/>
                <w:szCs w:val="22"/>
              </w:rPr>
            </w:pPr>
          </w:p>
        </w:tc>
        <w:tc>
          <w:tcPr>
            <w:tcW w:w="0" w:type="auto"/>
            <w:noWrap/>
            <w:vAlign w:val="bottom"/>
            <w:hideMark/>
          </w:tcPr>
          <w:p w14:paraId="3C4AFC06" w14:textId="7E8706CB" w:rsidR="00780E30" w:rsidRPr="00780E30" w:rsidRDefault="00780E30" w:rsidP="00780E30">
            <w:pPr>
              <w:jc w:val="right"/>
              <w:cnfStyle w:val="000000000000" w:firstRow="0" w:lastRow="0" w:firstColumn="0" w:lastColumn="0" w:oddVBand="0" w:evenVBand="0" w:oddHBand="0" w:evenHBand="0" w:firstRowFirstColumn="0" w:firstRowLastColumn="0" w:lastRowFirstColumn="0" w:lastRowLastColumn="0"/>
              <w:rPr>
                <w:rFonts w:cstheme="minorHAnsi"/>
                <w:i/>
                <w:iCs/>
              </w:rPr>
            </w:pPr>
            <w:r w:rsidRPr="00780E30">
              <w:rPr>
                <w:rFonts w:cstheme="minorHAnsi"/>
                <w:i/>
                <w:iCs/>
              </w:rPr>
              <w:t>253012</w:t>
            </w:r>
          </w:p>
        </w:tc>
        <w:tc>
          <w:tcPr>
            <w:tcW w:w="0" w:type="auto"/>
            <w:noWrap/>
            <w:vAlign w:val="bottom"/>
            <w:hideMark/>
          </w:tcPr>
          <w:p w14:paraId="23B33DC9" w14:textId="6F55F97C" w:rsidR="00780E30" w:rsidRPr="00780E30" w:rsidRDefault="00780E30" w:rsidP="00780E30">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HEPACAM2</w:t>
            </w:r>
          </w:p>
        </w:tc>
      </w:tr>
      <w:tr w:rsidR="00780E30" w:rsidRPr="00C66693" w14:paraId="2CBEFC81" w14:textId="77777777" w:rsidTr="00780E30">
        <w:trPr>
          <w:cnfStyle w:val="000000100000" w:firstRow="0" w:lastRow="0" w:firstColumn="0" w:lastColumn="0" w:oddVBand="0" w:evenVBand="0" w:oddHBand="1" w:evenHBand="0" w:firstRowFirstColumn="0" w:firstRowLastColumn="0" w:lastRowFirstColumn="0" w:lastRowLastColumn="0"/>
          <w:trHeight w:val="399"/>
          <w:jc w:val="center"/>
        </w:trPr>
        <w:tc>
          <w:tcPr>
            <w:cnfStyle w:val="001000000000" w:firstRow="0" w:lastRow="0" w:firstColumn="1" w:lastColumn="0" w:oddVBand="0" w:evenVBand="0" w:oddHBand="0" w:evenHBand="0" w:firstRowFirstColumn="0" w:firstRowLastColumn="0" w:lastRowFirstColumn="0" w:lastRowLastColumn="0"/>
            <w:tcW w:w="0" w:type="auto"/>
            <w:noWrap/>
            <w:vAlign w:val="bottom"/>
            <w:hideMark/>
          </w:tcPr>
          <w:p w14:paraId="35335693" w14:textId="4DD28424" w:rsidR="00780E30" w:rsidRPr="00C66693" w:rsidRDefault="00780E30" w:rsidP="00780E30">
            <w:pPr>
              <w:jc w:val="right"/>
              <w:rPr>
                <w:rFonts w:cstheme="minorHAnsi"/>
                <w:b w:val="0"/>
                <w:bCs w:val="0"/>
                <w:i/>
                <w:iCs/>
              </w:rPr>
            </w:pPr>
            <w:r w:rsidRPr="00780E30">
              <w:rPr>
                <w:rFonts w:cstheme="minorHAnsi"/>
                <w:b w:val="0"/>
                <w:bCs w:val="0"/>
                <w:i/>
                <w:iCs/>
              </w:rPr>
              <w:t>2168</w:t>
            </w:r>
          </w:p>
        </w:tc>
        <w:tc>
          <w:tcPr>
            <w:tcW w:w="0" w:type="auto"/>
            <w:noWrap/>
            <w:vAlign w:val="bottom"/>
            <w:hideMark/>
          </w:tcPr>
          <w:p w14:paraId="0D8D192D" w14:textId="27635750" w:rsidR="00780E30" w:rsidRPr="00780E30" w:rsidRDefault="00780E30" w:rsidP="00780E30">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FABP1</w:t>
            </w:r>
          </w:p>
        </w:tc>
        <w:tc>
          <w:tcPr>
            <w:tcW w:w="0" w:type="auto"/>
            <w:noWrap/>
            <w:vAlign w:val="bottom"/>
            <w:hideMark/>
          </w:tcPr>
          <w:p w14:paraId="790B89AB" w14:textId="77777777" w:rsidR="00780E30" w:rsidRPr="00C66693" w:rsidRDefault="00780E30" w:rsidP="00780E30">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color w:val="333333"/>
                <w:sz w:val="22"/>
                <w:szCs w:val="22"/>
              </w:rPr>
            </w:pPr>
          </w:p>
        </w:tc>
        <w:tc>
          <w:tcPr>
            <w:tcW w:w="0" w:type="auto"/>
            <w:noWrap/>
            <w:vAlign w:val="bottom"/>
            <w:hideMark/>
          </w:tcPr>
          <w:p w14:paraId="4AAD5969" w14:textId="4D847B80" w:rsidR="00780E30" w:rsidRPr="00780E30" w:rsidRDefault="00780E30" w:rsidP="00780E30">
            <w:pPr>
              <w:jc w:val="right"/>
              <w:cnfStyle w:val="000000100000" w:firstRow="0" w:lastRow="0" w:firstColumn="0" w:lastColumn="0" w:oddVBand="0" w:evenVBand="0" w:oddHBand="1" w:evenHBand="0" w:firstRowFirstColumn="0" w:firstRowLastColumn="0" w:lastRowFirstColumn="0" w:lastRowLastColumn="0"/>
              <w:rPr>
                <w:rFonts w:cstheme="minorHAnsi"/>
                <w:i/>
                <w:iCs/>
              </w:rPr>
            </w:pPr>
            <w:r w:rsidRPr="00780E30">
              <w:rPr>
                <w:rFonts w:cstheme="minorHAnsi"/>
                <w:i/>
                <w:iCs/>
              </w:rPr>
              <w:t>11126</w:t>
            </w:r>
          </w:p>
        </w:tc>
        <w:tc>
          <w:tcPr>
            <w:tcW w:w="0" w:type="auto"/>
            <w:noWrap/>
            <w:vAlign w:val="bottom"/>
            <w:hideMark/>
          </w:tcPr>
          <w:p w14:paraId="774BE762" w14:textId="25CF0CA7" w:rsidR="00780E30" w:rsidRPr="00780E30" w:rsidRDefault="00780E30" w:rsidP="00780E30">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CD160</w:t>
            </w:r>
          </w:p>
        </w:tc>
        <w:tc>
          <w:tcPr>
            <w:tcW w:w="0" w:type="auto"/>
            <w:noWrap/>
            <w:vAlign w:val="bottom"/>
            <w:hideMark/>
          </w:tcPr>
          <w:p w14:paraId="35F89D6D" w14:textId="77777777" w:rsidR="00780E30" w:rsidRPr="00C66693" w:rsidRDefault="00780E30" w:rsidP="00780E30">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color w:val="333333"/>
                <w:sz w:val="22"/>
                <w:szCs w:val="22"/>
              </w:rPr>
            </w:pPr>
          </w:p>
        </w:tc>
        <w:tc>
          <w:tcPr>
            <w:tcW w:w="0" w:type="auto"/>
            <w:noWrap/>
            <w:vAlign w:val="bottom"/>
            <w:hideMark/>
          </w:tcPr>
          <w:p w14:paraId="1DBC3E22" w14:textId="141C7518" w:rsidR="00780E30" w:rsidRPr="00780E30" w:rsidRDefault="00780E30" w:rsidP="00780E30">
            <w:pPr>
              <w:jc w:val="right"/>
              <w:cnfStyle w:val="000000100000" w:firstRow="0" w:lastRow="0" w:firstColumn="0" w:lastColumn="0" w:oddVBand="0" w:evenVBand="0" w:oddHBand="1" w:evenHBand="0" w:firstRowFirstColumn="0" w:firstRowLastColumn="0" w:lastRowFirstColumn="0" w:lastRowLastColumn="0"/>
              <w:rPr>
                <w:rFonts w:cstheme="minorHAnsi"/>
                <w:i/>
                <w:iCs/>
              </w:rPr>
            </w:pPr>
            <w:r w:rsidRPr="00780E30">
              <w:rPr>
                <w:rFonts w:cstheme="minorHAnsi"/>
                <w:i/>
                <w:iCs/>
              </w:rPr>
              <w:t>51567</w:t>
            </w:r>
          </w:p>
        </w:tc>
        <w:tc>
          <w:tcPr>
            <w:tcW w:w="0" w:type="auto"/>
            <w:noWrap/>
            <w:vAlign w:val="bottom"/>
            <w:hideMark/>
          </w:tcPr>
          <w:p w14:paraId="59A86888" w14:textId="7556ADEF" w:rsidR="00780E30" w:rsidRPr="00780E30" w:rsidRDefault="00780E30" w:rsidP="00780E30">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TDP2</w:t>
            </w:r>
          </w:p>
        </w:tc>
      </w:tr>
      <w:tr w:rsidR="00780E30" w:rsidRPr="00C66693" w14:paraId="6FFF6FA6" w14:textId="77777777" w:rsidTr="00780E30">
        <w:trPr>
          <w:trHeight w:val="399"/>
          <w:jc w:val="center"/>
        </w:trPr>
        <w:tc>
          <w:tcPr>
            <w:cnfStyle w:val="001000000000" w:firstRow="0" w:lastRow="0" w:firstColumn="1" w:lastColumn="0" w:oddVBand="0" w:evenVBand="0" w:oddHBand="0" w:evenHBand="0" w:firstRowFirstColumn="0" w:firstRowLastColumn="0" w:lastRowFirstColumn="0" w:lastRowLastColumn="0"/>
            <w:tcW w:w="0" w:type="auto"/>
            <w:noWrap/>
            <w:vAlign w:val="bottom"/>
            <w:hideMark/>
          </w:tcPr>
          <w:p w14:paraId="35E9A533" w14:textId="6A8B77D3" w:rsidR="00780E30" w:rsidRPr="00C66693" w:rsidRDefault="00780E30" w:rsidP="00780E30">
            <w:pPr>
              <w:jc w:val="right"/>
              <w:rPr>
                <w:rFonts w:cstheme="minorHAnsi"/>
                <w:b w:val="0"/>
                <w:bCs w:val="0"/>
                <w:i/>
                <w:iCs/>
              </w:rPr>
            </w:pPr>
            <w:r w:rsidRPr="00780E30">
              <w:rPr>
                <w:rFonts w:cstheme="minorHAnsi"/>
                <w:b w:val="0"/>
                <w:bCs w:val="0"/>
                <w:i/>
                <w:iCs/>
              </w:rPr>
              <w:lastRenderedPageBreak/>
              <w:t>643236</w:t>
            </w:r>
          </w:p>
        </w:tc>
        <w:tc>
          <w:tcPr>
            <w:tcW w:w="0" w:type="auto"/>
            <w:noWrap/>
            <w:vAlign w:val="bottom"/>
            <w:hideMark/>
          </w:tcPr>
          <w:p w14:paraId="5F73622D" w14:textId="7F976AB8" w:rsidR="00780E30" w:rsidRPr="00780E30" w:rsidRDefault="00780E30" w:rsidP="00780E30">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TMEM72</w:t>
            </w:r>
          </w:p>
        </w:tc>
        <w:tc>
          <w:tcPr>
            <w:tcW w:w="0" w:type="auto"/>
            <w:noWrap/>
            <w:vAlign w:val="bottom"/>
            <w:hideMark/>
          </w:tcPr>
          <w:p w14:paraId="688A5194" w14:textId="77777777" w:rsidR="00780E30" w:rsidRPr="00C66693" w:rsidRDefault="00780E30" w:rsidP="00780E30">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color w:val="333333"/>
                <w:sz w:val="22"/>
                <w:szCs w:val="22"/>
              </w:rPr>
            </w:pPr>
          </w:p>
        </w:tc>
        <w:tc>
          <w:tcPr>
            <w:tcW w:w="0" w:type="auto"/>
            <w:noWrap/>
            <w:vAlign w:val="bottom"/>
            <w:hideMark/>
          </w:tcPr>
          <w:p w14:paraId="1D6896ED" w14:textId="0DC4C809" w:rsidR="00780E30" w:rsidRPr="00780E30" w:rsidRDefault="00780E30" w:rsidP="00780E30">
            <w:pPr>
              <w:jc w:val="right"/>
              <w:cnfStyle w:val="000000000000" w:firstRow="0" w:lastRow="0" w:firstColumn="0" w:lastColumn="0" w:oddVBand="0" w:evenVBand="0" w:oddHBand="0" w:evenHBand="0" w:firstRowFirstColumn="0" w:firstRowLastColumn="0" w:lastRowFirstColumn="0" w:lastRowLastColumn="0"/>
              <w:rPr>
                <w:rFonts w:cstheme="minorHAnsi"/>
                <w:i/>
                <w:iCs/>
              </w:rPr>
            </w:pPr>
            <w:r w:rsidRPr="00780E30">
              <w:rPr>
                <w:rFonts w:cstheme="minorHAnsi"/>
                <w:i/>
                <w:iCs/>
              </w:rPr>
              <w:t>653567</w:t>
            </w:r>
          </w:p>
        </w:tc>
        <w:tc>
          <w:tcPr>
            <w:tcW w:w="0" w:type="auto"/>
            <w:noWrap/>
            <w:vAlign w:val="bottom"/>
            <w:hideMark/>
          </w:tcPr>
          <w:p w14:paraId="5072B4C0" w14:textId="54ECCCC8" w:rsidR="00780E30" w:rsidRPr="00780E30" w:rsidRDefault="00780E30" w:rsidP="00780E30">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TMEM236</w:t>
            </w:r>
          </w:p>
        </w:tc>
        <w:tc>
          <w:tcPr>
            <w:tcW w:w="0" w:type="auto"/>
            <w:noWrap/>
            <w:vAlign w:val="bottom"/>
            <w:hideMark/>
          </w:tcPr>
          <w:p w14:paraId="5B8CFB7F" w14:textId="77777777" w:rsidR="00780E30" w:rsidRPr="00C66693" w:rsidRDefault="00780E30" w:rsidP="00780E30">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color w:val="333333"/>
                <w:sz w:val="22"/>
                <w:szCs w:val="22"/>
              </w:rPr>
            </w:pPr>
          </w:p>
        </w:tc>
        <w:tc>
          <w:tcPr>
            <w:tcW w:w="0" w:type="auto"/>
            <w:noWrap/>
            <w:vAlign w:val="bottom"/>
            <w:hideMark/>
          </w:tcPr>
          <w:p w14:paraId="4A99177F" w14:textId="0A090850" w:rsidR="00780E30" w:rsidRPr="00780E30" w:rsidRDefault="00780E30" w:rsidP="00780E30">
            <w:pPr>
              <w:jc w:val="right"/>
              <w:cnfStyle w:val="000000000000" w:firstRow="0" w:lastRow="0" w:firstColumn="0" w:lastColumn="0" w:oddVBand="0" w:evenVBand="0" w:oddHBand="0" w:evenHBand="0" w:firstRowFirstColumn="0" w:firstRowLastColumn="0" w:lastRowFirstColumn="0" w:lastRowLastColumn="0"/>
              <w:rPr>
                <w:rFonts w:cstheme="minorHAnsi"/>
                <w:i/>
                <w:iCs/>
              </w:rPr>
            </w:pPr>
            <w:r w:rsidRPr="00780E30">
              <w:rPr>
                <w:rFonts w:cstheme="minorHAnsi"/>
                <w:i/>
                <w:iCs/>
              </w:rPr>
              <w:t>23563</w:t>
            </w:r>
          </w:p>
        </w:tc>
        <w:tc>
          <w:tcPr>
            <w:tcW w:w="0" w:type="auto"/>
            <w:noWrap/>
            <w:vAlign w:val="bottom"/>
            <w:hideMark/>
          </w:tcPr>
          <w:p w14:paraId="6E272D3D" w14:textId="1FD447D8" w:rsidR="00780E30" w:rsidRPr="00780E30" w:rsidRDefault="00780E30" w:rsidP="00780E30">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CHST5</w:t>
            </w:r>
          </w:p>
        </w:tc>
      </w:tr>
      <w:tr w:rsidR="00780E30" w:rsidRPr="00C66693" w14:paraId="5DA0FC3F" w14:textId="77777777" w:rsidTr="00780E30">
        <w:trPr>
          <w:cnfStyle w:val="000000100000" w:firstRow="0" w:lastRow="0" w:firstColumn="0" w:lastColumn="0" w:oddVBand="0" w:evenVBand="0" w:oddHBand="1" w:evenHBand="0" w:firstRowFirstColumn="0" w:firstRowLastColumn="0" w:lastRowFirstColumn="0" w:lastRowLastColumn="0"/>
          <w:trHeight w:val="399"/>
          <w:jc w:val="center"/>
        </w:trPr>
        <w:tc>
          <w:tcPr>
            <w:cnfStyle w:val="001000000000" w:firstRow="0" w:lastRow="0" w:firstColumn="1" w:lastColumn="0" w:oddVBand="0" w:evenVBand="0" w:oddHBand="0" w:evenHBand="0" w:firstRowFirstColumn="0" w:firstRowLastColumn="0" w:lastRowFirstColumn="0" w:lastRowLastColumn="0"/>
            <w:tcW w:w="0" w:type="auto"/>
            <w:noWrap/>
            <w:vAlign w:val="bottom"/>
            <w:hideMark/>
          </w:tcPr>
          <w:p w14:paraId="356B2220" w14:textId="5BF32D27" w:rsidR="00780E30" w:rsidRPr="00C66693" w:rsidRDefault="00780E30" w:rsidP="00780E30">
            <w:pPr>
              <w:jc w:val="right"/>
              <w:rPr>
                <w:rFonts w:cstheme="minorHAnsi"/>
                <w:b w:val="0"/>
                <w:bCs w:val="0"/>
                <w:i/>
                <w:iCs/>
              </w:rPr>
            </w:pPr>
            <w:r w:rsidRPr="00780E30">
              <w:rPr>
                <w:rFonts w:cstheme="minorHAnsi"/>
                <w:b w:val="0"/>
                <w:bCs w:val="0"/>
                <w:i/>
                <w:iCs/>
              </w:rPr>
              <w:t>644844</w:t>
            </w:r>
          </w:p>
        </w:tc>
        <w:tc>
          <w:tcPr>
            <w:tcW w:w="0" w:type="auto"/>
            <w:noWrap/>
            <w:vAlign w:val="bottom"/>
            <w:hideMark/>
          </w:tcPr>
          <w:p w14:paraId="6A08F1FA" w14:textId="04821C5E" w:rsidR="00780E30" w:rsidRPr="00780E30" w:rsidRDefault="00780E30" w:rsidP="00780E30">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PHGR1</w:t>
            </w:r>
          </w:p>
        </w:tc>
        <w:tc>
          <w:tcPr>
            <w:tcW w:w="0" w:type="auto"/>
            <w:noWrap/>
            <w:vAlign w:val="bottom"/>
            <w:hideMark/>
          </w:tcPr>
          <w:p w14:paraId="7437E12E" w14:textId="77777777" w:rsidR="00780E30" w:rsidRPr="00C66693" w:rsidRDefault="00780E30" w:rsidP="00780E30">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color w:val="333333"/>
                <w:sz w:val="22"/>
                <w:szCs w:val="22"/>
              </w:rPr>
            </w:pPr>
          </w:p>
        </w:tc>
        <w:tc>
          <w:tcPr>
            <w:tcW w:w="0" w:type="auto"/>
            <w:noWrap/>
            <w:vAlign w:val="bottom"/>
            <w:hideMark/>
          </w:tcPr>
          <w:p w14:paraId="1EC687FE" w14:textId="6B478442" w:rsidR="00780E30" w:rsidRPr="00780E30" w:rsidRDefault="00780E30" w:rsidP="00780E30">
            <w:pPr>
              <w:jc w:val="right"/>
              <w:cnfStyle w:val="000000100000" w:firstRow="0" w:lastRow="0" w:firstColumn="0" w:lastColumn="0" w:oddVBand="0" w:evenVBand="0" w:oddHBand="1" w:evenHBand="0" w:firstRowFirstColumn="0" w:firstRowLastColumn="0" w:lastRowFirstColumn="0" w:lastRowLastColumn="0"/>
              <w:rPr>
                <w:rFonts w:cstheme="minorHAnsi"/>
                <w:i/>
                <w:iCs/>
              </w:rPr>
            </w:pPr>
            <w:r w:rsidRPr="00780E30">
              <w:rPr>
                <w:rFonts w:cstheme="minorHAnsi"/>
                <w:i/>
                <w:iCs/>
              </w:rPr>
              <w:t>6338</w:t>
            </w:r>
          </w:p>
        </w:tc>
        <w:tc>
          <w:tcPr>
            <w:tcW w:w="0" w:type="auto"/>
            <w:noWrap/>
            <w:vAlign w:val="bottom"/>
            <w:hideMark/>
          </w:tcPr>
          <w:p w14:paraId="415BCC80" w14:textId="5B41B52E" w:rsidR="00780E30" w:rsidRPr="00780E30" w:rsidRDefault="00780E30" w:rsidP="00780E30">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SCNN1B</w:t>
            </w:r>
          </w:p>
        </w:tc>
        <w:tc>
          <w:tcPr>
            <w:tcW w:w="0" w:type="auto"/>
            <w:noWrap/>
            <w:vAlign w:val="bottom"/>
            <w:hideMark/>
          </w:tcPr>
          <w:p w14:paraId="79C1314C" w14:textId="77777777" w:rsidR="00780E30" w:rsidRPr="00C66693" w:rsidRDefault="00780E30" w:rsidP="00780E30">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color w:val="333333"/>
                <w:sz w:val="22"/>
                <w:szCs w:val="22"/>
              </w:rPr>
            </w:pPr>
          </w:p>
        </w:tc>
        <w:tc>
          <w:tcPr>
            <w:tcW w:w="0" w:type="auto"/>
            <w:noWrap/>
            <w:vAlign w:val="bottom"/>
            <w:hideMark/>
          </w:tcPr>
          <w:p w14:paraId="038D38E8" w14:textId="181283D9" w:rsidR="00780E30" w:rsidRPr="00780E30" w:rsidRDefault="00780E30" w:rsidP="00780E30">
            <w:pPr>
              <w:jc w:val="right"/>
              <w:cnfStyle w:val="000000100000" w:firstRow="0" w:lastRow="0" w:firstColumn="0" w:lastColumn="0" w:oddVBand="0" w:evenVBand="0" w:oddHBand="1" w:evenHBand="0" w:firstRowFirstColumn="0" w:firstRowLastColumn="0" w:lastRowFirstColumn="0" w:lastRowLastColumn="0"/>
              <w:rPr>
                <w:rFonts w:cstheme="minorHAnsi"/>
                <w:i/>
                <w:iCs/>
              </w:rPr>
            </w:pPr>
            <w:r w:rsidRPr="00780E30">
              <w:rPr>
                <w:rFonts w:cstheme="minorHAnsi"/>
                <w:i/>
                <w:iCs/>
              </w:rPr>
              <w:t>197257</w:t>
            </w:r>
          </w:p>
        </w:tc>
        <w:tc>
          <w:tcPr>
            <w:tcW w:w="0" w:type="auto"/>
            <w:noWrap/>
            <w:vAlign w:val="bottom"/>
            <w:hideMark/>
          </w:tcPr>
          <w:p w14:paraId="5BCCDF57" w14:textId="017A36D5" w:rsidR="00780E30" w:rsidRPr="00780E30" w:rsidRDefault="00780E30" w:rsidP="00780E30">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LDHD</w:t>
            </w:r>
          </w:p>
        </w:tc>
      </w:tr>
      <w:tr w:rsidR="00780E30" w:rsidRPr="00C66693" w14:paraId="4FC1F8D5" w14:textId="77777777" w:rsidTr="00780E30">
        <w:trPr>
          <w:trHeight w:val="399"/>
          <w:jc w:val="center"/>
        </w:trPr>
        <w:tc>
          <w:tcPr>
            <w:cnfStyle w:val="001000000000" w:firstRow="0" w:lastRow="0" w:firstColumn="1" w:lastColumn="0" w:oddVBand="0" w:evenVBand="0" w:oddHBand="0" w:evenHBand="0" w:firstRowFirstColumn="0" w:firstRowLastColumn="0" w:lastRowFirstColumn="0" w:lastRowLastColumn="0"/>
            <w:tcW w:w="0" w:type="auto"/>
            <w:noWrap/>
            <w:vAlign w:val="bottom"/>
            <w:hideMark/>
          </w:tcPr>
          <w:p w14:paraId="03F9EF75" w14:textId="45EBB7C4" w:rsidR="00780E30" w:rsidRPr="00C66693" w:rsidRDefault="00780E30" w:rsidP="00780E30">
            <w:pPr>
              <w:jc w:val="right"/>
              <w:rPr>
                <w:rFonts w:cstheme="minorHAnsi"/>
                <w:b w:val="0"/>
                <w:bCs w:val="0"/>
                <w:i/>
                <w:iCs/>
              </w:rPr>
            </w:pPr>
            <w:r w:rsidRPr="00780E30">
              <w:rPr>
                <w:rFonts w:cstheme="minorHAnsi"/>
                <w:b w:val="0"/>
                <w:bCs w:val="0"/>
                <w:i/>
                <w:iCs/>
              </w:rPr>
              <w:t>2641</w:t>
            </w:r>
          </w:p>
        </w:tc>
        <w:tc>
          <w:tcPr>
            <w:tcW w:w="0" w:type="auto"/>
            <w:noWrap/>
            <w:vAlign w:val="bottom"/>
            <w:hideMark/>
          </w:tcPr>
          <w:p w14:paraId="26640491" w14:textId="3533A2B6" w:rsidR="00780E30" w:rsidRPr="00780E30" w:rsidRDefault="00780E30" w:rsidP="00780E30">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GCG</w:t>
            </w:r>
          </w:p>
        </w:tc>
        <w:tc>
          <w:tcPr>
            <w:tcW w:w="0" w:type="auto"/>
            <w:noWrap/>
            <w:vAlign w:val="bottom"/>
            <w:hideMark/>
          </w:tcPr>
          <w:p w14:paraId="660FF6D4" w14:textId="77777777" w:rsidR="00780E30" w:rsidRPr="00C66693" w:rsidRDefault="00780E30" w:rsidP="00780E30">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color w:val="333333"/>
                <w:sz w:val="22"/>
                <w:szCs w:val="22"/>
              </w:rPr>
            </w:pPr>
          </w:p>
        </w:tc>
        <w:tc>
          <w:tcPr>
            <w:tcW w:w="0" w:type="auto"/>
            <w:noWrap/>
            <w:vAlign w:val="bottom"/>
            <w:hideMark/>
          </w:tcPr>
          <w:p w14:paraId="0D7D2026" w14:textId="2B3EAED2" w:rsidR="00780E30" w:rsidRPr="00780E30" w:rsidRDefault="00780E30" w:rsidP="00780E30">
            <w:pPr>
              <w:jc w:val="right"/>
              <w:cnfStyle w:val="000000000000" w:firstRow="0" w:lastRow="0" w:firstColumn="0" w:lastColumn="0" w:oddVBand="0" w:evenVBand="0" w:oddHBand="0" w:evenHBand="0" w:firstRowFirstColumn="0" w:firstRowLastColumn="0" w:lastRowFirstColumn="0" w:lastRowLastColumn="0"/>
              <w:rPr>
                <w:rFonts w:cstheme="minorHAnsi"/>
                <w:i/>
                <w:iCs/>
              </w:rPr>
            </w:pPr>
            <w:r w:rsidRPr="00780E30">
              <w:rPr>
                <w:rFonts w:cstheme="minorHAnsi"/>
                <w:i/>
                <w:iCs/>
              </w:rPr>
              <w:t>8857</w:t>
            </w:r>
          </w:p>
        </w:tc>
        <w:tc>
          <w:tcPr>
            <w:tcW w:w="0" w:type="auto"/>
            <w:noWrap/>
            <w:vAlign w:val="bottom"/>
            <w:hideMark/>
          </w:tcPr>
          <w:p w14:paraId="14471252" w14:textId="19EA7856" w:rsidR="00780E30" w:rsidRPr="00780E30" w:rsidRDefault="00780E30" w:rsidP="00780E30">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FCGBP</w:t>
            </w:r>
          </w:p>
        </w:tc>
        <w:tc>
          <w:tcPr>
            <w:tcW w:w="0" w:type="auto"/>
            <w:noWrap/>
            <w:vAlign w:val="bottom"/>
            <w:hideMark/>
          </w:tcPr>
          <w:p w14:paraId="05969654" w14:textId="77777777" w:rsidR="00780E30" w:rsidRPr="00C66693" w:rsidRDefault="00780E30" w:rsidP="00780E30">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color w:val="333333"/>
                <w:sz w:val="22"/>
                <w:szCs w:val="22"/>
              </w:rPr>
            </w:pPr>
          </w:p>
        </w:tc>
        <w:tc>
          <w:tcPr>
            <w:tcW w:w="0" w:type="auto"/>
            <w:noWrap/>
            <w:vAlign w:val="bottom"/>
            <w:hideMark/>
          </w:tcPr>
          <w:p w14:paraId="7D11D361" w14:textId="3E5EF860" w:rsidR="00780E30" w:rsidRPr="00780E30" w:rsidRDefault="00780E30" w:rsidP="00780E30">
            <w:pPr>
              <w:jc w:val="right"/>
              <w:cnfStyle w:val="000000000000" w:firstRow="0" w:lastRow="0" w:firstColumn="0" w:lastColumn="0" w:oddVBand="0" w:evenVBand="0" w:oddHBand="0" w:evenHBand="0" w:firstRowFirstColumn="0" w:firstRowLastColumn="0" w:lastRowFirstColumn="0" w:lastRowLastColumn="0"/>
              <w:rPr>
                <w:rFonts w:cstheme="minorHAnsi"/>
                <w:i/>
                <w:iCs/>
              </w:rPr>
            </w:pPr>
            <w:r w:rsidRPr="00780E30">
              <w:rPr>
                <w:rFonts w:cstheme="minorHAnsi"/>
                <w:i/>
                <w:iCs/>
              </w:rPr>
              <w:t>9963</w:t>
            </w:r>
          </w:p>
        </w:tc>
        <w:tc>
          <w:tcPr>
            <w:tcW w:w="0" w:type="auto"/>
            <w:noWrap/>
            <w:vAlign w:val="bottom"/>
            <w:hideMark/>
          </w:tcPr>
          <w:p w14:paraId="2FE7194A" w14:textId="1A7B9ABA" w:rsidR="00780E30" w:rsidRPr="00780E30" w:rsidRDefault="00780E30" w:rsidP="00780E30">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SLC23A1</w:t>
            </w:r>
          </w:p>
        </w:tc>
      </w:tr>
      <w:tr w:rsidR="00780E30" w:rsidRPr="00C66693" w14:paraId="7646963C" w14:textId="77777777" w:rsidTr="00780E30">
        <w:trPr>
          <w:cnfStyle w:val="000000100000" w:firstRow="0" w:lastRow="0" w:firstColumn="0" w:lastColumn="0" w:oddVBand="0" w:evenVBand="0" w:oddHBand="1" w:evenHBand="0" w:firstRowFirstColumn="0" w:firstRowLastColumn="0" w:lastRowFirstColumn="0" w:lastRowLastColumn="0"/>
          <w:trHeight w:val="399"/>
          <w:jc w:val="center"/>
        </w:trPr>
        <w:tc>
          <w:tcPr>
            <w:cnfStyle w:val="001000000000" w:firstRow="0" w:lastRow="0" w:firstColumn="1" w:lastColumn="0" w:oddVBand="0" w:evenVBand="0" w:oddHBand="0" w:evenHBand="0" w:firstRowFirstColumn="0" w:firstRowLastColumn="0" w:lastRowFirstColumn="0" w:lastRowLastColumn="0"/>
            <w:tcW w:w="0" w:type="auto"/>
            <w:noWrap/>
            <w:vAlign w:val="bottom"/>
            <w:hideMark/>
          </w:tcPr>
          <w:p w14:paraId="5F73F21F" w14:textId="72A654A5" w:rsidR="00780E30" w:rsidRPr="00C66693" w:rsidRDefault="00780E30" w:rsidP="00780E30">
            <w:pPr>
              <w:jc w:val="right"/>
              <w:rPr>
                <w:rFonts w:cstheme="minorHAnsi"/>
                <w:b w:val="0"/>
                <w:bCs w:val="0"/>
                <w:i/>
                <w:iCs/>
              </w:rPr>
            </w:pPr>
            <w:r w:rsidRPr="00780E30">
              <w:rPr>
                <w:rFonts w:cstheme="minorHAnsi"/>
                <w:b w:val="0"/>
                <w:bCs w:val="0"/>
                <w:i/>
                <w:iCs/>
              </w:rPr>
              <w:t>10050</w:t>
            </w:r>
          </w:p>
        </w:tc>
        <w:tc>
          <w:tcPr>
            <w:tcW w:w="0" w:type="auto"/>
            <w:noWrap/>
            <w:vAlign w:val="bottom"/>
            <w:hideMark/>
          </w:tcPr>
          <w:p w14:paraId="7E1C7AEE" w14:textId="0E6C1E47" w:rsidR="00780E30" w:rsidRPr="00780E30" w:rsidRDefault="00780E30" w:rsidP="00780E30">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SLC17A4</w:t>
            </w:r>
          </w:p>
        </w:tc>
        <w:tc>
          <w:tcPr>
            <w:tcW w:w="0" w:type="auto"/>
            <w:noWrap/>
            <w:vAlign w:val="bottom"/>
            <w:hideMark/>
          </w:tcPr>
          <w:p w14:paraId="25A4FD57" w14:textId="77777777" w:rsidR="00780E30" w:rsidRPr="00C66693" w:rsidRDefault="00780E30" w:rsidP="00780E30">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color w:val="333333"/>
                <w:sz w:val="22"/>
                <w:szCs w:val="22"/>
              </w:rPr>
            </w:pPr>
          </w:p>
        </w:tc>
        <w:tc>
          <w:tcPr>
            <w:tcW w:w="0" w:type="auto"/>
            <w:noWrap/>
            <w:vAlign w:val="bottom"/>
            <w:hideMark/>
          </w:tcPr>
          <w:p w14:paraId="4597B644" w14:textId="71098BC9" w:rsidR="00780E30" w:rsidRPr="00780E30" w:rsidRDefault="00780E30" w:rsidP="00780E30">
            <w:pPr>
              <w:jc w:val="right"/>
              <w:cnfStyle w:val="000000100000" w:firstRow="0" w:lastRow="0" w:firstColumn="0" w:lastColumn="0" w:oddVBand="0" w:evenVBand="0" w:oddHBand="1" w:evenHBand="0" w:firstRowFirstColumn="0" w:firstRowLastColumn="0" w:lastRowFirstColumn="0" w:lastRowLastColumn="0"/>
              <w:rPr>
                <w:rFonts w:cstheme="minorHAnsi"/>
                <w:i/>
                <w:iCs/>
              </w:rPr>
            </w:pPr>
            <w:r w:rsidRPr="00780E30">
              <w:rPr>
                <w:rFonts w:cstheme="minorHAnsi"/>
                <w:i/>
                <w:iCs/>
              </w:rPr>
              <w:t>126</w:t>
            </w:r>
          </w:p>
        </w:tc>
        <w:tc>
          <w:tcPr>
            <w:tcW w:w="0" w:type="auto"/>
            <w:noWrap/>
            <w:vAlign w:val="bottom"/>
            <w:hideMark/>
          </w:tcPr>
          <w:p w14:paraId="6838295D" w14:textId="61BBBF59" w:rsidR="00780E30" w:rsidRPr="00780E30" w:rsidRDefault="00780E30" w:rsidP="00780E30">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ADH1C</w:t>
            </w:r>
          </w:p>
        </w:tc>
        <w:tc>
          <w:tcPr>
            <w:tcW w:w="0" w:type="auto"/>
            <w:noWrap/>
            <w:vAlign w:val="bottom"/>
            <w:hideMark/>
          </w:tcPr>
          <w:p w14:paraId="4D97CCBF" w14:textId="77777777" w:rsidR="00780E30" w:rsidRPr="00C66693" w:rsidRDefault="00780E30" w:rsidP="00780E30">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color w:val="333333"/>
                <w:sz w:val="22"/>
                <w:szCs w:val="22"/>
              </w:rPr>
            </w:pPr>
          </w:p>
        </w:tc>
        <w:tc>
          <w:tcPr>
            <w:tcW w:w="0" w:type="auto"/>
            <w:noWrap/>
            <w:vAlign w:val="bottom"/>
            <w:hideMark/>
          </w:tcPr>
          <w:p w14:paraId="53968DCF" w14:textId="3389C979" w:rsidR="00780E30" w:rsidRPr="00780E30" w:rsidRDefault="00780E30" w:rsidP="00780E30">
            <w:pPr>
              <w:jc w:val="right"/>
              <w:cnfStyle w:val="000000100000" w:firstRow="0" w:lastRow="0" w:firstColumn="0" w:lastColumn="0" w:oddVBand="0" w:evenVBand="0" w:oddHBand="1" w:evenHBand="0" w:firstRowFirstColumn="0" w:firstRowLastColumn="0" w:lastRowFirstColumn="0" w:lastRowLastColumn="0"/>
              <w:rPr>
                <w:rFonts w:cstheme="minorHAnsi"/>
                <w:i/>
                <w:iCs/>
              </w:rPr>
            </w:pPr>
            <w:r w:rsidRPr="00780E30">
              <w:rPr>
                <w:rFonts w:cstheme="minorHAnsi"/>
                <w:i/>
                <w:iCs/>
              </w:rPr>
              <w:t>388335</w:t>
            </w:r>
          </w:p>
        </w:tc>
        <w:tc>
          <w:tcPr>
            <w:tcW w:w="0" w:type="auto"/>
            <w:noWrap/>
            <w:vAlign w:val="bottom"/>
            <w:hideMark/>
          </w:tcPr>
          <w:p w14:paraId="51CB108B" w14:textId="330C48C5" w:rsidR="00780E30" w:rsidRPr="00780E30" w:rsidRDefault="00780E30" w:rsidP="00780E30">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TMEM220</w:t>
            </w:r>
          </w:p>
        </w:tc>
      </w:tr>
      <w:tr w:rsidR="00780E30" w:rsidRPr="00C66693" w14:paraId="1E53649E" w14:textId="77777777" w:rsidTr="00780E30">
        <w:trPr>
          <w:trHeight w:val="399"/>
          <w:jc w:val="center"/>
        </w:trPr>
        <w:tc>
          <w:tcPr>
            <w:cnfStyle w:val="001000000000" w:firstRow="0" w:lastRow="0" w:firstColumn="1" w:lastColumn="0" w:oddVBand="0" w:evenVBand="0" w:oddHBand="0" w:evenHBand="0" w:firstRowFirstColumn="0" w:firstRowLastColumn="0" w:lastRowFirstColumn="0" w:lastRowLastColumn="0"/>
            <w:tcW w:w="0" w:type="auto"/>
            <w:noWrap/>
            <w:vAlign w:val="bottom"/>
            <w:hideMark/>
          </w:tcPr>
          <w:p w14:paraId="0CFE71AA" w14:textId="1FBE0598" w:rsidR="00780E30" w:rsidRPr="00C66693" w:rsidRDefault="00780E30" w:rsidP="00780E30">
            <w:pPr>
              <w:jc w:val="right"/>
              <w:rPr>
                <w:rFonts w:cstheme="minorHAnsi"/>
                <w:b w:val="0"/>
                <w:bCs w:val="0"/>
                <w:i/>
                <w:iCs/>
              </w:rPr>
            </w:pPr>
            <w:r w:rsidRPr="00780E30">
              <w:rPr>
                <w:rFonts w:cstheme="minorHAnsi"/>
                <w:b w:val="0"/>
                <w:bCs w:val="0"/>
                <w:i/>
                <w:iCs/>
              </w:rPr>
              <w:t>57863</w:t>
            </w:r>
          </w:p>
        </w:tc>
        <w:tc>
          <w:tcPr>
            <w:tcW w:w="0" w:type="auto"/>
            <w:noWrap/>
            <w:vAlign w:val="bottom"/>
            <w:hideMark/>
          </w:tcPr>
          <w:p w14:paraId="185B2F99" w14:textId="3128825D" w:rsidR="00780E30" w:rsidRPr="00780E30" w:rsidRDefault="00780E30" w:rsidP="00780E30">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CADM3</w:t>
            </w:r>
          </w:p>
        </w:tc>
        <w:tc>
          <w:tcPr>
            <w:tcW w:w="0" w:type="auto"/>
            <w:noWrap/>
            <w:vAlign w:val="bottom"/>
            <w:hideMark/>
          </w:tcPr>
          <w:p w14:paraId="7D3DB3D4" w14:textId="77777777" w:rsidR="00780E30" w:rsidRPr="00C66693" w:rsidRDefault="00780E30" w:rsidP="00780E30">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color w:val="333333"/>
                <w:sz w:val="22"/>
                <w:szCs w:val="22"/>
              </w:rPr>
            </w:pPr>
          </w:p>
        </w:tc>
        <w:tc>
          <w:tcPr>
            <w:tcW w:w="0" w:type="auto"/>
            <w:noWrap/>
            <w:vAlign w:val="bottom"/>
            <w:hideMark/>
          </w:tcPr>
          <w:p w14:paraId="4328D582" w14:textId="6C83A289" w:rsidR="00780E30" w:rsidRPr="00780E30" w:rsidRDefault="00780E30" w:rsidP="00780E30">
            <w:pPr>
              <w:jc w:val="right"/>
              <w:cnfStyle w:val="000000000000" w:firstRow="0" w:lastRow="0" w:firstColumn="0" w:lastColumn="0" w:oddVBand="0" w:evenVBand="0" w:oddHBand="0" w:evenHBand="0" w:firstRowFirstColumn="0" w:firstRowLastColumn="0" w:lastRowFirstColumn="0" w:lastRowLastColumn="0"/>
              <w:rPr>
                <w:rFonts w:cstheme="minorHAnsi"/>
                <w:i/>
                <w:iCs/>
              </w:rPr>
            </w:pPr>
            <w:r w:rsidRPr="00780E30">
              <w:rPr>
                <w:rFonts w:cstheme="minorHAnsi"/>
                <w:i/>
                <w:iCs/>
              </w:rPr>
              <w:t>5745</w:t>
            </w:r>
          </w:p>
        </w:tc>
        <w:tc>
          <w:tcPr>
            <w:tcW w:w="0" w:type="auto"/>
            <w:noWrap/>
            <w:vAlign w:val="bottom"/>
            <w:hideMark/>
          </w:tcPr>
          <w:p w14:paraId="1093C20F" w14:textId="2F10EE35" w:rsidR="00780E30" w:rsidRPr="00780E30" w:rsidRDefault="00780E30" w:rsidP="00780E30">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PTH1R</w:t>
            </w:r>
          </w:p>
        </w:tc>
        <w:tc>
          <w:tcPr>
            <w:tcW w:w="0" w:type="auto"/>
            <w:noWrap/>
            <w:vAlign w:val="bottom"/>
            <w:hideMark/>
          </w:tcPr>
          <w:p w14:paraId="0F886729" w14:textId="77777777" w:rsidR="00780E30" w:rsidRPr="00C66693" w:rsidRDefault="00780E30" w:rsidP="00780E30">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color w:val="333333"/>
                <w:sz w:val="22"/>
                <w:szCs w:val="22"/>
              </w:rPr>
            </w:pPr>
          </w:p>
        </w:tc>
        <w:tc>
          <w:tcPr>
            <w:tcW w:w="0" w:type="auto"/>
            <w:noWrap/>
            <w:vAlign w:val="bottom"/>
            <w:hideMark/>
          </w:tcPr>
          <w:p w14:paraId="7EEA3BB9" w14:textId="0BA1BFD6" w:rsidR="00780E30" w:rsidRPr="00780E30" w:rsidRDefault="00780E30" w:rsidP="00780E30">
            <w:pPr>
              <w:jc w:val="right"/>
              <w:cnfStyle w:val="000000000000" w:firstRow="0" w:lastRow="0" w:firstColumn="0" w:lastColumn="0" w:oddVBand="0" w:evenVBand="0" w:oddHBand="0" w:evenHBand="0" w:firstRowFirstColumn="0" w:firstRowLastColumn="0" w:lastRowFirstColumn="0" w:lastRowLastColumn="0"/>
              <w:rPr>
                <w:rFonts w:cstheme="minorHAnsi"/>
                <w:i/>
                <w:iCs/>
              </w:rPr>
            </w:pPr>
            <w:r w:rsidRPr="00780E30">
              <w:rPr>
                <w:rFonts w:cstheme="minorHAnsi"/>
                <w:i/>
                <w:iCs/>
              </w:rPr>
              <w:t>2169</w:t>
            </w:r>
          </w:p>
        </w:tc>
        <w:tc>
          <w:tcPr>
            <w:tcW w:w="0" w:type="auto"/>
            <w:noWrap/>
            <w:vAlign w:val="bottom"/>
            <w:hideMark/>
          </w:tcPr>
          <w:p w14:paraId="7B02325F" w14:textId="2E450ABF" w:rsidR="00780E30" w:rsidRPr="00780E30" w:rsidRDefault="00780E30" w:rsidP="00780E30">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FABP2</w:t>
            </w:r>
          </w:p>
        </w:tc>
      </w:tr>
      <w:tr w:rsidR="00780E30" w:rsidRPr="00C66693" w14:paraId="2CF5DA8E" w14:textId="77777777" w:rsidTr="00780E30">
        <w:trPr>
          <w:cnfStyle w:val="000000100000" w:firstRow="0" w:lastRow="0" w:firstColumn="0" w:lastColumn="0" w:oddVBand="0" w:evenVBand="0" w:oddHBand="1" w:evenHBand="0" w:firstRowFirstColumn="0" w:firstRowLastColumn="0" w:lastRowFirstColumn="0" w:lastRowLastColumn="0"/>
          <w:trHeight w:val="399"/>
          <w:jc w:val="center"/>
        </w:trPr>
        <w:tc>
          <w:tcPr>
            <w:cnfStyle w:val="001000000000" w:firstRow="0" w:lastRow="0" w:firstColumn="1" w:lastColumn="0" w:oddVBand="0" w:evenVBand="0" w:oddHBand="0" w:evenHBand="0" w:firstRowFirstColumn="0" w:firstRowLastColumn="0" w:lastRowFirstColumn="0" w:lastRowLastColumn="0"/>
            <w:tcW w:w="0" w:type="auto"/>
            <w:noWrap/>
            <w:vAlign w:val="bottom"/>
            <w:hideMark/>
          </w:tcPr>
          <w:p w14:paraId="0047CFDA" w14:textId="639972E7" w:rsidR="00780E30" w:rsidRPr="00C66693" w:rsidRDefault="00780E30" w:rsidP="00780E30">
            <w:pPr>
              <w:jc w:val="right"/>
              <w:rPr>
                <w:rFonts w:cstheme="minorHAnsi"/>
                <w:b w:val="0"/>
                <w:bCs w:val="0"/>
                <w:i/>
                <w:iCs/>
              </w:rPr>
            </w:pPr>
            <w:r w:rsidRPr="00780E30">
              <w:rPr>
                <w:rFonts w:cstheme="minorHAnsi"/>
                <w:b w:val="0"/>
                <w:bCs w:val="0"/>
                <w:i/>
                <w:iCs/>
              </w:rPr>
              <w:t>443</w:t>
            </w:r>
          </w:p>
        </w:tc>
        <w:tc>
          <w:tcPr>
            <w:tcW w:w="0" w:type="auto"/>
            <w:noWrap/>
            <w:vAlign w:val="bottom"/>
            <w:hideMark/>
          </w:tcPr>
          <w:p w14:paraId="5DFD987D" w14:textId="173441E9" w:rsidR="00780E30" w:rsidRPr="00780E30" w:rsidRDefault="00780E30" w:rsidP="00780E30">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ASPA</w:t>
            </w:r>
          </w:p>
        </w:tc>
        <w:tc>
          <w:tcPr>
            <w:tcW w:w="0" w:type="auto"/>
            <w:noWrap/>
            <w:vAlign w:val="bottom"/>
            <w:hideMark/>
          </w:tcPr>
          <w:p w14:paraId="64CFD963" w14:textId="77777777" w:rsidR="00780E30" w:rsidRPr="00C66693" w:rsidRDefault="00780E30" w:rsidP="00780E30">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color w:val="333333"/>
                <w:sz w:val="22"/>
                <w:szCs w:val="22"/>
              </w:rPr>
            </w:pPr>
          </w:p>
        </w:tc>
        <w:tc>
          <w:tcPr>
            <w:tcW w:w="0" w:type="auto"/>
            <w:noWrap/>
            <w:vAlign w:val="bottom"/>
            <w:hideMark/>
          </w:tcPr>
          <w:p w14:paraId="14D39B5C" w14:textId="5A79678A" w:rsidR="00780E30" w:rsidRPr="00780E30" w:rsidRDefault="00780E30" w:rsidP="00780E30">
            <w:pPr>
              <w:jc w:val="right"/>
              <w:cnfStyle w:val="000000100000" w:firstRow="0" w:lastRow="0" w:firstColumn="0" w:lastColumn="0" w:oddVBand="0" w:evenVBand="0" w:oddHBand="1" w:evenHBand="0" w:firstRowFirstColumn="0" w:firstRowLastColumn="0" w:lastRowFirstColumn="0" w:lastRowLastColumn="0"/>
              <w:rPr>
                <w:rFonts w:cstheme="minorHAnsi"/>
                <w:i/>
                <w:iCs/>
              </w:rPr>
            </w:pPr>
            <w:r w:rsidRPr="00780E30">
              <w:rPr>
                <w:rFonts w:cstheme="minorHAnsi"/>
                <w:i/>
                <w:iCs/>
              </w:rPr>
              <w:t>101928405</w:t>
            </w:r>
          </w:p>
        </w:tc>
        <w:tc>
          <w:tcPr>
            <w:tcW w:w="0" w:type="auto"/>
            <w:noWrap/>
            <w:vAlign w:val="bottom"/>
            <w:hideMark/>
          </w:tcPr>
          <w:p w14:paraId="14FBDD95" w14:textId="780E3ADA" w:rsidR="00780E30" w:rsidRPr="00780E30" w:rsidRDefault="00780E30" w:rsidP="00780E30">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LINC02023</w:t>
            </w:r>
          </w:p>
        </w:tc>
        <w:tc>
          <w:tcPr>
            <w:tcW w:w="0" w:type="auto"/>
            <w:noWrap/>
            <w:vAlign w:val="bottom"/>
            <w:hideMark/>
          </w:tcPr>
          <w:p w14:paraId="1D7069B5" w14:textId="77777777" w:rsidR="00780E30" w:rsidRPr="00C66693" w:rsidRDefault="00780E30" w:rsidP="00780E30">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color w:val="333333"/>
                <w:sz w:val="22"/>
                <w:szCs w:val="22"/>
              </w:rPr>
            </w:pPr>
          </w:p>
        </w:tc>
        <w:tc>
          <w:tcPr>
            <w:tcW w:w="0" w:type="auto"/>
            <w:noWrap/>
            <w:vAlign w:val="bottom"/>
            <w:hideMark/>
          </w:tcPr>
          <w:p w14:paraId="7C9410A7" w14:textId="4C6EBFAA" w:rsidR="00780E30" w:rsidRPr="00780E30" w:rsidRDefault="00780E30" w:rsidP="00780E30">
            <w:pPr>
              <w:jc w:val="right"/>
              <w:cnfStyle w:val="000000100000" w:firstRow="0" w:lastRow="0" w:firstColumn="0" w:lastColumn="0" w:oddVBand="0" w:evenVBand="0" w:oddHBand="1" w:evenHBand="0" w:firstRowFirstColumn="0" w:firstRowLastColumn="0" w:lastRowFirstColumn="0" w:lastRowLastColumn="0"/>
              <w:rPr>
                <w:rFonts w:cstheme="minorHAnsi"/>
                <w:i/>
                <w:iCs/>
              </w:rPr>
            </w:pPr>
            <w:r w:rsidRPr="00780E30">
              <w:rPr>
                <w:rFonts w:cstheme="minorHAnsi"/>
                <w:i/>
                <w:iCs/>
              </w:rPr>
              <w:t>201501</w:t>
            </w:r>
          </w:p>
        </w:tc>
        <w:tc>
          <w:tcPr>
            <w:tcW w:w="0" w:type="auto"/>
            <w:noWrap/>
            <w:vAlign w:val="bottom"/>
            <w:hideMark/>
          </w:tcPr>
          <w:p w14:paraId="574FD6F2" w14:textId="6DCF0EF8" w:rsidR="00780E30" w:rsidRPr="00780E30" w:rsidRDefault="00780E30" w:rsidP="00780E30">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ZBTB7C</w:t>
            </w:r>
          </w:p>
        </w:tc>
      </w:tr>
      <w:tr w:rsidR="00780E30" w:rsidRPr="00C66693" w14:paraId="5D6E755E" w14:textId="77777777" w:rsidTr="00780E30">
        <w:trPr>
          <w:trHeight w:val="399"/>
          <w:jc w:val="center"/>
        </w:trPr>
        <w:tc>
          <w:tcPr>
            <w:cnfStyle w:val="001000000000" w:firstRow="0" w:lastRow="0" w:firstColumn="1" w:lastColumn="0" w:oddVBand="0" w:evenVBand="0" w:oddHBand="0" w:evenHBand="0" w:firstRowFirstColumn="0" w:firstRowLastColumn="0" w:lastRowFirstColumn="0" w:lastRowLastColumn="0"/>
            <w:tcW w:w="0" w:type="auto"/>
            <w:noWrap/>
            <w:vAlign w:val="bottom"/>
            <w:hideMark/>
          </w:tcPr>
          <w:p w14:paraId="6ECE4EDA" w14:textId="73C368CE" w:rsidR="00780E30" w:rsidRPr="00C66693" w:rsidRDefault="00780E30" w:rsidP="00780E30">
            <w:pPr>
              <w:jc w:val="right"/>
              <w:rPr>
                <w:rFonts w:cstheme="minorHAnsi"/>
                <w:b w:val="0"/>
                <w:bCs w:val="0"/>
                <w:i/>
                <w:iCs/>
              </w:rPr>
            </w:pPr>
            <w:r w:rsidRPr="00780E30">
              <w:rPr>
                <w:rFonts w:cstheme="minorHAnsi"/>
                <w:b w:val="0"/>
                <w:bCs w:val="0"/>
                <w:i/>
                <w:iCs/>
              </w:rPr>
              <w:t>4495</w:t>
            </w:r>
          </w:p>
        </w:tc>
        <w:tc>
          <w:tcPr>
            <w:tcW w:w="0" w:type="auto"/>
            <w:noWrap/>
            <w:vAlign w:val="bottom"/>
            <w:hideMark/>
          </w:tcPr>
          <w:p w14:paraId="7BB3F628" w14:textId="3E808E9E" w:rsidR="00780E30" w:rsidRPr="00780E30" w:rsidRDefault="00780E30" w:rsidP="00780E30">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MT1G</w:t>
            </w:r>
          </w:p>
        </w:tc>
        <w:tc>
          <w:tcPr>
            <w:tcW w:w="0" w:type="auto"/>
            <w:noWrap/>
            <w:vAlign w:val="bottom"/>
            <w:hideMark/>
          </w:tcPr>
          <w:p w14:paraId="41F74B33" w14:textId="77777777" w:rsidR="00780E30" w:rsidRPr="00C66693" w:rsidRDefault="00780E30" w:rsidP="00780E30">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color w:val="333333"/>
                <w:sz w:val="22"/>
                <w:szCs w:val="22"/>
              </w:rPr>
            </w:pPr>
          </w:p>
        </w:tc>
        <w:tc>
          <w:tcPr>
            <w:tcW w:w="0" w:type="auto"/>
            <w:noWrap/>
            <w:vAlign w:val="bottom"/>
            <w:hideMark/>
          </w:tcPr>
          <w:p w14:paraId="470CC84E" w14:textId="5058A846" w:rsidR="00780E30" w:rsidRPr="00780E30" w:rsidRDefault="00780E30" w:rsidP="00780E30">
            <w:pPr>
              <w:jc w:val="right"/>
              <w:cnfStyle w:val="000000000000" w:firstRow="0" w:lastRow="0" w:firstColumn="0" w:lastColumn="0" w:oddVBand="0" w:evenVBand="0" w:oddHBand="0" w:evenHBand="0" w:firstRowFirstColumn="0" w:firstRowLastColumn="0" w:lastRowFirstColumn="0" w:lastRowLastColumn="0"/>
              <w:rPr>
                <w:rFonts w:cstheme="minorHAnsi"/>
                <w:i/>
                <w:iCs/>
              </w:rPr>
            </w:pPr>
            <w:r w:rsidRPr="00780E30">
              <w:rPr>
                <w:rFonts w:cstheme="minorHAnsi"/>
                <w:i/>
                <w:iCs/>
              </w:rPr>
              <w:t>646962</w:t>
            </w:r>
          </w:p>
        </w:tc>
        <w:tc>
          <w:tcPr>
            <w:tcW w:w="0" w:type="auto"/>
            <w:noWrap/>
            <w:vAlign w:val="bottom"/>
            <w:hideMark/>
          </w:tcPr>
          <w:p w14:paraId="506D3DF0" w14:textId="4A2596FD" w:rsidR="00780E30" w:rsidRPr="00780E30" w:rsidRDefault="00780E30" w:rsidP="00780E30">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HRCT1</w:t>
            </w:r>
          </w:p>
        </w:tc>
        <w:tc>
          <w:tcPr>
            <w:tcW w:w="0" w:type="auto"/>
            <w:noWrap/>
            <w:vAlign w:val="bottom"/>
            <w:hideMark/>
          </w:tcPr>
          <w:p w14:paraId="09EE05B8" w14:textId="77777777" w:rsidR="00780E30" w:rsidRPr="00C66693" w:rsidRDefault="00780E30" w:rsidP="00780E30">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color w:val="333333"/>
                <w:sz w:val="22"/>
                <w:szCs w:val="22"/>
              </w:rPr>
            </w:pPr>
          </w:p>
        </w:tc>
        <w:tc>
          <w:tcPr>
            <w:tcW w:w="0" w:type="auto"/>
            <w:noWrap/>
            <w:vAlign w:val="bottom"/>
            <w:hideMark/>
          </w:tcPr>
          <w:p w14:paraId="0B5E1C0B" w14:textId="68BB9E2D" w:rsidR="00780E30" w:rsidRPr="00780E30" w:rsidRDefault="00780E30" w:rsidP="00780E30">
            <w:pPr>
              <w:jc w:val="right"/>
              <w:cnfStyle w:val="000000000000" w:firstRow="0" w:lastRow="0" w:firstColumn="0" w:lastColumn="0" w:oddVBand="0" w:evenVBand="0" w:oddHBand="0" w:evenHBand="0" w:firstRowFirstColumn="0" w:firstRowLastColumn="0" w:lastRowFirstColumn="0" w:lastRowLastColumn="0"/>
              <w:rPr>
                <w:rFonts w:cstheme="minorHAnsi"/>
                <w:i/>
                <w:iCs/>
              </w:rPr>
            </w:pPr>
            <w:r w:rsidRPr="00780E30">
              <w:rPr>
                <w:rFonts w:cstheme="minorHAnsi"/>
                <w:i/>
                <w:iCs/>
              </w:rPr>
              <w:t>1521</w:t>
            </w:r>
          </w:p>
        </w:tc>
        <w:tc>
          <w:tcPr>
            <w:tcW w:w="0" w:type="auto"/>
            <w:noWrap/>
            <w:vAlign w:val="bottom"/>
            <w:hideMark/>
          </w:tcPr>
          <w:p w14:paraId="34668E50" w14:textId="7DA86739" w:rsidR="00780E30" w:rsidRPr="00780E30" w:rsidRDefault="00780E30" w:rsidP="00780E30">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CTSW</w:t>
            </w:r>
          </w:p>
        </w:tc>
      </w:tr>
      <w:tr w:rsidR="00780E30" w:rsidRPr="00C66693" w14:paraId="70E2D454" w14:textId="77777777" w:rsidTr="00780E30">
        <w:trPr>
          <w:cnfStyle w:val="000000100000" w:firstRow="0" w:lastRow="0" w:firstColumn="0" w:lastColumn="0" w:oddVBand="0" w:evenVBand="0" w:oddHBand="1" w:evenHBand="0" w:firstRowFirstColumn="0" w:firstRowLastColumn="0" w:lastRowFirstColumn="0" w:lastRowLastColumn="0"/>
          <w:trHeight w:val="399"/>
          <w:jc w:val="center"/>
        </w:trPr>
        <w:tc>
          <w:tcPr>
            <w:cnfStyle w:val="001000000000" w:firstRow="0" w:lastRow="0" w:firstColumn="1" w:lastColumn="0" w:oddVBand="0" w:evenVBand="0" w:oddHBand="0" w:evenHBand="0" w:firstRowFirstColumn="0" w:firstRowLastColumn="0" w:lastRowFirstColumn="0" w:lastRowLastColumn="0"/>
            <w:tcW w:w="0" w:type="auto"/>
            <w:noWrap/>
            <w:vAlign w:val="bottom"/>
            <w:hideMark/>
          </w:tcPr>
          <w:p w14:paraId="71997CF9" w14:textId="79DCD346" w:rsidR="00780E30" w:rsidRPr="00C66693" w:rsidRDefault="00780E30" w:rsidP="00780E30">
            <w:pPr>
              <w:jc w:val="right"/>
              <w:rPr>
                <w:rFonts w:cstheme="minorHAnsi"/>
                <w:b w:val="0"/>
                <w:bCs w:val="0"/>
                <w:i/>
                <w:iCs/>
              </w:rPr>
            </w:pPr>
            <w:r w:rsidRPr="00780E30">
              <w:rPr>
                <w:rFonts w:cstheme="minorHAnsi"/>
                <w:b w:val="0"/>
                <w:bCs w:val="0"/>
                <w:i/>
                <w:iCs/>
              </w:rPr>
              <w:t>100048912</w:t>
            </w:r>
          </w:p>
        </w:tc>
        <w:tc>
          <w:tcPr>
            <w:tcW w:w="0" w:type="auto"/>
            <w:noWrap/>
            <w:vAlign w:val="bottom"/>
            <w:hideMark/>
          </w:tcPr>
          <w:p w14:paraId="285C56E4" w14:textId="10E01DFC" w:rsidR="00780E30" w:rsidRPr="00780E30" w:rsidRDefault="00780E30" w:rsidP="00780E30">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CDKN2B-AS1</w:t>
            </w:r>
          </w:p>
        </w:tc>
        <w:tc>
          <w:tcPr>
            <w:tcW w:w="0" w:type="auto"/>
            <w:noWrap/>
            <w:vAlign w:val="bottom"/>
            <w:hideMark/>
          </w:tcPr>
          <w:p w14:paraId="797E3B2C" w14:textId="77777777" w:rsidR="00780E30" w:rsidRPr="00C66693" w:rsidRDefault="00780E30" w:rsidP="00780E30">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color w:val="333333"/>
                <w:sz w:val="22"/>
                <w:szCs w:val="22"/>
              </w:rPr>
            </w:pPr>
          </w:p>
        </w:tc>
        <w:tc>
          <w:tcPr>
            <w:tcW w:w="0" w:type="auto"/>
            <w:noWrap/>
            <w:vAlign w:val="bottom"/>
            <w:hideMark/>
          </w:tcPr>
          <w:p w14:paraId="7AB0F8B9" w14:textId="553E3764" w:rsidR="00780E30" w:rsidRPr="00780E30" w:rsidRDefault="00780E30" w:rsidP="00780E30">
            <w:pPr>
              <w:jc w:val="right"/>
              <w:cnfStyle w:val="000000100000" w:firstRow="0" w:lastRow="0" w:firstColumn="0" w:lastColumn="0" w:oddVBand="0" w:evenVBand="0" w:oddHBand="1" w:evenHBand="0" w:firstRowFirstColumn="0" w:firstRowLastColumn="0" w:lastRowFirstColumn="0" w:lastRowLastColumn="0"/>
              <w:rPr>
                <w:rFonts w:cstheme="minorHAnsi"/>
                <w:i/>
                <w:iCs/>
              </w:rPr>
            </w:pPr>
            <w:r w:rsidRPr="00780E30">
              <w:rPr>
                <w:rFonts w:cstheme="minorHAnsi"/>
                <w:i/>
                <w:iCs/>
              </w:rPr>
              <w:t>5630</w:t>
            </w:r>
          </w:p>
        </w:tc>
        <w:tc>
          <w:tcPr>
            <w:tcW w:w="0" w:type="auto"/>
            <w:noWrap/>
            <w:vAlign w:val="bottom"/>
            <w:hideMark/>
          </w:tcPr>
          <w:p w14:paraId="7242C737" w14:textId="7B8D9A13" w:rsidR="00780E30" w:rsidRPr="00780E30" w:rsidRDefault="00780E30" w:rsidP="00780E30">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PRPH</w:t>
            </w:r>
          </w:p>
        </w:tc>
        <w:tc>
          <w:tcPr>
            <w:tcW w:w="0" w:type="auto"/>
            <w:noWrap/>
            <w:vAlign w:val="bottom"/>
            <w:hideMark/>
          </w:tcPr>
          <w:p w14:paraId="06E18C7C" w14:textId="77777777" w:rsidR="00780E30" w:rsidRPr="00C66693" w:rsidRDefault="00780E30" w:rsidP="00780E30">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color w:val="333333"/>
                <w:sz w:val="22"/>
                <w:szCs w:val="22"/>
              </w:rPr>
            </w:pPr>
          </w:p>
        </w:tc>
        <w:tc>
          <w:tcPr>
            <w:tcW w:w="0" w:type="auto"/>
            <w:noWrap/>
            <w:vAlign w:val="bottom"/>
            <w:hideMark/>
          </w:tcPr>
          <w:p w14:paraId="15D71C22" w14:textId="395C456C" w:rsidR="00780E30" w:rsidRPr="00780E30" w:rsidRDefault="00780E30" w:rsidP="00780E30">
            <w:pPr>
              <w:jc w:val="right"/>
              <w:cnfStyle w:val="000000100000" w:firstRow="0" w:lastRow="0" w:firstColumn="0" w:lastColumn="0" w:oddVBand="0" w:evenVBand="0" w:oddHBand="1" w:evenHBand="0" w:firstRowFirstColumn="0" w:firstRowLastColumn="0" w:lastRowFirstColumn="0" w:lastRowLastColumn="0"/>
              <w:rPr>
                <w:rFonts w:cstheme="minorHAnsi"/>
                <w:i/>
                <w:iCs/>
              </w:rPr>
            </w:pPr>
            <w:r w:rsidRPr="00780E30">
              <w:rPr>
                <w:rFonts w:cstheme="minorHAnsi"/>
                <w:i/>
                <w:iCs/>
              </w:rPr>
              <w:t>7008</w:t>
            </w:r>
          </w:p>
        </w:tc>
        <w:tc>
          <w:tcPr>
            <w:tcW w:w="0" w:type="auto"/>
            <w:noWrap/>
            <w:vAlign w:val="bottom"/>
            <w:hideMark/>
          </w:tcPr>
          <w:p w14:paraId="785F08D5" w14:textId="67FECBF2" w:rsidR="00780E30" w:rsidRPr="00780E30" w:rsidRDefault="00780E30" w:rsidP="00780E30">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TEF</w:t>
            </w:r>
          </w:p>
        </w:tc>
      </w:tr>
      <w:tr w:rsidR="00780E30" w:rsidRPr="00C66693" w14:paraId="1D1EAC48" w14:textId="77777777" w:rsidTr="00780E30">
        <w:trPr>
          <w:trHeight w:val="399"/>
          <w:jc w:val="center"/>
        </w:trPr>
        <w:tc>
          <w:tcPr>
            <w:cnfStyle w:val="001000000000" w:firstRow="0" w:lastRow="0" w:firstColumn="1" w:lastColumn="0" w:oddVBand="0" w:evenVBand="0" w:oddHBand="0" w:evenHBand="0" w:firstRowFirstColumn="0" w:firstRowLastColumn="0" w:lastRowFirstColumn="0" w:lastRowLastColumn="0"/>
            <w:tcW w:w="0" w:type="auto"/>
            <w:noWrap/>
            <w:vAlign w:val="bottom"/>
            <w:hideMark/>
          </w:tcPr>
          <w:p w14:paraId="48F88B95" w14:textId="009D0E5F" w:rsidR="00780E30" w:rsidRPr="00C66693" w:rsidRDefault="00780E30" w:rsidP="00780E30">
            <w:pPr>
              <w:jc w:val="right"/>
              <w:rPr>
                <w:rFonts w:cstheme="minorHAnsi"/>
                <w:b w:val="0"/>
                <w:bCs w:val="0"/>
                <w:i/>
                <w:iCs/>
              </w:rPr>
            </w:pPr>
            <w:r w:rsidRPr="00780E30">
              <w:rPr>
                <w:rFonts w:cstheme="minorHAnsi"/>
                <w:b w:val="0"/>
                <w:bCs w:val="0"/>
                <w:i/>
                <w:iCs/>
              </w:rPr>
              <w:t>111</w:t>
            </w:r>
          </w:p>
        </w:tc>
        <w:tc>
          <w:tcPr>
            <w:tcW w:w="0" w:type="auto"/>
            <w:noWrap/>
            <w:vAlign w:val="bottom"/>
            <w:hideMark/>
          </w:tcPr>
          <w:p w14:paraId="020FB0B8" w14:textId="5557BE5B" w:rsidR="00780E30" w:rsidRPr="00780E30" w:rsidRDefault="00780E30" w:rsidP="00780E30">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ADCY5</w:t>
            </w:r>
          </w:p>
        </w:tc>
        <w:tc>
          <w:tcPr>
            <w:tcW w:w="0" w:type="auto"/>
            <w:noWrap/>
            <w:vAlign w:val="bottom"/>
            <w:hideMark/>
          </w:tcPr>
          <w:p w14:paraId="2EFB314D" w14:textId="77777777" w:rsidR="00780E30" w:rsidRPr="00C66693" w:rsidRDefault="00780E30" w:rsidP="00780E30">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color w:val="333333"/>
                <w:sz w:val="22"/>
                <w:szCs w:val="22"/>
              </w:rPr>
            </w:pPr>
          </w:p>
        </w:tc>
        <w:tc>
          <w:tcPr>
            <w:tcW w:w="0" w:type="auto"/>
            <w:noWrap/>
            <w:vAlign w:val="bottom"/>
            <w:hideMark/>
          </w:tcPr>
          <w:p w14:paraId="759F2220" w14:textId="7016B407" w:rsidR="00780E30" w:rsidRPr="00780E30" w:rsidRDefault="00780E30" w:rsidP="00780E30">
            <w:pPr>
              <w:jc w:val="right"/>
              <w:cnfStyle w:val="000000000000" w:firstRow="0" w:lastRow="0" w:firstColumn="0" w:lastColumn="0" w:oddVBand="0" w:evenVBand="0" w:oddHBand="0" w:evenHBand="0" w:firstRowFirstColumn="0" w:firstRowLastColumn="0" w:lastRowFirstColumn="0" w:lastRowLastColumn="0"/>
              <w:rPr>
                <w:rFonts w:cstheme="minorHAnsi"/>
                <w:i/>
                <w:iCs/>
              </w:rPr>
            </w:pPr>
            <w:r w:rsidRPr="00780E30">
              <w:rPr>
                <w:rFonts w:cstheme="minorHAnsi"/>
                <w:i/>
                <w:iCs/>
              </w:rPr>
              <w:t>23491</w:t>
            </w:r>
          </w:p>
        </w:tc>
        <w:tc>
          <w:tcPr>
            <w:tcW w:w="0" w:type="auto"/>
            <w:noWrap/>
            <w:vAlign w:val="bottom"/>
            <w:hideMark/>
          </w:tcPr>
          <w:p w14:paraId="74ED1D95" w14:textId="168C5815" w:rsidR="00780E30" w:rsidRPr="00780E30" w:rsidRDefault="00780E30" w:rsidP="00780E30">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CES3</w:t>
            </w:r>
          </w:p>
        </w:tc>
        <w:tc>
          <w:tcPr>
            <w:tcW w:w="0" w:type="auto"/>
            <w:noWrap/>
            <w:vAlign w:val="bottom"/>
            <w:hideMark/>
          </w:tcPr>
          <w:p w14:paraId="4794D5FD" w14:textId="77777777" w:rsidR="00780E30" w:rsidRPr="00C66693" w:rsidRDefault="00780E30" w:rsidP="00780E30">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color w:val="333333"/>
                <w:sz w:val="22"/>
                <w:szCs w:val="22"/>
              </w:rPr>
            </w:pPr>
          </w:p>
        </w:tc>
        <w:tc>
          <w:tcPr>
            <w:tcW w:w="0" w:type="auto"/>
            <w:noWrap/>
            <w:vAlign w:val="bottom"/>
            <w:hideMark/>
          </w:tcPr>
          <w:p w14:paraId="33E2244D" w14:textId="46EEFF6A" w:rsidR="00780E30" w:rsidRPr="00780E30" w:rsidRDefault="00780E30" w:rsidP="00780E30">
            <w:pPr>
              <w:jc w:val="right"/>
              <w:cnfStyle w:val="000000000000" w:firstRow="0" w:lastRow="0" w:firstColumn="0" w:lastColumn="0" w:oddVBand="0" w:evenVBand="0" w:oddHBand="0" w:evenHBand="0" w:firstRowFirstColumn="0" w:firstRowLastColumn="0" w:lastRowFirstColumn="0" w:lastRowLastColumn="0"/>
              <w:rPr>
                <w:rFonts w:cstheme="minorHAnsi"/>
                <w:i/>
                <w:iCs/>
              </w:rPr>
            </w:pPr>
            <w:r w:rsidRPr="00780E30">
              <w:rPr>
                <w:rFonts w:cstheme="minorHAnsi"/>
                <w:i/>
                <w:iCs/>
              </w:rPr>
              <w:t>340024</w:t>
            </w:r>
          </w:p>
        </w:tc>
        <w:tc>
          <w:tcPr>
            <w:tcW w:w="0" w:type="auto"/>
            <w:noWrap/>
            <w:vAlign w:val="bottom"/>
            <w:hideMark/>
          </w:tcPr>
          <w:p w14:paraId="05976C34" w14:textId="1E9ABCA7" w:rsidR="00780E30" w:rsidRPr="00780E30" w:rsidRDefault="00780E30" w:rsidP="00780E30">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SLC6A19</w:t>
            </w:r>
          </w:p>
        </w:tc>
      </w:tr>
      <w:tr w:rsidR="00780E30" w:rsidRPr="00C66693" w14:paraId="774C4744" w14:textId="77777777" w:rsidTr="00780E30">
        <w:trPr>
          <w:cnfStyle w:val="000000100000" w:firstRow="0" w:lastRow="0" w:firstColumn="0" w:lastColumn="0" w:oddVBand="0" w:evenVBand="0" w:oddHBand="1" w:evenHBand="0" w:firstRowFirstColumn="0" w:firstRowLastColumn="0" w:lastRowFirstColumn="0" w:lastRowLastColumn="0"/>
          <w:trHeight w:val="399"/>
          <w:jc w:val="center"/>
        </w:trPr>
        <w:tc>
          <w:tcPr>
            <w:cnfStyle w:val="001000000000" w:firstRow="0" w:lastRow="0" w:firstColumn="1" w:lastColumn="0" w:oddVBand="0" w:evenVBand="0" w:oddHBand="0" w:evenHBand="0" w:firstRowFirstColumn="0" w:firstRowLastColumn="0" w:lastRowFirstColumn="0" w:lastRowLastColumn="0"/>
            <w:tcW w:w="0" w:type="auto"/>
            <w:noWrap/>
            <w:vAlign w:val="bottom"/>
            <w:hideMark/>
          </w:tcPr>
          <w:p w14:paraId="3CC41222" w14:textId="1A0B66D9" w:rsidR="00780E30" w:rsidRPr="00C66693" w:rsidRDefault="00780E30" w:rsidP="00780E30">
            <w:pPr>
              <w:jc w:val="right"/>
              <w:rPr>
                <w:rFonts w:cstheme="minorHAnsi"/>
                <w:b w:val="0"/>
                <w:bCs w:val="0"/>
                <w:i/>
                <w:iCs/>
              </w:rPr>
            </w:pPr>
            <w:r w:rsidRPr="00780E30">
              <w:rPr>
                <w:rFonts w:cstheme="minorHAnsi"/>
                <w:b w:val="0"/>
                <w:bCs w:val="0"/>
                <w:i/>
                <w:iCs/>
              </w:rPr>
              <w:t>51059</w:t>
            </w:r>
          </w:p>
        </w:tc>
        <w:tc>
          <w:tcPr>
            <w:tcW w:w="0" w:type="auto"/>
            <w:noWrap/>
            <w:vAlign w:val="bottom"/>
            <w:hideMark/>
          </w:tcPr>
          <w:p w14:paraId="48F8833C" w14:textId="2AA39904" w:rsidR="00780E30" w:rsidRPr="00780E30" w:rsidRDefault="00780E30" w:rsidP="00780E30">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FAM135B</w:t>
            </w:r>
          </w:p>
        </w:tc>
        <w:tc>
          <w:tcPr>
            <w:tcW w:w="0" w:type="auto"/>
            <w:noWrap/>
            <w:vAlign w:val="bottom"/>
            <w:hideMark/>
          </w:tcPr>
          <w:p w14:paraId="00CF6952" w14:textId="77777777" w:rsidR="00780E30" w:rsidRPr="00C66693" w:rsidRDefault="00780E30" w:rsidP="00780E30">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color w:val="333333"/>
                <w:sz w:val="22"/>
                <w:szCs w:val="22"/>
              </w:rPr>
            </w:pPr>
          </w:p>
        </w:tc>
        <w:tc>
          <w:tcPr>
            <w:tcW w:w="0" w:type="auto"/>
            <w:noWrap/>
            <w:vAlign w:val="bottom"/>
            <w:hideMark/>
          </w:tcPr>
          <w:p w14:paraId="30081E12" w14:textId="552D712C" w:rsidR="00780E30" w:rsidRPr="00780E30" w:rsidRDefault="00780E30" w:rsidP="00780E30">
            <w:pPr>
              <w:jc w:val="right"/>
              <w:cnfStyle w:val="000000100000" w:firstRow="0" w:lastRow="0" w:firstColumn="0" w:lastColumn="0" w:oddVBand="0" w:evenVBand="0" w:oddHBand="1" w:evenHBand="0" w:firstRowFirstColumn="0" w:firstRowLastColumn="0" w:lastRowFirstColumn="0" w:lastRowLastColumn="0"/>
              <w:rPr>
                <w:rFonts w:cstheme="minorHAnsi"/>
                <w:i/>
                <w:iCs/>
              </w:rPr>
            </w:pPr>
            <w:r w:rsidRPr="00780E30">
              <w:rPr>
                <w:rFonts w:cstheme="minorHAnsi"/>
                <w:i/>
                <w:iCs/>
              </w:rPr>
              <w:t>8708</w:t>
            </w:r>
          </w:p>
        </w:tc>
        <w:tc>
          <w:tcPr>
            <w:tcW w:w="0" w:type="auto"/>
            <w:noWrap/>
            <w:vAlign w:val="bottom"/>
            <w:hideMark/>
          </w:tcPr>
          <w:p w14:paraId="4276639E" w14:textId="0EEF63E8" w:rsidR="00780E30" w:rsidRPr="00780E30" w:rsidRDefault="00780E30" w:rsidP="00780E30">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B3GALT1</w:t>
            </w:r>
          </w:p>
        </w:tc>
        <w:tc>
          <w:tcPr>
            <w:tcW w:w="0" w:type="auto"/>
            <w:noWrap/>
            <w:vAlign w:val="bottom"/>
            <w:hideMark/>
          </w:tcPr>
          <w:p w14:paraId="52D889E3" w14:textId="77777777" w:rsidR="00780E30" w:rsidRPr="00C66693" w:rsidRDefault="00780E30" w:rsidP="00780E30">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color w:val="333333"/>
                <w:sz w:val="22"/>
                <w:szCs w:val="22"/>
              </w:rPr>
            </w:pPr>
          </w:p>
        </w:tc>
        <w:tc>
          <w:tcPr>
            <w:tcW w:w="0" w:type="auto"/>
            <w:noWrap/>
            <w:vAlign w:val="bottom"/>
            <w:hideMark/>
          </w:tcPr>
          <w:p w14:paraId="582EB7C2" w14:textId="5BA7A86E" w:rsidR="00780E30" w:rsidRPr="00780E30" w:rsidRDefault="00780E30" w:rsidP="00780E30">
            <w:pPr>
              <w:jc w:val="right"/>
              <w:cnfStyle w:val="000000100000" w:firstRow="0" w:lastRow="0" w:firstColumn="0" w:lastColumn="0" w:oddVBand="0" w:evenVBand="0" w:oddHBand="1" w:evenHBand="0" w:firstRowFirstColumn="0" w:firstRowLastColumn="0" w:lastRowFirstColumn="0" w:lastRowLastColumn="0"/>
              <w:rPr>
                <w:rFonts w:cstheme="minorHAnsi"/>
                <w:i/>
                <w:iCs/>
              </w:rPr>
            </w:pPr>
            <w:r w:rsidRPr="00780E30">
              <w:rPr>
                <w:rFonts w:cstheme="minorHAnsi"/>
                <w:i/>
                <w:iCs/>
              </w:rPr>
              <w:t>401022</w:t>
            </w:r>
          </w:p>
        </w:tc>
        <w:tc>
          <w:tcPr>
            <w:tcW w:w="0" w:type="auto"/>
            <w:noWrap/>
            <w:vAlign w:val="bottom"/>
            <w:hideMark/>
          </w:tcPr>
          <w:p w14:paraId="134C75B4" w14:textId="66ABE12B" w:rsidR="00780E30" w:rsidRPr="00780E30" w:rsidRDefault="00780E30" w:rsidP="00780E30">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HAGLR</w:t>
            </w:r>
          </w:p>
        </w:tc>
      </w:tr>
      <w:tr w:rsidR="00780E30" w:rsidRPr="00C66693" w14:paraId="3DB5FC29" w14:textId="77777777" w:rsidTr="00780E30">
        <w:trPr>
          <w:trHeight w:val="399"/>
          <w:jc w:val="center"/>
        </w:trPr>
        <w:tc>
          <w:tcPr>
            <w:cnfStyle w:val="001000000000" w:firstRow="0" w:lastRow="0" w:firstColumn="1" w:lastColumn="0" w:oddVBand="0" w:evenVBand="0" w:oddHBand="0" w:evenHBand="0" w:firstRowFirstColumn="0" w:firstRowLastColumn="0" w:lastRowFirstColumn="0" w:lastRowLastColumn="0"/>
            <w:tcW w:w="0" w:type="auto"/>
            <w:noWrap/>
            <w:vAlign w:val="bottom"/>
            <w:hideMark/>
          </w:tcPr>
          <w:p w14:paraId="4456E37B" w14:textId="2FA6C4CA" w:rsidR="00780E30" w:rsidRPr="00C66693" w:rsidRDefault="00780E30" w:rsidP="00780E30">
            <w:pPr>
              <w:jc w:val="right"/>
              <w:rPr>
                <w:rFonts w:cstheme="minorHAnsi"/>
                <w:b w:val="0"/>
                <w:bCs w:val="0"/>
                <w:i/>
                <w:iCs/>
              </w:rPr>
            </w:pPr>
            <w:r w:rsidRPr="00780E30">
              <w:rPr>
                <w:rFonts w:cstheme="minorHAnsi"/>
                <w:b w:val="0"/>
                <w:bCs w:val="0"/>
                <w:i/>
                <w:iCs/>
              </w:rPr>
              <w:t>64388</w:t>
            </w:r>
          </w:p>
        </w:tc>
        <w:tc>
          <w:tcPr>
            <w:tcW w:w="0" w:type="auto"/>
            <w:noWrap/>
            <w:vAlign w:val="bottom"/>
            <w:hideMark/>
          </w:tcPr>
          <w:p w14:paraId="5461AF30" w14:textId="24458BA8" w:rsidR="00780E30" w:rsidRPr="00780E30" w:rsidRDefault="00780E30" w:rsidP="00780E30">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GREM2</w:t>
            </w:r>
          </w:p>
        </w:tc>
        <w:tc>
          <w:tcPr>
            <w:tcW w:w="0" w:type="auto"/>
            <w:noWrap/>
            <w:vAlign w:val="bottom"/>
            <w:hideMark/>
          </w:tcPr>
          <w:p w14:paraId="428AA58B" w14:textId="77777777" w:rsidR="00780E30" w:rsidRPr="00C66693" w:rsidRDefault="00780E30" w:rsidP="00780E30">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color w:val="333333"/>
                <w:sz w:val="22"/>
                <w:szCs w:val="22"/>
              </w:rPr>
            </w:pPr>
          </w:p>
        </w:tc>
        <w:tc>
          <w:tcPr>
            <w:tcW w:w="0" w:type="auto"/>
            <w:noWrap/>
            <w:vAlign w:val="bottom"/>
            <w:hideMark/>
          </w:tcPr>
          <w:p w14:paraId="5BFDAEEB" w14:textId="235256BD" w:rsidR="00780E30" w:rsidRPr="00780E30" w:rsidRDefault="00780E30" w:rsidP="00780E30">
            <w:pPr>
              <w:jc w:val="right"/>
              <w:cnfStyle w:val="000000000000" w:firstRow="0" w:lastRow="0" w:firstColumn="0" w:lastColumn="0" w:oddVBand="0" w:evenVBand="0" w:oddHBand="0" w:evenHBand="0" w:firstRowFirstColumn="0" w:firstRowLastColumn="0" w:lastRowFirstColumn="0" w:lastRowLastColumn="0"/>
              <w:rPr>
                <w:rFonts w:cstheme="minorHAnsi"/>
                <w:i/>
                <w:iCs/>
              </w:rPr>
            </w:pPr>
            <w:r w:rsidRPr="00780E30">
              <w:rPr>
                <w:rFonts w:cstheme="minorHAnsi"/>
                <w:i/>
                <w:iCs/>
              </w:rPr>
              <w:t>2788</w:t>
            </w:r>
          </w:p>
        </w:tc>
        <w:tc>
          <w:tcPr>
            <w:tcW w:w="0" w:type="auto"/>
            <w:noWrap/>
            <w:vAlign w:val="bottom"/>
            <w:hideMark/>
          </w:tcPr>
          <w:p w14:paraId="2E2C5D04" w14:textId="41EC22C3" w:rsidR="00780E30" w:rsidRPr="00780E30" w:rsidRDefault="00780E30" w:rsidP="00780E30">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GNG7</w:t>
            </w:r>
          </w:p>
        </w:tc>
        <w:tc>
          <w:tcPr>
            <w:tcW w:w="0" w:type="auto"/>
            <w:noWrap/>
            <w:vAlign w:val="bottom"/>
            <w:hideMark/>
          </w:tcPr>
          <w:p w14:paraId="76F92EA7" w14:textId="77777777" w:rsidR="00780E30" w:rsidRPr="00C66693" w:rsidRDefault="00780E30" w:rsidP="00780E30">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color w:val="333333"/>
                <w:sz w:val="22"/>
                <w:szCs w:val="22"/>
              </w:rPr>
            </w:pPr>
          </w:p>
        </w:tc>
        <w:tc>
          <w:tcPr>
            <w:tcW w:w="0" w:type="auto"/>
            <w:noWrap/>
            <w:vAlign w:val="bottom"/>
            <w:hideMark/>
          </w:tcPr>
          <w:p w14:paraId="507FB274" w14:textId="2DF25D01" w:rsidR="00780E30" w:rsidRPr="00780E30" w:rsidRDefault="00780E30" w:rsidP="00780E30">
            <w:pPr>
              <w:jc w:val="right"/>
              <w:cnfStyle w:val="000000000000" w:firstRow="0" w:lastRow="0" w:firstColumn="0" w:lastColumn="0" w:oddVBand="0" w:evenVBand="0" w:oddHBand="0" w:evenHBand="0" w:firstRowFirstColumn="0" w:firstRowLastColumn="0" w:lastRowFirstColumn="0" w:lastRowLastColumn="0"/>
              <w:rPr>
                <w:rFonts w:cstheme="minorHAnsi"/>
                <w:i/>
                <w:iCs/>
              </w:rPr>
            </w:pPr>
            <w:r w:rsidRPr="00780E30">
              <w:rPr>
                <w:rFonts w:cstheme="minorHAnsi"/>
                <w:i/>
                <w:iCs/>
              </w:rPr>
              <w:t>101101775</w:t>
            </w:r>
          </w:p>
        </w:tc>
        <w:tc>
          <w:tcPr>
            <w:tcW w:w="0" w:type="auto"/>
            <w:noWrap/>
            <w:vAlign w:val="bottom"/>
            <w:hideMark/>
          </w:tcPr>
          <w:p w14:paraId="4DEDFAA9" w14:textId="4068B115" w:rsidR="00780E30" w:rsidRPr="00780E30" w:rsidRDefault="00780E30" w:rsidP="00780E30">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TMEM220-AS1</w:t>
            </w:r>
          </w:p>
        </w:tc>
      </w:tr>
      <w:tr w:rsidR="00780E30" w:rsidRPr="00C66693" w14:paraId="61E7D57B" w14:textId="77777777" w:rsidTr="00780E30">
        <w:trPr>
          <w:cnfStyle w:val="000000100000" w:firstRow="0" w:lastRow="0" w:firstColumn="0" w:lastColumn="0" w:oddVBand="0" w:evenVBand="0" w:oddHBand="1" w:evenHBand="0" w:firstRowFirstColumn="0" w:firstRowLastColumn="0" w:lastRowFirstColumn="0" w:lastRowLastColumn="0"/>
          <w:trHeight w:val="399"/>
          <w:jc w:val="center"/>
        </w:trPr>
        <w:tc>
          <w:tcPr>
            <w:cnfStyle w:val="001000000000" w:firstRow="0" w:lastRow="0" w:firstColumn="1" w:lastColumn="0" w:oddVBand="0" w:evenVBand="0" w:oddHBand="0" w:evenHBand="0" w:firstRowFirstColumn="0" w:firstRowLastColumn="0" w:lastRowFirstColumn="0" w:lastRowLastColumn="0"/>
            <w:tcW w:w="0" w:type="auto"/>
            <w:noWrap/>
            <w:vAlign w:val="bottom"/>
            <w:hideMark/>
          </w:tcPr>
          <w:p w14:paraId="099797C6" w14:textId="3AF63149" w:rsidR="00780E30" w:rsidRPr="00C66693" w:rsidRDefault="00780E30" w:rsidP="00780E30">
            <w:pPr>
              <w:jc w:val="right"/>
              <w:rPr>
                <w:rFonts w:cstheme="minorHAnsi"/>
                <w:b w:val="0"/>
                <w:bCs w:val="0"/>
                <w:i/>
                <w:iCs/>
              </w:rPr>
            </w:pPr>
            <w:r w:rsidRPr="00780E30">
              <w:rPr>
                <w:rFonts w:cstheme="minorHAnsi"/>
                <w:b w:val="0"/>
                <w:bCs w:val="0"/>
                <w:i/>
                <w:iCs/>
              </w:rPr>
              <w:t>6799</w:t>
            </w:r>
          </w:p>
        </w:tc>
        <w:tc>
          <w:tcPr>
            <w:tcW w:w="0" w:type="auto"/>
            <w:noWrap/>
            <w:vAlign w:val="bottom"/>
            <w:hideMark/>
          </w:tcPr>
          <w:p w14:paraId="17A64978" w14:textId="152F0D60" w:rsidR="00780E30" w:rsidRPr="00780E30" w:rsidRDefault="00780E30" w:rsidP="00780E30">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SULT1A2</w:t>
            </w:r>
          </w:p>
        </w:tc>
        <w:tc>
          <w:tcPr>
            <w:tcW w:w="0" w:type="auto"/>
            <w:noWrap/>
            <w:vAlign w:val="bottom"/>
            <w:hideMark/>
          </w:tcPr>
          <w:p w14:paraId="615D3F75" w14:textId="77777777" w:rsidR="00780E30" w:rsidRPr="00C66693" w:rsidRDefault="00780E30" w:rsidP="00780E30">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color w:val="333333"/>
                <w:sz w:val="22"/>
                <w:szCs w:val="22"/>
              </w:rPr>
            </w:pPr>
          </w:p>
        </w:tc>
        <w:tc>
          <w:tcPr>
            <w:tcW w:w="0" w:type="auto"/>
            <w:noWrap/>
            <w:vAlign w:val="bottom"/>
            <w:hideMark/>
          </w:tcPr>
          <w:p w14:paraId="5158548D" w14:textId="0C9CABE7" w:rsidR="00780E30" w:rsidRPr="00780E30" w:rsidRDefault="00780E30" w:rsidP="00780E30">
            <w:pPr>
              <w:jc w:val="right"/>
              <w:cnfStyle w:val="000000100000" w:firstRow="0" w:lastRow="0" w:firstColumn="0" w:lastColumn="0" w:oddVBand="0" w:evenVBand="0" w:oddHBand="1" w:evenHBand="0" w:firstRowFirstColumn="0" w:firstRowLastColumn="0" w:lastRowFirstColumn="0" w:lastRowLastColumn="0"/>
              <w:rPr>
                <w:rFonts w:cstheme="minorHAnsi"/>
                <w:i/>
                <w:iCs/>
              </w:rPr>
            </w:pPr>
            <w:r w:rsidRPr="00780E30">
              <w:rPr>
                <w:rFonts w:cstheme="minorHAnsi"/>
                <w:i/>
                <w:iCs/>
              </w:rPr>
              <w:t>57556</w:t>
            </w:r>
          </w:p>
        </w:tc>
        <w:tc>
          <w:tcPr>
            <w:tcW w:w="0" w:type="auto"/>
            <w:noWrap/>
            <w:vAlign w:val="bottom"/>
            <w:hideMark/>
          </w:tcPr>
          <w:p w14:paraId="44B09863" w14:textId="28799A05" w:rsidR="00780E30" w:rsidRPr="00780E30" w:rsidRDefault="00780E30" w:rsidP="00780E30">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SEMA6A</w:t>
            </w:r>
          </w:p>
        </w:tc>
        <w:tc>
          <w:tcPr>
            <w:tcW w:w="0" w:type="auto"/>
            <w:noWrap/>
            <w:vAlign w:val="bottom"/>
            <w:hideMark/>
          </w:tcPr>
          <w:p w14:paraId="45D2EEC6" w14:textId="77777777" w:rsidR="00780E30" w:rsidRPr="00C66693" w:rsidRDefault="00780E30" w:rsidP="00780E30">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color w:val="333333"/>
                <w:sz w:val="22"/>
                <w:szCs w:val="22"/>
              </w:rPr>
            </w:pPr>
          </w:p>
        </w:tc>
        <w:tc>
          <w:tcPr>
            <w:tcW w:w="0" w:type="auto"/>
            <w:noWrap/>
            <w:vAlign w:val="bottom"/>
            <w:hideMark/>
          </w:tcPr>
          <w:p w14:paraId="481EEF7B" w14:textId="64832589" w:rsidR="00780E30" w:rsidRPr="00780E30" w:rsidRDefault="00780E30" w:rsidP="00780E30">
            <w:pPr>
              <w:jc w:val="right"/>
              <w:cnfStyle w:val="000000100000" w:firstRow="0" w:lastRow="0" w:firstColumn="0" w:lastColumn="0" w:oddVBand="0" w:evenVBand="0" w:oddHBand="1" w:evenHBand="0" w:firstRowFirstColumn="0" w:firstRowLastColumn="0" w:lastRowFirstColumn="0" w:lastRowLastColumn="0"/>
              <w:rPr>
                <w:rFonts w:cstheme="minorHAnsi"/>
                <w:i/>
                <w:iCs/>
              </w:rPr>
            </w:pPr>
            <w:r w:rsidRPr="00780E30">
              <w:rPr>
                <w:rFonts w:cstheme="minorHAnsi"/>
                <w:i/>
                <w:iCs/>
              </w:rPr>
              <w:t>10891</w:t>
            </w:r>
          </w:p>
        </w:tc>
        <w:tc>
          <w:tcPr>
            <w:tcW w:w="0" w:type="auto"/>
            <w:noWrap/>
            <w:vAlign w:val="bottom"/>
            <w:hideMark/>
          </w:tcPr>
          <w:p w14:paraId="65D61B72" w14:textId="4360B76E" w:rsidR="00780E30" w:rsidRPr="00780E30" w:rsidRDefault="00780E30" w:rsidP="00780E30">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PPARGC1A</w:t>
            </w:r>
          </w:p>
        </w:tc>
      </w:tr>
      <w:tr w:rsidR="00780E30" w:rsidRPr="00C66693" w14:paraId="57F16DCA" w14:textId="77777777" w:rsidTr="00780E30">
        <w:trPr>
          <w:trHeight w:val="399"/>
          <w:jc w:val="center"/>
        </w:trPr>
        <w:tc>
          <w:tcPr>
            <w:cnfStyle w:val="001000000000" w:firstRow="0" w:lastRow="0" w:firstColumn="1" w:lastColumn="0" w:oddVBand="0" w:evenVBand="0" w:oddHBand="0" w:evenHBand="0" w:firstRowFirstColumn="0" w:firstRowLastColumn="0" w:lastRowFirstColumn="0" w:lastRowLastColumn="0"/>
            <w:tcW w:w="0" w:type="auto"/>
            <w:noWrap/>
            <w:vAlign w:val="bottom"/>
            <w:hideMark/>
          </w:tcPr>
          <w:p w14:paraId="15F5AD32" w14:textId="25F2205B" w:rsidR="00780E30" w:rsidRPr="00C66693" w:rsidRDefault="00780E30" w:rsidP="00780E30">
            <w:pPr>
              <w:jc w:val="right"/>
              <w:rPr>
                <w:rFonts w:cstheme="minorHAnsi"/>
                <w:b w:val="0"/>
                <w:bCs w:val="0"/>
                <w:i/>
                <w:iCs/>
              </w:rPr>
            </w:pPr>
            <w:r w:rsidRPr="00780E30">
              <w:rPr>
                <w:rFonts w:cstheme="minorHAnsi"/>
                <w:b w:val="0"/>
                <w:bCs w:val="0"/>
                <w:i/>
                <w:iCs/>
              </w:rPr>
              <w:t>10350</w:t>
            </w:r>
          </w:p>
        </w:tc>
        <w:tc>
          <w:tcPr>
            <w:tcW w:w="0" w:type="auto"/>
            <w:noWrap/>
            <w:vAlign w:val="bottom"/>
            <w:hideMark/>
          </w:tcPr>
          <w:p w14:paraId="0D022505" w14:textId="4A0C2D9D" w:rsidR="00780E30" w:rsidRPr="00780E30" w:rsidRDefault="00780E30" w:rsidP="00780E30">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ABCA9</w:t>
            </w:r>
          </w:p>
        </w:tc>
        <w:tc>
          <w:tcPr>
            <w:tcW w:w="0" w:type="auto"/>
            <w:noWrap/>
            <w:vAlign w:val="bottom"/>
            <w:hideMark/>
          </w:tcPr>
          <w:p w14:paraId="2652D9BB" w14:textId="77777777" w:rsidR="00780E30" w:rsidRPr="00C66693" w:rsidRDefault="00780E30" w:rsidP="00780E30">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color w:val="333333"/>
                <w:sz w:val="22"/>
                <w:szCs w:val="22"/>
              </w:rPr>
            </w:pPr>
          </w:p>
        </w:tc>
        <w:tc>
          <w:tcPr>
            <w:tcW w:w="0" w:type="auto"/>
            <w:noWrap/>
            <w:vAlign w:val="bottom"/>
            <w:hideMark/>
          </w:tcPr>
          <w:p w14:paraId="53779527" w14:textId="106AE3B0" w:rsidR="00780E30" w:rsidRPr="00780E30" w:rsidRDefault="00780E30" w:rsidP="00780E30">
            <w:pPr>
              <w:jc w:val="right"/>
              <w:cnfStyle w:val="000000000000" w:firstRow="0" w:lastRow="0" w:firstColumn="0" w:lastColumn="0" w:oddVBand="0" w:evenVBand="0" w:oddHBand="0" w:evenHBand="0" w:firstRowFirstColumn="0" w:firstRowLastColumn="0" w:lastRowFirstColumn="0" w:lastRowLastColumn="0"/>
              <w:rPr>
                <w:rFonts w:cstheme="minorHAnsi"/>
                <w:i/>
                <w:iCs/>
              </w:rPr>
            </w:pPr>
            <w:r w:rsidRPr="00780E30">
              <w:rPr>
                <w:rFonts w:cstheme="minorHAnsi"/>
                <w:i/>
                <w:iCs/>
              </w:rPr>
              <w:t>1908</w:t>
            </w:r>
          </w:p>
        </w:tc>
        <w:tc>
          <w:tcPr>
            <w:tcW w:w="0" w:type="auto"/>
            <w:noWrap/>
            <w:vAlign w:val="bottom"/>
            <w:hideMark/>
          </w:tcPr>
          <w:p w14:paraId="2DA1D82E" w14:textId="7369AAB9" w:rsidR="00780E30" w:rsidRPr="00780E30" w:rsidRDefault="00780E30" w:rsidP="00780E30">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EDN3</w:t>
            </w:r>
          </w:p>
        </w:tc>
        <w:tc>
          <w:tcPr>
            <w:tcW w:w="0" w:type="auto"/>
            <w:noWrap/>
            <w:vAlign w:val="bottom"/>
            <w:hideMark/>
          </w:tcPr>
          <w:p w14:paraId="34EF1C7A" w14:textId="77777777" w:rsidR="00780E30" w:rsidRPr="00C66693" w:rsidRDefault="00780E30" w:rsidP="00780E30">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color w:val="333333"/>
                <w:sz w:val="22"/>
                <w:szCs w:val="22"/>
              </w:rPr>
            </w:pPr>
          </w:p>
        </w:tc>
        <w:tc>
          <w:tcPr>
            <w:tcW w:w="0" w:type="auto"/>
            <w:noWrap/>
            <w:vAlign w:val="bottom"/>
            <w:hideMark/>
          </w:tcPr>
          <w:p w14:paraId="54243DE6" w14:textId="7A40C39D" w:rsidR="00780E30" w:rsidRPr="00780E30" w:rsidRDefault="00780E30" w:rsidP="00780E30">
            <w:pPr>
              <w:jc w:val="right"/>
              <w:cnfStyle w:val="000000000000" w:firstRow="0" w:lastRow="0" w:firstColumn="0" w:lastColumn="0" w:oddVBand="0" w:evenVBand="0" w:oddHBand="0" w:evenHBand="0" w:firstRowFirstColumn="0" w:firstRowLastColumn="0" w:lastRowFirstColumn="0" w:lastRowLastColumn="0"/>
              <w:rPr>
                <w:rFonts w:cstheme="minorHAnsi"/>
                <w:i/>
                <w:iCs/>
              </w:rPr>
            </w:pPr>
            <w:r w:rsidRPr="00780E30">
              <w:rPr>
                <w:rFonts w:cstheme="minorHAnsi"/>
                <w:i/>
                <w:iCs/>
              </w:rPr>
              <w:t>5023</w:t>
            </w:r>
          </w:p>
        </w:tc>
        <w:tc>
          <w:tcPr>
            <w:tcW w:w="0" w:type="auto"/>
            <w:noWrap/>
            <w:vAlign w:val="bottom"/>
            <w:hideMark/>
          </w:tcPr>
          <w:p w14:paraId="0D6788A2" w14:textId="2BCDCC26" w:rsidR="00780E30" w:rsidRPr="00780E30" w:rsidRDefault="00780E30" w:rsidP="00780E30">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P2RX1</w:t>
            </w:r>
          </w:p>
        </w:tc>
      </w:tr>
      <w:tr w:rsidR="00780E30" w:rsidRPr="00C66693" w14:paraId="23FD6B53" w14:textId="77777777" w:rsidTr="00780E30">
        <w:trPr>
          <w:cnfStyle w:val="000000100000" w:firstRow="0" w:lastRow="0" w:firstColumn="0" w:lastColumn="0" w:oddVBand="0" w:evenVBand="0" w:oddHBand="1" w:evenHBand="0" w:firstRowFirstColumn="0" w:firstRowLastColumn="0" w:lastRowFirstColumn="0" w:lastRowLastColumn="0"/>
          <w:trHeight w:val="399"/>
          <w:jc w:val="center"/>
        </w:trPr>
        <w:tc>
          <w:tcPr>
            <w:cnfStyle w:val="001000000000" w:firstRow="0" w:lastRow="0" w:firstColumn="1" w:lastColumn="0" w:oddVBand="0" w:evenVBand="0" w:oddHBand="0" w:evenHBand="0" w:firstRowFirstColumn="0" w:firstRowLastColumn="0" w:lastRowFirstColumn="0" w:lastRowLastColumn="0"/>
            <w:tcW w:w="0" w:type="auto"/>
            <w:noWrap/>
            <w:vAlign w:val="bottom"/>
            <w:hideMark/>
          </w:tcPr>
          <w:p w14:paraId="640DCE66" w14:textId="3870653A" w:rsidR="00780E30" w:rsidRPr="00C66693" w:rsidRDefault="00780E30" w:rsidP="00780E30">
            <w:pPr>
              <w:jc w:val="right"/>
              <w:rPr>
                <w:rFonts w:cstheme="minorHAnsi"/>
                <w:b w:val="0"/>
                <w:bCs w:val="0"/>
                <w:i/>
                <w:iCs/>
              </w:rPr>
            </w:pPr>
            <w:r w:rsidRPr="00780E30">
              <w:rPr>
                <w:rFonts w:cstheme="minorHAnsi"/>
                <w:b w:val="0"/>
                <w:bCs w:val="0"/>
                <w:i/>
                <w:iCs/>
              </w:rPr>
              <w:t>388364</w:t>
            </w:r>
          </w:p>
        </w:tc>
        <w:tc>
          <w:tcPr>
            <w:tcW w:w="0" w:type="auto"/>
            <w:noWrap/>
            <w:vAlign w:val="bottom"/>
            <w:hideMark/>
          </w:tcPr>
          <w:p w14:paraId="00B40E1A" w14:textId="4B0A02E9" w:rsidR="00780E30" w:rsidRPr="00780E30" w:rsidRDefault="00780E30" w:rsidP="00780E30">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TMIGD1</w:t>
            </w:r>
          </w:p>
        </w:tc>
        <w:tc>
          <w:tcPr>
            <w:tcW w:w="0" w:type="auto"/>
            <w:noWrap/>
            <w:vAlign w:val="bottom"/>
            <w:hideMark/>
          </w:tcPr>
          <w:p w14:paraId="168DB644" w14:textId="77777777" w:rsidR="00780E30" w:rsidRPr="00C66693" w:rsidRDefault="00780E30" w:rsidP="00780E30">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color w:val="333333"/>
                <w:sz w:val="22"/>
                <w:szCs w:val="22"/>
              </w:rPr>
            </w:pPr>
          </w:p>
        </w:tc>
        <w:tc>
          <w:tcPr>
            <w:tcW w:w="0" w:type="auto"/>
            <w:noWrap/>
            <w:vAlign w:val="bottom"/>
            <w:hideMark/>
          </w:tcPr>
          <w:p w14:paraId="559618BC" w14:textId="5EEFCC54" w:rsidR="00780E30" w:rsidRPr="00780E30" w:rsidRDefault="00780E30" w:rsidP="00780E30">
            <w:pPr>
              <w:jc w:val="right"/>
              <w:cnfStyle w:val="000000100000" w:firstRow="0" w:lastRow="0" w:firstColumn="0" w:lastColumn="0" w:oddVBand="0" w:evenVBand="0" w:oddHBand="1" w:evenHBand="0" w:firstRowFirstColumn="0" w:firstRowLastColumn="0" w:lastRowFirstColumn="0" w:lastRowLastColumn="0"/>
              <w:rPr>
                <w:rFonts w:cstheme="minorHAnsi"/>
                <w:i/>
                <w:iCs/>
              </w:rPr>
            </w:pPr>
            <w:r w:rsidRPr="00780E30">
              <w:rPr>
                <w:rFonts w:cstheme="minorHAnsi"/>
                <w:i/>
                <w:iCs/>
              </w:rPr>
              <w:t>9745</w:t>
            </w:r>
          </w:p>
        </w:tc>
        <w:tc>
          <w:tcPr>
            <w:tcW w:w="0" w:type="auto"/>
            <w:noWrap/>
            <w:vAlign w:val="bottom"/>
            <w:hideMark/>
          </w:tcPr>
          <w:p w14:paraId="7A3FB4F4" w14:textId="05AF84A2" w:rsidR="00780E30" w:rsidRPr="00780E30" w:rsidRDefault="00780E30" w:rsidP="00780E30">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ZNF536</w:t>
            </w:r>
          </w:p>
        </w:tc>
        <w:tc>
          <w:tcPr>
            <w:tcW w:w="0" w:type="auto"/>
            <w:noWrap/>
            <w:vAlign w:val="bottom"/>
            <w:hideMark/>
          </w:tcPr>
          <w:p w14:paraId="790DF643" w14:textId="77777777" w:rsidR="00780E30" w:rsidRPr="00C66693" w:rsidRDefault="00780E30" w:rsidP="00780E30">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color w:val="333333"/>
                <w:sz w:val="22"/>
                <w:szCs w:val="22"/>
              </w:rPr>
            </w:pPr>
          </w:p>
        </w:tc>
        <w:tc>
          <w:tcPr>
            <w:tcW w:w="0" w:type="auto"/>
            <w:noWrap/>
            <w:vAlign w:val="bottom"/>
            <w:hideMark/>
          </w:tcPr>
          <w:p w14:paraId="27AD71D6" w14:textId="7DF4E684" w:rsidR="00780E30" w:rsidRPr="00780E30" w:rsidRDefault="00780E30" w:rsidP="00780E30">
            <w:pPr>
              <w:jc w:val="right"/>
              <w:cnfStyle w:val="000000100000" w:firstRow="0" w:lastRow="0" w:firstColumn="0" w:lastColumn="0" w:oddVBand="0" w:evenVBand="0" w:oddHBand="1" w:evenHBand="0" w:firstRowFirstColumn="0" w:firstRowLastColumn="0" w:lastRowFirstColumn="0" w:lastRowLastColumn="0"/>
              <w:rPr>
                <w:rFonts w:cstheme="minorHAnsi"/>
                <w:i/>
                <w:iCs/>
              </w:rPr>
            </w:pPr>
            <w:r w:rsidRPr="00780E30">
              <w:rPr>
                <w:rFonts w:cstheme="minorHAnsi"/>
                <w:i/>
                <w:iCs/>
              </w:rPr>
              <w:t>35</w:t>
            </w:r>
          </w:p>
        </w:tc>
        <w:tc>
          <w:tcPr>
            <w:tcW w:w="0" w:type="auto"/>
            <w:noWrap/>
            <w:vAlign w:val="bottom"/>
            <w:hideMark/>
          </w:tcPr>
          <w:p w14:paraId="43F4DE35" w14:textId="22A7D859" w:rsidR="00780E30" w:rsidRPr="00780E30" w:rsidRDefault="00780E30" w:rsidP="00780E30">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ACADS</w:t>
            </w:r>
          </w:p>
        </w:tc>
      </w:tr>
      <w:tr w:rsidR="00780E30" w:rsidRPr="00C66693" w14:paraId="6A85E6C0" w14:textId="77777777" w:rsidTr="00780E30">
        <w:trPr>
          <w:trHeight w:val="399"/>
          <w:jc w:val="center"/>
        </w:trPr>
        <w:tc>
          <w:tcPr>
            <w:cnfStyle w:val="001000000000" w:firstRow="0" w:lastRow="0" w:firstColumn="1" w:lastColumn="0" w:oddVBand="0" w:evenVBand="0" w:oddHBand="0" w:evenHBand="0" w:firstRowFirstColumn="0" w:firstRowLastColumn="0" w:lastRowFirstColumn="0" w:lastRowLastColumn="0"/>
            <w:tcW w:w="0" w:type="auto"/>
            <w:noWrap/>
            <w:vAlign w:val="bottom"/>
            <w:hideMark/>
          </w:tcPr>
          <w:p w14:paraId="4C0B2159" w14:textId="1E031CA7" w:rsidR="00780E30" w:rsidRPr="00C66693" w:rsidRDefault="00780E30" w:rsidP="00780E30">
            <w:pPr>
              <w:jc w:val="right"/>
              <w:rPr>
                <w:rFonts w:cstheme="minorHAnsi"/>
                <w:b w:val="0"/>
                <w:bCs w:val="0"/>
                <w:i/>
                <w:iCs/>
              </w:rPr>
            </w:pPr>
            <w:r w:rsidRPr="00780E30">
              <w:rPr>
                <w:rFonts w:cstheme="minorHAnsi"/>
                <w:b w:val="0"/>
                <w:bCs w:val="0"/>
                <w:i/>
                <w:iCs/>
              </w:rPr>
              <w:t>651</w:t>
            </w:r>
          </w:p>
        </w:tc>
        <w:tc>
          <w:tcPr>
            <w:tcW w:w="0" w:type="auto"/>
            <w:noWrap/>
            <w:vAlign w:val="bottom"/>
            <w:hideMark/>
          </w:tcPr>
          <w:p w14:paraId="620B3722" w14:textId="522F4339" w:rsidR="00780E30" w:rsidRPr="00780E30" w:rsidRDefault="00780E30" w:rsidP="00780E30">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BMP3</w:t>
            </w:r>
          </w:p>
        </w:tc>
        <w:tc>
          <w:tcPr>
            <w:tcW w:w="0" w:type="auto"/>
            <w:noWrap/>
            <w:vAlign w:val="bottom"/>
            <w:hideMark/>
          </w:tcPr>
          <w:p w14:paraId="634F1174" w14:textId="77777777" w:rsidR="00780E30" w:rsidRPr="00C66693" w:rsidRDefault="00780E30" w:rsidP="00780E30">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color w:val="333333"/>
                <w:sz w:val="22"/>
                <w:szCs w:val="22"/>
              </w:rPr>
            </w:pPr>
          </w:p>
        </w:tc>
        <w:tc>
          <w:tcPr>
            <w:tcW w:w="0" w:type="auto"/>
            <w:noWrap/>
            <w:vAlign w:val="bottom"/>
            <w:hideMark/>
          </w:tcPr>
          <w:p w14:paraId="6B5D83E0" w14:textId="09D59E91" w:rsidR="00780E30" w:rsidRPr="00780E30" w:rsidRDefault="00780E30" w:rsidP="00780E30">
            <w:pPr>
              <w:jc w:val="right"/>
              <w:cnfStyle w:val="000000000000" w:firstRow="0" w:lastRow="0" w:firstColumn="0" w:lastColumn="0" w:oddVBand="0" w:evenVBand="0" w:oddHBand="0" w:evenHBand="0" w:firstRowFirstColumn="0" w:firstRowLastColumn="0" w:lastRowFirstColumn="0" w:lastRowLastColumn="0"/>
              <w:rPr>
                <w:rFonts w:cstheme="minorHAnsi"/>
                <w:i/>
                <w:iCs/>
              </w:rPr>
            </w:pPr>
            <w:r w:rsidRPr="00780E30">
              <w:rPr>
                <w:rFonts w:cstheme="minorHAnsi"/>
                <w:i/>
                <w:iCs/>
              </w:rPr>
              <w:t>53841</w:t>
            </w:r>
          </w:p>
        </w:tc>
        <w:tc>
          <w:tcPr>
            <w:tcW w:w="0" w:type="auto"/>
            <w:noWrap/>
            <w:vAlign w:val="bottom"/>
            <w:hideMark/>
          </w:tcPr>
          <w:p w14:paraId="7D99286D" w14:textId="62E0327E" w:rsidR="00780E30" w:rsidRPr="00780E30" w:rsidRDefault="00780E30" w:rsidP="00780E30">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CDHR5</w:t>
            </w:r>
          </w:p>
        </w:tc>
        <w:tc>
          <w:tcPr>
            <w:tcW w:w="0" w:type="auto"/>
            <w:noWrap/>
            <w:vAlign w:val="bottom"/>
            <w:hideMark/>
          </w:tcPr>
          <w:p w14:paraId="77B0C7C5" w14:textId="77777777" w:rsidR="00780E30" w:rsidRPr="00C66693" w:rsidRDefault="00780E30" w:rsidP="00780E30">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color w:val="333333"/>
                <w:sz w:val="22"/>
                <w:szCs w:val="22"/>
              </w:rPr>
            </w:pPr>
          </w:p>
        </w:tc>
        <w:tc>
          <w:tcPr>
            <w:tcW w:w="0" w:type="auto"/>
            <w:noWrap/>
            <w:vAlign w:val="bottom"/>
            <w:hideMark/>
          </w:tcPr>
          <w:p w14:paraId="53ECB93E" w14:textId="25499110" w:rsidR="00780E30" w:rsidRPr="00780E30" w:rsidRDefault="00780E30" w:rsidP="00780E30">
            <w:pPr>
              <w:jc w:val="right"/>
              <w:cnfStyle w:val="000000000000" w:firstRow="0" w:lastRow="0" w:firstColumn="0" w:lastColumn="0" w:oddVBand="0" w:evenVBand="0" w:oddHBand="0" w:evenHBand="0" w:firstRowFirstColumn="0" w:firstRowLastColumn="0" w:lastRowFirstColumn="0" w:lastRowLastColumn="0"/>
              <w:rPr>
                <w:rFonts w:cstheme="minorHAnsi"/>
                <w:i/>
                <w:iCs/>
              </w:rPr>
            </w:pPr>
            <w:r w:rsidRPr="00780E30">
              <w:rPr>
                <w:rFonts w:cstheme="minorHAnsi"/>
                <w:i/>
                <w:iCs/>
              </w:rPr>
              <w:t>9290</w:t>
            </w:r>
          </w:p>
        </w:tc>
        <w:tc>
          <w:tcPr>
            <w:tcW w:w="0" w:type="auto"/>
            <w:noWrap/>
            <w:vAlign w:val="bottom"/>
            <w:hideMark/>
          </w:tcPr>
          <w:p w14:paraId="3B8B4FEC" w14:textId="787D987A" w:rsidR="00780E30" w:rsidRPr="00780E30" w:rsidRDefault="00780E30" w:rsidP="00780E30">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GPR55</w:t>
            </w:r>
          </w:p>
        </w:tc>
      </w:tr>
      <w:tr w:rsidR="00780E30" w:rsidRPr="00C66693" w14:paraId="4D906A35" w14:textId="77777777" w:rsidTr="00780E30">
        <w:trPr>
          <w:cnfStyle w:val="000000100000" w:firstRow="0" w:lastRow="0" w:firstColumn="0" w:lastColumn="0" w:oddVBand="0" w:evenVBand="0" w:oddHBand="1" w:evenHBand="0" w:firstRowFirstColumn="0" w:firstRowLastColumn="0" w:lastRowFirstColumn="0" w:lastRowLastColumn="0"/>
          <w:trHeight w:val="399"/>
          <w:jc w:val="center"/>
        </w:trPr>
        <w:tc>
          <w:tcPr>
            <w:cnfStyle w:val="001000000000" w:firstRow="0" w:lastRow="0" w:firstColumn="1" w:lastColumn="0" w:oddVBand="0" w:evenVBand="0" w:oddHBand="0" w:evenHBand="0" w:firstRowFirstColumn="0" w:firstRowLastColumn="0" w:lastRowFirstColumn="0" w:lastRowLastColumn="0"/>
            <w:tcW w:w="0" w:type="auto"/>
            <w:noWrap/>
            <w:vAlign w:val="bottom"/>
            <w:hideMark/>
          </w:tcPr>
          <w:p w14:paraId="2DF241AC" w14:textId="52B54C73" w:rsidR="00780E30" w:rsidRPr="00C66693" w:rsidRDefault="00780E30" w:rsidP="00780E30">
            <w:pPr>
              <w:jc w:val="right"/>
              <w:rPr>
                <w:rFonts w:cstheme="minorHAnsi"/>
                <w:b w:val="0"/>
                <w:bCs w:val="0"/>
                <w:i/>
                <w:iCs/>
              </w:rPr>
            </w:pPr>
            <w:r w:rsidRPr="00780E30">
              <w:rPr>
                <w:rFonts w:cstheme="minorHAnsi"/>
                <w:b w:val="0"/>
                <w:bCs w:val="0"/>
                <w:i/>
                <w:iCs/>
              </w:rPr>
              <w:t>63928</w:t>
            </w:r>
          </w:p>
        </w:tc>
        <w:tc>
          <w:tcPr>
            <w:tcW w:w="0" w:type="auto"/>
            <w:noWrap/>
            <w:vAlign w:val="bottom"/>
            <w:hideMark/>
          </w:tcPr>
          <w:p w14:paraId="41CE28DE" w14:textId="6837BC7E" w:rsidR="00780E30" w:rsidRPr="00780E30" w:rsidRDefault="00780E30" w:rsidP="00780E30">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CHP2</w:t>
            </w:r>
          </w:p>
        </w:tc>
        <w:tc>
          <w:tcPr>
            <w:tcW w:w="0" w:type="auto"/>
            <w:noWrap/>
            <w:vAlign w:val="bottom"/>
            <w:hideMark/>
          </w:tcPr>
          <w:p w14:paraId="1D02AE22" w14:textId="77777777" w:rsidR="00780E30" w:rsidRPr="00C66693" w:rsidRDefault="00780E30" w:rsidP="00780E30">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color w:val="333333"/>
                <w:sz w:val="22"/>
                <w:szCs w:val="22"/>
              </w:rPr>
            </w:pPr>
          </w:p>
        </w:tc>
        <w:tc>
          <w:tcPr>
            <w:tcW w:w="0" w:type="auto"/>
            <w:noWrap/>
            <w:vAlign w:val="bottom"/>
            <w:hideMark/>
          </w:tcPr>
          <w:p w14:paraId="0ADF0DE5" w14:textId="6C9C59EF" w:rsidR="00780E30" w:rsidRPr="00780E30" w:rsidRDefault="00780E30" w:rsidP="00780E30">
            <w:pPr>
              <w:jc w:val="right"/>
              <w:cnfStyle w:val="000000100000" w:firstRow="0" w:lastRow="0" w:firstColumn="0" w:lastColumn="0" w:oddVBand="0" w:evenVBand="0" w:oddHBand="1" w:evenHBand="0" w:firstRowFirstColumn="0" w:firstRowLastColumn="0" w:lastRowFirstColumn="0" w:lastRowLastColumn="0"/>
              <w:rPr>
                <w:rFonts w:cstheme="minorHAnsi"/>
                <w:i/>
                <w:iCs/>
              </w:rPr>
            </w:pPr>
            <w:r w:rsidRPr="00780E30">
              <w:rPr>
                <w:rFonts w:cstheme="minorHAnsi"/>
                <w:i/>
                <w:iCs/>
              </w:rPr>
              <w:t>27284</w:t>
            </w:r>
          </w:p>
        </w:tc>
        <w:tc>
          <w:tcPr>
            <w:tcW w:w="0" w:type="auto"/>
            <w:noWrap/>
            <w:vAlign w:val="bottom"/>
            <w:hideMark/>
          </w:tcPr>
          <w:p w14:paraId="2A24BEDE" w14:textId="52333B29" w:rsidR="00780E30" w:rsidRPr="00780E30" w:rsidRDefault="00780E30" w:rsidP="00780E30">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SULT1B1</w:t>
            </w:r>
          </w:p>
        </w:tc>
        <w:tc>
          <w:tcPr>
            <w:tcW w:w="0" w:type="auto"/>
            <w:noWrap/>
            <w:vAlign w:val="bottom"/>
            <w:hideMark/>
          </w:tcPr>
          <w:p w14:paraId="5EBB18B9" w14:textId="77777777" w:rsidR="00780E30" w:rsidRPr="00C66693" w:rsidRDefault="00780E30" w:rsidP="00780E30">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color w:val="333333"/>
                <w:sz w:val="22"/>
                <w:szCs w:val="22"/>
              </w:rPr>
            </w:pPr>
          </w:p>
        </w:tc>
        <w:tc>
          <w:tcPr>
            <w:tcW w:w="0" w:type="auto"/>
            <w:noWrap/>
            <w:vAlign w:val="bottom"/>
            <w:hideMark/>
          </w:tcPr>
          <w:p w14:paraId="4AB05563" w14:textId="2471B822" w:rsidR="00780E30" w:rsidRPr="00780E30" w:rsidRDefault="00780E30" w:rsidP="00780E30">
            <w:pPr>
              <w:jc w:val="right"/>
              <w:cnfStyle w:val="000000100000" w:firstRow="0" w:lastRow="0" w:firstColumn="0" w:lastColumn="0" w:oddVBand="0" w:evenVBand="0" w:oddHBand="1" w:evenHBand="0" w:firstRowFirstColumn="0" w:firstRowLastColumn="0" w:lastRowFirstColumn="0" w:lastRowLastColumn="0"/>
              <w:rPr>
                <w:rFonts w:cstheme="minorHAnsi"/>
                <w:i/>
                <w:iCs/>
              </w:rPr>
            </w:pPr>
            <w:r w:rsidRPr="00780E30">
              <w:rPr>
                <w:rFonts w:cstheme="minorHAnsi"/>
                <w:i/>
                <w:iCs/>
              </w:rPr>
              <w:t>1101</w:t>
            </w:r>
          </w:p>
        </w:tc>
        <w:tc>
          <w:tcPr>
            <w:tcW w:w="0" w:type="auto"/>
            <w:noWrap/>
            <w:vAlign w:val="bottom"/>
            <w:hideMark/>
          </w:tcPr>
          <w:p w14:paraId="69C88B2F" w14:textId="74646E72" w:rsidR="00780E30" w:rsidRPr="00780E30" w:rsidRDefault="00780E30" w:rsidP="00780E30">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CHAD</w:t>
            </w:r>
          </w:p>
        </w:tc>
      </w:tr>
      <w:tr w:rsidR="00780E30" w:rsidRPr="00C66693" w14:paraId="619F25DE" w14:textId="77777777" w:rsidTr="00780E30">
        <w:trPr>
          <w:trHeight w:val="399"/>
          <w:jc w:val="center"/>
        </w:trPr>
        <w:tc>
          <w:tcPr>
            <w:cnfStyle w:val="001000000000" w:firstRow="0" w:lastRow="0" w:firstColumn="1" w:lastColumn="0" w:oddVBand="0" w:evenVBand="0" w:oddHBand="0" w:evenHBand="0" w:firstRowFirstColumn="0" w:firstRowLastColumn="0" w:lastRowFirstColumn="0" w:lastRowLastColumn="0"/>
            <w:tcW w:w="0" w:type="auto"/>
            <w:noWrap/>
            <w:vAlign w:val="bottom"/>
            <w:hideMark/>
          </w:tcPr>
          <w:p w14:paraId="38474ED1" w14:textId="0324420C" w:rsidR="00780E30" w:rsidRPr="00C66693" w:rsidRDefault="00780E30" w:rsidP="00780E30">
            <w:pPr>
              <w:jc w:val="right"/>
              <w:rPr>
                <w:rFonts w:cstheme="minorHAnsi"/>
                <w:b w:val="0"/>
                <w:bCs w:val="0"/>
                <w:i/>
                <w:iCs/>
              </w:rPr>
            </w:pPr>
            <w:r w:rsidRPr="00780E30">
              <w:rPr>
                <w:rFonts w:cstheme="minorHAnsi"/>
                <w:b w:val="0"/>
                <w:bCs w:val="0"/>
                <w:i/>
                <w:iCs/>
              </w:rPr>
              <w:t>2949</w:t>
            </w:r>
          </w:p>
        </w:tc>
        <w:tc>
          <w:tcPr>
            <w:tcW w:w="0" w:type="auto"/>
            <w:noWrap/>
            <w:vAlign w:val="bottom"/>
            <w:hideMark/>
          </w:tcPr>
          <w:p w14:paraId="22A7806B" w14:textId="111AF14E" w:rsidR="00780E30" w:rsidRPr="00780E30" w:rsidRDefault="00780E30" w:rsidP="00780E30">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GSTM5</w:t>
            </w:r>
          </w:p>
        </w:tc>
        <w:tc>
          <w:tcPr>
            <w:tcW w:w="0" w:type="auto"/>
            <w:noWrap/>
            <w:vAlign w:val="bottom"/>
            <w:hideMark/>
          </w:tcPr>
          <w:p w14:paraId="0EF65035" w14:textId="77777777" w:rsidR="00780E30" w:rsidRPr="00C66693" w:rsidRDefault="00780E30" w:rsidP="00780E30">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color w:val="333333"/>
                <w:sz w:val="22"/>
                <w:szCs w:val="22"/>
              </w:rPr>
            </w:pPr>
          </w:p>
        </w:tc>
        <w:tc>
          <w:tcPr>
            <w:tcW w:w="0" w:type="auto"/>
            <w:noWrap/>
            <w:vAlign w:val="bottom"/>
            <w:hideMark/>
          </w:tcPr>
          <w:p w14:paraId="1A6FB1BC" w14:textId="36B6803B" w:rsidR="00780E30" w:rsidRPr="00780E30" w:rsidRDefault="00780E30" w:rsidP="00780E30">
            <w:pPr>
              <w:jc w:val="right"/>
              <w:cnfStyle w:val="000000000000" w:firstRow="0" w:lastRow="0" w:firstColumn="0" w:lastColumn="0" w:oddVBand="0" w:evenVBand="0" w:oddHBand="0" w:evenHBand="0" w:firstRowFirstColumn="0" w:firstRowLastColumn="0" w:lastRowFirstColumn="0" w:lastRowLastColumn="0"/>
              <w:rPr>
                <w:rFonts w:cstheme="minorHAnsi"/>
                <w:i/>
                <w:iCs/>
              </w:rPr>
            </w:pPr>
            <w:r w:rsidRPr="00780E30">
              <w:rPr>
                <w:rFonts w:cstheme="minorHAnsi"/>
                <w:i/>
                <w:iCs/>
              </w:rPr>
              <w:t>79908</w:t>
            </w:r>
          </w:p>
        </w:tc>
        <w:tc>
          <w:tcPr>
            <w:tcW w:w="0" w:type="auto"/>
            <w:noWrap/>
            <w:vAlign w:val="bottom"/>
            <w:hideMark/>
          </w:tcPr>
          <w:p w14:paraId="4A0240C7" w14:textId="59C47639" w:rsidR="00780E30" w:rsidRPr="00780E30" w:rsidRDefault="00780E30" w:rsidP="00780E30">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BTNL8</w:t>
            </w:r>
          </w:p>
        </w:tc>
        <w:tc>
          <w:tcPr>
            <w:tcW w:w="0" w:type="auto"/>
            <w:noWrap/>
            <w:vAlign w:val="bottom"/>
            <w:hideMark/>
          </w:tcPr>
          <w:p w14:paraId="537BF712" w14:textId="77777777" w:rsidR="00780E30" w:rsidRPr="00C66693" w:rsidRDefault="00780E30" w:rsidP="00780E30">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color w:val="333333"/>
                <w:sz w:val="22"/>
                <w:szCs w:val="22"/>
              </w:rPr>
            </w:pPr>
          </w:p>
        </w:tc>
        <w:tc>
          <w:tcPr>
            <w:tcW w:w="0" w:type="auto"/>
            <w:noWrap/>
            <w:vAlign w:val="bottom"/>
            <w:hideMark/>
          </w:tcPr>
          <w:p w14:paraId="55C25324" w14:textId="60F85CEB" w:rsidR="00780E30" w:rsidRPr="00780E30" w:rsidRDefault="00780E30" w:rsidP="00780E30">
            <w:pPr>
              <w:jc w:val="right"/>
              <w:cnfStyle w:val="000000000000" w:firstRow="0" w:lastRow="0" w:firstColumn="0" w:lastColumn="0" w:oddVBand="0" w:evenVBand="0" w:oddHBand="0" w:evenHBand="0" w:firstRowFirstColumn="0" w:firstRowLastColumn="0" w:lastRowFirstColumn="0" w:lastRowLastColumn="0"/>
              <w:rPr>
                <w:rFonts w:cstheme="minorHAnsi"/>
                <w:i/>
                <w:iCs/>
              </w:rPr>
            </w:pPr>
            <w:r w:rsidRPr="00780E30">
              <w:rPr>
                <w:rFonts w:cstheme="minorHAnsi"/>
                <w:i/>
                <w:iCs/>
              </w:rPr>
              <w:t>10110</w:t>
            </w:r>
          </w:p>
        </w:tc>
        <w:tc>
          <w:tcPr>
            <w:tcW w:w="0" w:type="auto"/>
            <w:noWrap/>
            <w:vAlign w:val="bottom"/>
            <w:hideMark/>
          </w:tcPr>
          <w:p w14:paraId="1AFC719C" w14:textId="33119902" w:rsidR="00780E30" w:rsidRPr="00780E30" w:rsidRDefault="00780E30" w:rsidP="00780E30">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SGK2</w:t>
            </w:r>
          </w:p>
        </w:tc>
      </w:tr>
    </w:tbl>
    <w:p w14:paraId="317C9855" w14:textId="77777777" w:rsidR="00504CBB" w:rsidRDefault="00504CBB" w:rsidP="00504CBB"/>
    <w:p w14:paraId="3D65E8C5" w14:textId="77777777" w:rsidR="00504CBB" w:rsidRDefault="00504CBB" w:rsidP="008C1A7C"/>
    <w:p w14:paraId="491BE287" w14:textId="77777777" w:rsidR="00504CBB" w:rsidRPr="00504CBB" w:rsidRDefault="00504CBB">
      <w:pPr>
        <w:spacing w:before="0" w:after="0" w:line="240" w:lineRule="auto"/>
        <w:jc w:val="left"/>
      </w:pPr>
      <w:r w:rsidRPr="00504CBB">
        <w:lastRenderedPageBreak/>
        <w:br w:type="page"/>
      </w:r>
    </w:p>
    <w:p w14:paraId="67E99C15" w14:textId="77777777" w:rsidR="00211566" w:rsidRDefault="00E166D6" w:rsidP="00211566">
      <w:pPr>
        <w:keepNext/>
        <w:spacing w:before="0" w:after="0" w:line="240" w:lineRule="auto"/>
        <w:jc w:val="left"/>
      </w:pPr>
      <w:r>
        <w:rPr>
          <w:noProof/>
        </w:rPr>
        <w:lastRenderedPageBreak/>
        <w:drawing>
          <wp:inline distT="0" distB="0" distL="0" distR="0" wp14:anchorId="5C1FB3D6" wp14:editId="0420200A">
            <wp:extent cx="5756275" cy="4779875"/>
            <wp:effectExtent l="0" t="0" r="0" b="0"/>
            <wp:docPr id="2382392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t="5089"/>
                    <a:stretch>
                      <a:fillRect/>
                    </a:stretch>
                  </pic:blipFill>
                  <pic:spPr bwMode="auto">
                    <a:xfrm>
                      <a:off x="0" y="0"/>
                      <a:ext cx="5756275" cy="4779875"/>
                    </a:xfrm>
                    <a:prstGeom prst="rect">
                      <a:avLst/>
                    </a:prstGeom>
                    <a:noFill/>
                    <a:ln>
                      <a:noFill/>
                    </a:ln>
                    <a:extLst>
                      <a:ext uri="{53640926-AAD7-44D8-BBD7-CCE9431645EC}">
                        <a14:shadowObscured xmlns:a14="http://schemas.microsoft.com/office/drawing/2010/main"/>
                      </a:ext>
                    </a:extLst>
                  </pic:spPr>
                </pic:pic>
              </a:graphicData>
            </a:graphic>
          </wp:inline>
        </w:drawing>
      </w:r>
    </w:p>
    <w:p w14:paraId="07CD2312" w14:textId="54590364" w:rsidR="00504CBB" w:rsidRDefault="00211566" w:rsidP="00211566">
      <w:pPr>
        <w:pStyle w:val="Figuras"/>
      </w:pPr>
      <w:bookmarkStart w:id="69" w:name="_Toc238816326"/>
      <w:r>
        <w:t xml:space="preserve">Figura </w:t>
      </w:r>
      <w:r w:rsidR="0042512D">
        <w:t>A1</w:t>
      </w:r>
      <w:r w:rsidRPr="008665F0">
        <w:t xml:space="preserve">. </w:t>
      </w:r>
      <w:r w:rsidRPr="00211566">
        <w:t xml:space="preserve">Diagrama de </w:t>
      </w:r>
      <w:proofErr w:type="spellStart"/>
      <w:r w:rsidRPr="00211566">
        <w:t>Venn</w:t>
      </w:r>
      <w:proofErr w:type="spellEnd"/>
      <w:r w:rsidRPr="00211566">
        <w:t xml:space="preserve"> de los genes significativamente sobreexpresados (UP) en las seis cohortes del estudio.</w:t>
      </w:r>
      <w:bookmarkEnd w:id="69"/>
    </w:p>
    <w:p w14:paraId="50B6B79C" w14:textId="0CAEC806" w:rsidR="00211566" w:rsidRDefault="00211566">
      <w:pPr>
        <w:spacing w:before="0" w:after="0" w:line="240" w:lineRule="auto"/>
        <w:jc w:val="left"/>
      </w:pPr>
      <w:r>
        <w:br w:type="page"/>
      </w:r>
    </w:p>
    <w:p w14:paraId="27DDE938" w14:textId="77777777" w:rsidR="00211566" w:rsidRDefault="00211566" w:rsidP="00211566">
      <w:pPr>
        <w:keepNext/>
      </w:pPr>
      <w:r>
        <w:rPr>
          <w:noProof/>
        </w:rPr>
        <w:lastRenderedPageBreak/>
        <w:drawing>
          <wp:inline distT="0" distB="0" distL="0" distR="0" wp14:anchorId="553A73A5" wp14:editId="14794E39">
            <wp:extent cx="5756275" cy="4800657"/>
            <wp:effectExtent l="0" t="0" r="0" b="0"/>
            <wp:docPr id="601731832"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t="4677"/>
                    <a:stretch>
                      <a:fillRect/>
                    </a:stretch>
                  </pic:blipFill>
                  <pic:spPr bwMode="auto">
                    <a:xfrm>
                      <a:off x="0" y="0"/>
                      <a:ext cx="5756275" cy="4800657"/>
                    </a:xfrm>
                    <a:prstGeom prst="rect">
                      <a:avLst/>
                    </a:prstGeom>
                    <a:noFill/>
                    <a:ln>
                      <a:noFill/>
                    </a:ln>
                    <a:extLst>
                      <a:ext uri="{53640926-AAD7-44D8-BBD7-CCE9431645EC}">
                        <a14:shadowObscured xmlns:a14="http://schemas.microsoft.com/office/drawing/2010/main"/>
                      </a:ext>
                    </a:extLst>
                  </pic:spPr>
                </pic:pic>
              </a:graphicData>
            </a:graphic>
          </wp:inline>
        </w:drawing>
      </w:r>
    </w:p>
    <w:p w14:paraId="283C3452" w14:textId="7E60D1A9" w:rsidR="00211566" w:rsidRPr="00211566" w:rsidRDefault="00211566" w:rsidP="00211566">
      <w:pPr>
        <w:pStyle w:val="Figuras"/>
      </w:pPr>
      <w:bookmarkStart w:id="70" w:name="_Toc238816327"/>
      <w:r>
        <w:t xml:space="preserve">Figura </w:t>
      </w:r>
      <w:r w:rsidR="0042512D">
        <w:t>A2</w:t>
      </w:r>
      <w:r w:rsidRPr="007E4D2F">
        <w:t xml:space="preserve">. </w:t>
      </w:r>
      <w:r w:rsidRPr="00211566">
        <w:t xml:space="preserve">Diagrama de </w:t>
      </w:r>
      <w:proofErr w:type="spellStart"/>
      <w:r w:rsidRPr="00211566">
        <w:t>Venn</w:t>
      </w:r>
      <w:proofErr w:type="spellEnd"/>
      <w:r w:rsidRPr="00211566">
        <w:t xml:space="preserve"> de los genes significativamente subexpresados (DOWN) en las seis cohortes del estudio.</w:t>
      </w:r>
      <w:bookmarkEnd w:id="70"/>
    </w:p>
    <w:p w14:paraId="6691AC91" w14:textId="77777777" w:rsidR="00504CBB" w:rsidRDefault="00504CBB">
      <w:pPr>
        <w:spacing w:before="0" w:after="0" w:line="240" w:lineRule="auto"/>
        <w:jc w:val="left"/>
      </w:pPr>
    </w:p>
    <w:p w14:paraId="3F3F3E3C" w14:textId="71315411" w:rsidR="00211566" w:rsidRDefault="00211566">
      <w:pPr>
        <w:spacing w:before="0" w:after="0" w:line="240" w:lineRule="auto"/>
        <w:jc w:val="left"/>
      </w:pPr>
      <w:r>
        <w:br w:type="page"/>
      </w:r>
    </w:p>
    <w:p w14:paraId="0C72FE53" w14:textId="1B446BB8" w:rsidR="000D09A0" w:rsidRDefault="00534F5B" w:rsidP="00211566">
      <w:pPr>
        <w:pStyle w:val="Anexo"/>
      </w:pPr>
      <w:bookmarkStart w:id="71" w:name="_Toc239417064"/>
      <w:r w:rsidRPr="00534F5B">
        <w:lastRenderedPageBreak/>
        <w:t>Análisis Funcionales Secundarios</w:t>
      </w:r>
      <w:bookmarkEnd w:id="71"/>
      <w:r w:rsidRPr="00534F5B">
        <w:t xml:space="preserve"> </w:t>
      </w:r>
    </w:p>
    <w:p w14:paraId="16B0FF79" w14:textId="77777777" w:rsidR="00534F5B" w:rsidRDefault="00534F5B" w:rsidP="00534F5B">
      <w:pPr>
        <w:keepNext/>
        <w:spacing w:after="0"/>
        <w:jc w:val="center"/>
      </w:pPr>
      <w:r>
        <w:rPr>
          <w:noProof/>
        </w:rPr>
        <w:drawing>
          <wp:inline distT="0" distB="0" distL="0" distR="0" wp14:anchorId="3115EC6F" wp14:editId="3E15EE6F">
            <wp:extent cx="5276850" cy="4429125"/>
            <wp:effectExtent l="0" t="0" r="0" b="0"/>
            <wp:docPr id="2090528924"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40" cstate="print">
                      <a:extLst>
                        <a:ext uri="{28A0092B-C50C-407E-A947-70E740481C1C}">
                          <a14:useLocalDpi xmlns:a14="http://schemas.microsoft.com/office/drawing/2010/main" val="0"/>
                        </a:ext>
                      </a:extLst>
                    </a:blip>
                    <a:srcRect t="3727" r="8278"/>
                    <a:stretch>
                      <a:fillRect/>
                    </a:stretch>
                  </pic:blipFill>
                  <pic:spPr bwMode="auto">
                    <a:xfrm>
                      <a:off x="0" y="0"/>
                      <a:ext cx="5276850" cy="4429125"/>
                    </a:xfrm>
                    <a:prstGeom prst="rect">
                      <a:avLst/>
                    </a:prstGeom>
                    <a:noFill/>
                    <a:ln>
                      <a:noFill/>
                    </a:ln>
                    <a:extLst>
                      <a:ext uri="{53640926-AAD7-44D8-BBD7-CCE9431645EC}">
                        <a14:shadowObscured xmlns:a14="http://schemas.microsoft.com/office/drawing/2010/main"/>
                      </a:ext>
                    </a:extLst>
                  </pic:spPr>
                </pic:pic>
              </a:graphicData>
            </a:graphic>
          </wp:inline>
        </w:drawing>
      </w:r>
    </w:p>
    <w:p w14:paraId="351A74DA" w14:textId="2F549988" w:rsidR="00534F5B" w:rsidRDefault="00534F5B" w:rsidP="00534F5B">
      <w:pPr>
        <w:pStyle w:val="Figuras"/>
      </w:pPr>
      <w:bookmarkStart w:id="72" w:name="_Toc238816328"/>
      <w:r>
        <w:t xml:space="preserve">Figura B1. </w:t>
      </w:r>
      <w:r w:rsidRPr="004308A9">
        <w:t>Mapa de enriquecimiento (</w:t>
      </w:r>
      <w:proofErr w:type="spellStart"/>
      <w:r w:rsidRPr="004308A9">
        <w:t>emapplot</w:t>
      </w:r>
      <w:proofErr w:type="spellEnd"/>
      <w:r w:rsidRPr="004308A9">
        <w:t>) de los términos de Ontología Génica (GO) significativamente enriquecidos en el conjunto de genes consenso sobreexpresados.</w:t>
      </w:r>
      <w:bookmarkEnd w:id="72"/>
    </w:p>
    <w:p w14:paraId="2109BD75" w14:textId="77777777" w:rsidR="0009575F" w:rsidRDefault="0009575F" w:rsidP="0009575F">
      <w:pPr>
        <w:keepNext/>
        <w:jc w:val="center"/>
      </w:pPr>
      <w:r>
        <w:rPr>
          <w:noProof/>
        </w:rPr>
        <w:lastRenderedPageBreak/>
        <w:drawing>
          <wp:inline distT="0" distB="0" distL="0" distR="0" wp14:anchorId="7D910886" wp14:editId="6A4184A7">
            <wp:extent cx="5814060" cy="4349115"/>
            <wp:effectExtent l="0" t="0" r="0" b="0"/>
            <wp:docPr id="1722867917"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41" cstate="print">
                      <a:extLst>
                        <a:ext uri="{28A0092B-C50C-407E-A947-70E740481C1C}">
                          <a14:useLocalDpi xmlns:a14="http://schemas.microsoft.com/office/drawing/2010/main" val="0"/>
                        </a:ext>
                      </a:extLst>
                    </a:blip>
                    <a:srcRect t="5466" r="-1059"/>
                    <a:stretch>
                      <a:fillRect/>
                    </a:stretch>
                  </pic:blipFill>
                  <pic:spPr bwMode="auto">
                    <a:xfrm>
                      <a:off x="0" y="0"/>
                      <a:ext cx="5814060" cy="4349115"/>
                    </a:xfrm>
                    <a:prstGeom prst="rect">
                      <a:avLst/>
                    </a:prstGeom>
                    <a:noFill/>
                    <a:ln>
                      <a:noFill/>
                    </a:ln>
                    <a:extLst>
                      <a:ext uri="{53640926-AAD7-44D8-BBD7-CCE9431645EC}">
                        <a14:shadowObscured xmlns:a14="http://schemas.microsoft.com/office/drawing/2010/main"/>
                      </a:ext>
                    </a:extLst>
                  </pic:spPr>
                </pic:pic>
              </a:graphicData>
            </a:graphic>
          </wp:inline>
        </w:drawing>
      </w:r>
    </w:p>
    <w:p w14:paraId="31D1E323" w14:textId="2727FA04" w:rsidR="00534F5B" w:rsidRDefault="0009575F" w:rsidP="0009575F">
      <w:pPr>
        <w:pStyle w:val="Figuras"/>
      </w:pPr>
      <w:bookmarkStart w:id="73" w:name="_Toc238816329"/>
      <w:r>
        <w:t xml:space="preserve">Figura B2. </w:t>
      </w:r>
      <w:r w:rsidRPr="000B2CFC">
        <w:t>Gráfico de red gen-concepto (</w:t>
      </w:r>
      <w:proofErr w:type="spellStart"/>
      <w:r w:rsidRPr="000B2CFC">
        <w:t>cnetplot</w:t>
      </w:r>
      <w:proofErr w:type="spellEnd"/>
      <w:r w:rsidRPr="000B2CFC">
        <w:t>) de las rutas de la base de datos KEGG para los genes consenso sobreexpresados.</w:t>
      </w:r>
      <w:bookmarkEnd w:id="73"/>
    </w:p>
    <w:p w14:paraId="70FBE8E3" w14:textId="77777777" w:rsidR="0009575F" w:rsidRDefault="0009575F" w:rsidP="0009575F">
      <w:pPr>
        <w:keepNext/>
      </w:pPr>
      <w:r>
        <w:rPr>
          <w:noProof/>
        </w:rPr>
        <w:lastRenderedPageBreak/>
        <w:drawing>
          <wp:inline distT="0" distB="0" distL="0" distR="0" wp14:anchorId="70512B4D" wp14:editId="1FCBD89B">
            <wp:extent cx="5753100" cy="4419600"/>
            <wp:effectExtent l="0" t="0" r="0" b="0"/>
            <wp:docPr id="625356877"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t="3974"/>
                    <a:stretch>
                      <a:fillRect/>
                    </a:stretch>
                  </pic:blipFill>
                  <pic:spPr bwMode="auto">
                    <a:xfrm>
                      <a:off x="0" y="0"/>
                      <a:ext cx="5753100" cy="4419600"/>
                    </a:xfrm>
                    <a:prstGeom prst="rect">
                      <a:avLst/>
                    </a:prstGeom>
                    <a:noFill/>
                    <a:ln>
                      <a:noFill/>
                    </a:ln>
                    <a:extLst>
                      <a:ext uri="{53640926-AAD7-44D8-BBD7-CCE9431645EC}">
                        <a14:shadowObscured xmlns:a14="http://schemas.microsoft.com/office/drawing/2010/main"/>
                      </a:ext>
                    </a:extLst>
                  </pic:spPr>
                </pic:pic>
              </a:graphicData>
            </a:graphic>
          </wp:inline>
        </w:drawing>
      </w:r>
    </w:p>
    <w:p w14:paraId="306D8032" w14:textId="461C339B" w:rsidR="0009575F" w:rsidRDefault="0009575F" w:rsidP="0009575F">
      <w:pPr>
        <w:pStyle w:val="Figuras"/>
      </w:pPr>
      <w:bookmarkStart w:id="74" w:name="_Toc238816330"/>
      <w:r>
        <w:t xml:space="preserve">Figura B3. </w:t>
      </w:r>
      <w:r w:rsidRPr="00E239AD">
        <w:t>Mapa de enriquecimiento (</w:t>
      </w:r>
      <w:proofErr w:type="spellStart"/>
      <w:r w:rsidRPr="00E239AD">
        <w:t>emapplot</w:t>
      </w:r>
      <w:proofErr w:type="spellEnd"/>
      <w:r w:rsidRPr="00E239AD">
        <w:t>) de los términos de Ontología Génica (GO) significativamente enriquecidos en el conjunto de genes consenso subexpresados.</w:t>
      </w:r>
      <w:bookmarkEnd w:id="74"/>
    </w:p>
    <w:p w14:paraId="10E925FD" w14:textId="77777777" w:rsidR="0009575F" w:rsidRDefault="0009575F" w:rsidP="0009575F">
      <w:pPr>
        <w:keepNext/>
      </w:pPr>
      <w:r>
        <w:rPr>
          <w:noProof/>
        </w:rPr>
        <w:lastRenderedPageBreak/>
        <w:drawing>
          <wp:inline distT="0" distB="0" distL="0" distR="0" wp14:anchorId="3A906FCD" wp14:editId="1F767DFB">
            <wp:extent cx="5753100" cy="4366260"/>
            <wp:effectExtent l="0" t="0" r="0" b="0"/>
            <wp:docPr id="793975234"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43" cstate="print">
                      <a:extLst>
                        <a:ext uri="{28A0092B-C50C-407E-A947-70E740481C1C}">
                          <a14:useLocalDpi xmlns:a14="http://schemas.microsoft.com/office/drawing/2010/main" val="0"/>
                        </a:ext>
                      </a:extLst>
                    </a:blip>
                    <a:srcRect t="5132"/>
                    <a:stretch>
                      <a:fillRect/>
                    </a:stretch>
                  </pic:blipFill>
                  <pic:spPr bwMode="auto">
                    <a:xfrm>
                      <a:off x="0" y="0"/>
                      <a:ext cx="5753100" cy="4366260"/>
                    </a:xfrm>
                    <a:prstGeom prst="rect">
                      <a:avLst/>
                    </a:prstGeom>
                    <a:noFill/>
                    <a:ln>
                      <a:noFill/>
                    </a:ln>
                    <a:extLst>
                      <a:ext uri="{53640926-AAD7-44D8-BBD7-CCE9431645EC}">
                        <a14:shadowObscured xmlns:a14="http://schemas.microsoft.com/office/drawing/2010/main"/>
                      </a:ext>
                    </a:extLst>
                  </pic:spPr>
                </pic:pic>
              </a:graphicData>
            </a:graphic>
          </wp:inline>
        </w:drawing>
      </w:r>
    </w:p>
    <w:p w14:paraId="7F448D8A" w14:textId="2E7DC288" w:rsidR="0009575F" w:rsidRDefault="0009575F" w:rsidP="0009575F">
      <w:pPr>
        <w:pStyle w:val="Figuras"/>
      </w:pPr>
      <w:bookmarkStart w:id="75" w:name="_Toc238816331"/>
      <w:r>
        <w:t xml:space="preserve">Figura B4. </w:t>
      </w:r>
      <w:r w:rsidRPr="00BE01E7">
        <w:t>Gráfico de red gen-concepto (</w:t>
      </w:r>
      <w:proofErr w:type="spellStart"/>
      <w:r w:rsidRPr="00BE01E7">
        <w:t>cnetplot</w:t>
      </w:r>
      <w:proofErr w:type="spellEnd"/>
      <w:r w:rsidRPr="00BE01E7">
        <w:t>) de los términos de Ontología Génica (GO) para los genes consenso subexpresados.</w:t>
      </w:r>
      <w:bookmarkEnd w:id="75"/>
    </w:p>
    <w:p w14:paraId="4150380C" w14:textId="088105D2" w:rsidR="00835045" w:rsidRDefault="00835045" w:rsidP="00835045">
      <w:pPr>
        <w:spacing w:before="0" w:after="0" w:line="240" w:lineRule="auto"/>
        <w:jc w:val="left"/>
      </w:pPr>
      <w:r>
        <w:br w:type="page"/>
      </w:r>
    </w:p>
    <w:p w14:paraId="454C4F42" w14:textId="33EC2B57" w:rsidR="005E051B" w:rsidRDefault="005E051B" w:rsidP="005E051B">
      <w:pPr>
        <w:pStyle w:val="Anexo"/>
      </w:pPr>
      <w:bookmarkStart w:id="76" w:name="_Toc239417065"/>
      <w:r w:rsidRPr="005E051B">
        <w:lastRenderedPageBreak/>
        <w:t>Clasificación funcional de la firma consenso</w:t>
      </w:r>
      <w:bookmarkEnd w:id="76"/>
    </w:p>
    <w:p w14:paraId="2232326C" w14:textId="3D741B6E" w:rsidR="005E051B" w:rsidRDefault="005E051B" w:rsidP="005E051B">
      <w:pPr>
        <w:pStyle w:val="TtuloTDC"/>
      </w:pPr>
      <w:bookmarkStart w:id="77" w:name="_Toc238816337"/>
      <w:r>
        <w:t xml:space="preserve">Tabla C1. </w:t>
      </w:r>
      <w:r w:rsidRPr="001326D4">
        <w:t>Procesos biológicos clave y biomarcadores representativos de la firma consenso en adenocarcinoma de colon</w:t>
      </w:r>
      <w:r>
        <w:t>.</w:t>
      </w:r>
      <w:bookmarkEnd w:id="77"/>
    </w:p>
    <w:tbl>
      <w:tblPr>
        <w:tblStyle w:val="Tablaconcuadrcula7concolores"/>
        <w:tblW w:w="5000" w:type="pct"/>
        <w:tblLook w:val="04A0" w:firstRow="1" w:lastRow="0" w:firstColumn="1" w:lastColumn="0" w:noHBand="0" w:noVBand="1"/>
      </w:tblPr>
      <w:tblGrid>
        <w:gridCol w:w="2694"/>
        <w:gridCol w:w="2836"/>
        <w:gridCol w:w="3541"/>
      </w:tblGrid>
      <w:tr w:rsidR="005E051B" w:rsidRPr="00970175" w14:paraId="6E2A078B" w14:textId="77777777" w:rsidTr="00217040">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1485" w:type="pct"/>
            <w:vAlign w:val="center"/>
          </w:tcPr>
          <w:p w14:paraId="18163F47" w14:textId="66D0227B" w:rsidR="005E051B" w:rsidRPr="00E83CAD" w:rsidRDefault="005E051B" w:rsidP="005E051B">
            <w:pPr>
              <w:spacing w:before="0"/>
              <w:jc w:val="center"/>
              <w:rPr>
                <w:rFonts w:cstheme="minorHAnsi"/>
                <w:i w:val="0"/>
                <w:iCs w:val="0"/>
              </w:rPr>
            </w:pPr>
            <w:r w:rsidRPr="00E25E56">
              <w:t>Eje de Regulación</w:t>
            </w:r>
          </w:p>
        </w:tc>
        <w:tc>
          <w:tcPr>
            <w:tcW w:w="1563" w:type="pct"/>
            <w:vAlign w:val="center"/>
          </w:tcPr>
          <w:p w14:paraId="28863660" w14:textId="59C7C776" w:rsidR="005E051B" w:rsidRPr="00E83CAD" w:rsidRDefault="005E051B" w:rsidP="005E051B">
            <w:pPr>
              <w:spacing w:before="0"/>
              <w:jc w:val="center"/>
              <w:cnfStyle w:val="100000000000" w:firstRow="1" w:lastRow="0" w:firstColumn="0" w:lastColumn="0" w:oddVBand="0" w:evenVBand="0" w:oddHBand="0" w:evenHBand="0" w:firstRowFirstColumn="0" w:firstRowLastColumn="0" w:lastRowFirstColumn="0" w:lastRowLastColumn="0"/>
              <w:rPr>
                <w:rFonts w:cstheme="minorHAnsi"/>
                <w:i/>
                <w:iCs/>
              </w:rPr>
            </w:pPr>
            <w:r w:rsidRPr="00E25E56">
              <w:t>Ruta / Proceso Biológico</w:t>
            </w:r>
          </w:p>
        </w:tc>
        <w:tc>
          <w:tcPr>
            <w:tcW w:w="1952" w:type="pct"/>
            <w:vAlign w:val="center"/>
          </w:tcPr>
          <w:p w14:paraId="3FE0C177" w14:textId="603BE098" w:rsidR="005E051B" w:rsidRPr="00E83CAD" w:rsidRDefault="005E051B" w:rsidP="005E051B">
            <w:pPr>
              <w:spacing w:before="0"/>
              <w:jc w:val="center"/>
              <w:cnfStyle w:val="100000000000" w:firstRow="1" w:lastRow="0" w:firstColumn="0" w:lastColumn="0" w:oddVBand="0" w:evenVBand="0" w:oddHBand="0" w:evenHBand="0" w:firstRowFirstColumn="0" w:firstRowLastColumn="0" w:lastRowFirstColumn="0" w:lastRowLastColumn="0"/>
              <w:rPr>
                <w:rFonts w:cstheme="minorHAnsi"/>
                <w:i/>
                <w:iCs/>
              </w:rPr>
            </w:pPr>
            <w:r w:rsidRPr="00E25E56">
              <w:t>Genes Representativos de la Firma</w:t>
            </w:r>
          </w:p>
        </w:tc>
      </w:tr>
      <w:tr w:rsidR="005E051B" w:rsidRPr="00970175" w14:paraId="50FAFAEB" w14:textId="77777777" w:rsidTr="002170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85" w:type="pct"/>
            <w:vMerge w:val="restart"/>
            <w:tcBorders>
              <w:top w:val="single" w:sz="4" w:space="0" w:color="666666" w:themeColor="text1" w:themeTint="99"/>
            </w:tcBorders>
          </w:tcPr>
          <w:p w14:paraId="15B0FC68" w14:textId="7424022E" w:rsidR="005E051B" w:rsidRPr="00970175" w:rsidRDefault="005E051B" w:rsidP="005E051B">
            <w:pPr>
              <w:jc w:val="center"/>
              <w:rPr>
                <w:rFonts w:cstheme="minorHAnsi"/>
              </w:rPr>
            </w:pPr>
            <w:r w:rsidRPr="00E25E56">
              <w:t>Eje de Activación (Genes sobreexpresados en tejido tumoral)</w:t>
            </w:r>
          </w:p>
        </w:tc>
        <w:tc>
          <w:tcPr>
            <w:tcW w:w="1563" w:type="pct"/>
            <w:vAlign w:val="center"/>
          </w:tcPr>
          <w:p w14:paraId="41CFE4D8" w14:textId="24748C2F" w:rsidR="005E051B" w:rsidRPr="00970175" w:rsidRDefault="005E051B" w:rsidP="005E051B">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E25E56">
              <w:t xml:space="preserve">Remodelado de la matriz extracelular y estroma </w:t>
            </w:r>
            <w:proofErr w:type="spellStart"/>
            <w:r w:rsidRPr="00E25E56">
              <w:t>desmoplásico</w:t>
            </w:r>
            <w:proofErr w:type="spellEnd"/>
          </w:p>
        </w:tc>
        <w:tc>
          <w:tcPr>
            <w:tcW w:w="1952" w:type="pct"/>
            <w:vAlign w:val="center"/>
          </w:tcPr>
          <w:p w14:paraId="5F8AFBBF" w14:textId="2632A917" w:rsidR="005E051B" w:rsidRPr="00217040" w:rsidRDefault="005E051B" w:rsidP="005E051B">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217040">
              <w:t>COL1A1, COL4A1, COL8A1, COL12A1, MMP1, MMP3, MMP7, MMP11, ADAM12, ADAMTS6, ADAMTS12, SULF1, THBS2, TGFBI, SERPINH1, LOXL2, MFAP2, CTHRC1, SPP1, FAP</w:t>
            </w:r>
          </w:p>
        </w:tc>
      </w:tr>
      <w:tr w:rsidR="005E051B" w:rsidRPr="00970175" w14:paraId="634587CB" w14:textId="77777777" w:rsidTr="00217040">
        <w:tc>
          <w:tcPr>
            <w:cnfStyle w:val="001000000000" w:firstRow="0" w:lastRow="0" w:firstColumn="1" w:lastColumn="0" w:oddVBand="0" w:evenVBand="0" w:oddHBand="0" w:evenHBand="0" w:firstRowFirstColumn="0" w:firstRowLastColumn="0" w:lastRowFirstColumn="0" w:lastRowLastColumn="0"/>
            <w:tcW w:w="1485" w:type="pct"/>
            <w:vMerge/>
            <w:tcBorders>
              <w:top w:val="single" w:sz="4" w:space="0" w:color="auto"/>
            </w:tcBorders>
            <w:vAlign w:val="center"/>
          </w:tcPr>
          <w:p w14:paraId="093F2011" w14:textId="77777777" w:rsidR="005E051B" w:rsidRPr="00970175" w:rsidRDefault="005E051B" w:rsidP="005E051B">
            <w:pPr>
              <w:jc w:val="center"/>
              <w:rPr>
                <w:rFonts w:cstheme="minorHAnsi"/>
              </w:rPr>
            </w:pPr>
          </w:p>
        </w:tc>
        <w:tc>
          <w:tcPr>
            <w:tcW w:w="1563" w:type="pct"/>
            <w:vAlign w:val="center"/>
          </w:tcPr>
          <w:p w14:paraId="55BDF455" w14:textId="008D8BCF" w:rsidR="005E051B" w:rsidRPr="00970175" w:rsidRDefault="005E051B" w:rsidP="005E051B">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E25E56">
              <w:t xml:space="preserve">Transición epitelio-mesénquima (EMT), vía </w:t>
            </w:r>
            <w:proofErr w:type="spellStart"/>
            <w:r w:rsidRPr="00E25E56">
              <w:t>Wnt</w:t>
            </w:r>
            <w:proofErr w:type="spellEnd"/>
            <w:r w:rsidRPr="00E25E56">
              <w:t xml:space="preserve"> y fenotipo de célula madre</w:t>
            </w:r>
          </w:p>
        </w:tc>
        <w:tc>
          <w:tcPr>
            <w:tcW w:w="1952" w:type="pct"/>
            <w:vAlign w:val="center"/>
          </w:tcPr>
          <w:p w14:paraId="735337A5" w14:textId="51393D5E" w:rsidR="005E051B" w:rsidRPr="00217040" w:rsidRDefault="005E051B" w:rsidP="005E051B">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217040">
              <w:t>WNT2, CDH3, CEMIP, TWIST1, SNAI1, FOXQ1, ASCL2, MYC, SALL4, ETV4, CLDN1, CLDN2, TACSTD2, NKD2</w:t>
            </w:r>
          </w:p>
        </w:tc>
      </w:tr>
      <w:tr w:rsidR="005E051B" w:rsidRPr="00970175" w14:paraId="010C6CA2" w14:textId="77777777" w:rsidTr="002170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85" w:type="pct"/>
            <w:vMerge/>
            <w:tcBorders>
              <w:top w:val="single" w:sz="4" w:space="0" w:color="auto"/>
            </w:tcBorders>
            <w:vAlign w:val="center"/>
          </w:tcPr>
          <w:p w14:paraId="128889E7" w14:textId="77777777" w:rsidR="005E051B" w:rsidRPr="00970175" w:rsidRDefault="005E051B" w:rsidP="005E051B">
            <w:pPr>
              <w:jc w:val="center"/>
              <w:rPr>
                <w:rFonts w:cstheme="minorHAnsi"/>
              </w:rPr>
            </w:pPr>
          </w:p>
        </w:tc>
        <w:tc>
          <w:tcPr>
            <w:tcW w:w="1563" w:type="pct"/>
            <w:vAlign w:val="center"/>
          </w:tcPr>
          <w:p w14:paraId="1B1F28C1" w14:textId="1BF42FB2" w:rsidR="005E051B" w:rsidRPr="00970175" w:rsidRDefault="005E051B" w:rsidP="005E051B">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E25E56">
              <w:t>Proliferación, ciclo celular y mitosis</w:t>
            </w:r>
          </w:p>
        </w:tc>
        <w:tc>
          <w:tcPr>
            <w:tcW w:w="1952" w:type="pct"/>
            <w:vAlign w:val="center"/>
          </w:tcPr>
          <w:p w14:paraId="156B32AE" w14:textId="01D677DD" w:rsidR="005E051B" w:rsidRPr="00217040" w:rsidRDefault="005E051B" w:rsidP="005E051B">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217040">
              <w:t>UBE2C, ANLN, NUF2, ORC6, ECT2, TRIP13, SKA3, SHCBP1, UHRF1, DSCC1, CKAP2</w:t>
            </w:r>
          </w:p>
        </w:tc>
      </w:tr>
      <w:tr w:rsidR="005E051B" w:rsidRPr="00970175" w14:paraId="4AF55133" w14:textId="77777777" w:rsidTr="00217040">
        <w:tc>
          <w:tcPr>
            <w:cnfStyle w:val="001000000000" w:firstRow="0" w:lastRow="0" w:firstColumn="1" w:lastColumn="0" w:oddVBand="0" w:evenVBand="0" w:oddHBand="0" w:evenHBand="0" w:firstRowFirstColumn="0" w:firstRowLastColumn="0" w:lastRowFirstColumn="0" w:lastRowLastColumn="0"/>
            <w:tcW w:w="1485" w:type="pct"/>
            <w:vMerge/>
            <w:tcBorders>
              <w:top w:val="single" w:sz="4" w:space="0" w:color="auto"/>
            </w:tcBorders>
            <w:vAlign w:val="center"/>
          </w:tcPr>
          <w:p w14:paraId="008F5541" w14:textId="77777777" w:rsidR="005E051B" w:rsidRPr="00970175" w:rsidRDefault="005E051B" w:rsidP="005E051B">
            <w:pPr>
              <w:jc w:val="center"/>
              <w:rPr>
                <w:rFonts w:cstheme="minorHAnsi"/>
              </w:rPr>
            </w:pPr>
          </w:p>
        </w:tc>
        <w:tc>
          <w:tcPr>
            <w:tcW w:w="1563" w:type="pct"/>
            <w:vAlign w:val="center"/>
          </w:tcPr>
          <w:p w14:paraId="15C65790" w14:textId="1BC1159B" w:rsidR="005E051B" w:rsidRPr="00970175" w:rsidRDefault="005E051B" w:rsidP="005E051B">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E25E56">
              <w:t>Inflamación y quimiocinas</w:t>
            </w:r>
          </w:p>
        </w:tc>
        <w:tc>
          <w:tcPr>
            <w:tcW w:w="1952" w:type="pct"/>
            <w:vAlign w:val="center"/>
          </w:tcPr>
          <w:p w14:paraId="7519E496" w14:textId="59669741" w:rsidR="005E051B" w:rsidRPr="00217040" w:rsidRDefault="005E051B" w:rsidP="005E051B">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217040">
              <w:t>CXCL1, CXCL2, CXCL3, CXCL11, CHI3L1, TNFAIP6</w:t>
            </w:r>
          </w:p>
        </w:tc>
      </w:tr>
      <w:tr w:rsidR="005E051B" w:rsidRPr="00970175" w14:paraId="12B80B0B" w14:textId="77777777" w:rsidTr="002170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85" w:type="pct"/>
            <w:vMerge/>
            <w:tcBorders>
              <w:top w:val="single" w:sz="4" w:space="0" w:color="auto"/>
            </w:tcBorders>
            <w:vAlign w:val="center"/>
          </w:tcPr>
          <w:p w14:paraId="629FE909" w14:textId="77777777" w:rsidR="005E051B" w:rsidRPr="00970175" w:rsidRDefault="005E051B" w:rsidP="005E051B">
            <w:pPr>
              <w:jc w:val="center"/>
              <w:rPr>
                <w:rFonts w:cstheme="minorHAnsi"/>
              </w:rPr>
            </w:pPr>
          </w:p>
        </w:tc>
        <w:tc>
          <w:tcPr>
            <w:tcW w:w="1563" w:type="pct"/>
            <w:vAlign w:val="center"/>
          </w:tcPr>
          <w:p w14:paraId="2BBBECA4" w14:textId="4FC56F14" w:rsidR="005E051B" w:rsidRPr="00970175" w:rsidRDefault="005E051B" w:rsidP="005E051B">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E25E56">
              <w:t>Reprogramación metabólica e hipoxia</w:t>
            </w:r>
          </w:p>
        </w:tc>
        <w:tc>
          <w:tcPr>
            <w:tcW w:w="1952" w:type="pct"/>
            <w:vAlign w:val="center"/>
          </w:tcPr>
          <w:p w14:paraId="63721868" w14:textId="644343A1" w:rsidR="005E051B" w:rsidRPr="00217040" w:rsidRDefault="005E051B" w:rsidP="005E051B">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217040">
              <w:t>SQLE, SCD, PCSK9, PSAT1, PSPH, MTHFD1L, SLC7A5, SLC7A11, CA9, HILPDA, GPR4</w:t>
            </w:r>
          </w:p>
        </w:tc>
      </w:tr>
      <w:tr w:rsidR="005E051B" w:rsidRPr="00970175" w14:paraId="01588EF1" w14:textId="77777777" w:rsidTr="00217040">
        <w:tc>
          <w:tcPr>
            <w:cnfStyle w:val="001000000000" w:firstRow="0" w:lastRow="0" w:firstColumn="1" w:lastColumn="0" w:oddVBand="0" w:evenVBand="0" w:oddHBand="0" w:evenHBand="0" w:firstRowFirstColumn="0" w:firstRowLastColumn="0" w:lastRowFirstColumn="0" w:lastRowLastColumn="0"/>
            <w:tcW w:w="1485" w:type="pct"/>
            <w:vMerge/>
            <w:tcBorders>
              <w:top w:val="single" w:sz="4" w:space="0" w:color="auto"/>
            </w:tcBorders>
            <w:vAlign w:val="center"/>
          </w:tcPr>
          <w:p w14:paraId="68702BB4" w14:textId="77777777" w:rsidR="005E051B" w:rsidRPr="00970175" w:rsidRDefault="005E051B" w:rsidP="005E051B">
            <w:pPr>
              <w:spacing w:after="0"/>
              <w:jc w:val="center"/>
              <w:rPr>
                <w:rFonts w:cstheme="minorHAnsi"/>
              </w:rPr>
            </w:pPr>
          </w:p>
        </w:tc>
        <w:tc>
          <w:tcPr>
            <w:tcW w:w="1563" w:type="pct"/>
            <w:vAlign w:val="center"/>
          </w:tcPr>
          <w:p w14:paraId="324984AA" w14:textId="038670E0" w:rsidR="005E051B" w:rsidRPr="00970175" w:rsidRDefault="005E051B" w:rsidP="005E051B">
            <w:pPr>
              <w:spacing w:after="0"/>
              <w:jc w:val="center"/>
              <w:cnfStyle w:val="000000000000" w:firstRow="0" w:lastRow="0" w:firstColumn="0" w:lastColumn="0" w:oddVBand="0" w:evenVBand="0" w:oddHBand="0" w:evenHBand="0" w:firstRowFirstColumn="0" w:firstRowLastColumn="0" w:lastRowFirstColumn="0" w:lastRowLastColumn="0"/>
              <w:rPr>
                <w:rFonts w:cstheme="minorHAnsi"/>
              </w:rPr>
            </w:pPr>
            <w:r w:rsidRPr="00E25E56">
              <w:t>Factores de crecimiento y señalización celular</w:t>
            </w:r>
          </w:p>
        </w:tc>
        <w:tc>
          <w:tcPr>
            <w:tcW w:w="1952" w:type="pct"/>
            <w:vAlign w:val="center"/>
          </w:tcPr>
          <w:p w14:paraId="4973334B" w14:textId="57A4FEBD" w:rsidR="005E051B" w:rsidRPr="00217040" w:rsidRDefault="005E051B" w:rsidP="005E051B">
            <w:pPr>
              <w:spacing w:after="0"/>
              <w:jc w:val="center"/>
              <w:cnfStyle w:val="000000000000" w:firstRow="0" w:lastRow="0" w:firstColumn="0" w:lastColumn="0" w:oddVBand="0" w:evenVBand="0" w:oddHBand="0" w:evenHBand="0" w:firstRowFirstColumn="0" w:firstRowLastColumn="0" w:lastRowFirstColumn="0" w:lastRowLastColumn="0"/>
              <w:rPr>
                <w:rFonts w:cstheme="minorHAnsi"/>
              </w:rPr>
            </w:pPr>
            <w:r w:rsidRPr="00217040">
              <w:t>INHBA, EREG, MET, SERPINE1, PLAU, STC1, STC2</w:t>
            </w:r>
          </w:p>
        </w:tc>
      </w:tr>
      <w:tr w:rsidR="005E051B" w:rsidRPr="00970175" w14:paraId="5D8B656B" w14:textId="77777777" w:rsidTr="002170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85" w:type="pct"/>
            <w:vMerge w:val="restart"/>
          </w:tcPr>
          <w:p w14:paraId="23510F5B" w14:textId="47BEA71E" w:rsidR="005E051B" w:rsidRPr="00970175" w:rsidRDefault="005E051B" w:rsidP="005E051B">
            <w:pPr>
              <w:spacing w:after="0"/>
              <w:jc w:val="left"/>
              <w:rPr>
                <w:rFonts w:cstheme="minorHAnsi"/>
              </w:rPr>
            </w:pPr>
            <w:r w:rsidRPr="00E25E56">
              <w:lastRenderedPageBreak/>
              <w:t>Eje de Represión (Genes subexpresados en tejido tumoral)</w:t>
            </w:r>
          </w:p>
        </w:tc>
        <w:tc>
          <w:tcPr>
            <w:tcW w:w="1563" w:type="pct"/>
            <w:vAlign w:val="center"/>
          </w:tcPr>
          <w:p w14:paraId="77C6DB70" w14:textId="781DFD4A" w:rsidR="005E051B" w:rsidRPr="00E25E56" w:rsidRDefault="005E051B" w:rsidP="005E051B">
            <w:pPr>
              <w:spacing w:after="0"/>
              <w:jc w:val="center"/>
              <w:cnfStyle w:val="000000100000" w:firstRow="0" w:lastRow="0" w:firstColumn="0" w:lastColumn="0" w:oddVBand="0" w:evenVBand="0" w:oddHBand="1" w:evenHBand="0" w:firstRowFirstColumn="0" w:firstRowLastColumn="0" w:lastRowFirstColumn="0" w:lastRowLastColumn="0"/>
            </w:pPr>
            <w:r w:rsidRPr="00E25E56">
              <w:t xml:space="preserve">Función </w:t>
            </w:r>
            <w:proofErr w:type="spellStart"/>
            <w:r w:rsidRPr="00E25E56">
              <w:t>absortiva</w:t>
            </w:r>
            <w:proofErr w:type="spellEnd"/>
            <w:r w:rsidRPr="00E25E56">
              <w:t xml:space="preserve"> y secretora del colonocito diferenciado</w:t>
            </w:r>
          </w:p>
        </w:tc>
        <w:tc>
          <w:tcPr>
            <w:tcW w:w="1952" w:type="pct"/>
            <w:vAlign w:val="center"/>
          </w:tcPr>
          <w:p w14:paraId="22DD5F89" w14:textId="318B0675" w:rsidR="005E051B" w:rsidRPr="00217040" w:rsidRDefault="005E051B" w:rsidP="005E051B">
            <w:pPr>
              <w:spacing w:after="0"/>
              <w:jc w:val="center"/>
              <w:cnfStyle w:val="000000100000" w:firstRow="0" w:lastRow="0" w:firstColumn="0" w:lastColumn="0" w:oddVBand="0" w:evenVBand="0" w:oddHBand="1" w:evenHBand="0" w:firstRowFirstColumn="0" w:firstRowLastColumn="0" w:lastRowFirstColumn="0" w:lastRowLastColumn="0"/>
            </w:pPr>
            <w:r w:rsidRPr="00217040">
              <w:t>GUCA2A, GUCA2B, CA7, AQP8, BEST2, BEST4, OTOP2, SLC26A2, SCNN1B, SLC17A4, SLC23A1, ZG16, FCGBP, PIGR, MAL, CDHR5</w:t>
            </w:r>
          </w:p>
        </w:tc>
      </w:tr>
      <w:tr w:rsidR="005E051B" w:rsidRPr="00970175" w14:paraId="6694D0F2" w14:textId="77777777" w:rsidTr="00217040">
        <w:tc>
          <w:tcPr>
            <w:cnfStyle w:val="001000000000" w:firstRow="0" w:lastRow="0" w:firstColumn="1" w:lastColumn="0" w:oddVBand="0" w:evenVBand="0" w:oddHBand="0" w:evenHBand="0" w:firstRowFirstColumn="0" w:firstRowLastColumn="0" w:lastRowFirstColumn="0" w:lastRowLastColumn="0"/>
            <w:tcW w:w="1485" w:type="pct"/>
            <w:vMerge/>
            <w:vAlign w:val="center"/>
          </w:tcPr>
          <w:p w14:paraId="6938D3BD" w14:textId="77777777" w:rsidR="005E051B" w:rsidRPr="00E25E56" w:rsidRDefault="005E051B" w:rsidP="005E051B">
            <w:pPr>
              <w:spacing w:after="0"/>
              <w:jc w:val="center"/>
            </w:pPr>
          </w:p>
        </w:tc>
        <w:tc>
          <w:tcPr>
            <w:tcW w:w="1563" w:type="pct"/>
            <w:vAlign w:val="center"/>
          </w:tcPr>
          <w:p w14:paraId="441FDCCA" w14:textId="7620CCB2" w:rsidR="005E051B" w:rsidRPr="00E25E56" w:rsidRDefault="005E051B" w:rsidP="005E051B">
            <w:pPr>
              <w:spacing w:after="0"/>
              <w:jc w:val="center"/>
              <w:cnfStyle w:val="000000000000" w:firstRow="0" w:lastRow="0" w:firstColumn="0" w:lastColumn="0" w:oddVBand="0" w:evenVBand="0" w:oddHBand="0" w:evenHBand="0" w:firstRowFirstColumn="0" w:firstRowLastColumn="0" w:lastRowFirstColumn="0" w:lastRowLastColumn="0"/>
            </w:pPr>
            <w:r w:rsidRPr="00E25E56">
              <w:t xml:space="preserve">Compartimento </w:t>
            </w:r>
            <w:proofErr w:type="spellStart"/>
            <w:r w:rsidRPr="00E25E56">
              <w:t>enteroendocrino</w:t>
            </w:r>
            <w:proofErr w:type="spellEnd"/>
            <w:r w:rsidRPr="00E25E56">
              <w:t xml:space="preserve"> (hormonas y péptidos)</w:t>
            </w:r>
          </w:p>
        </w:tc>
        <w:tc>
          <w:tcPr>
            <w:tcW w:w="1952" w:type="pct"/>
            <w:vAlign w:val="center"/>
          </w:tcPr>
          <w:p w14:paraId="15661723" w14:textId="6359C15F" w:rsidR="005E051B" w:rsidRPr="00E25E56" w:rsidRDefault="005E051B" w:rsidP="005E051B">
            <w:pPr>
              <w:spacing w:after="0"/>
              <w:jc w:val="center"/>
              <w:cnfStyle w:val="000000000000" w:firstRow="0" w:lastRow="0" w:firstColumn="0" w:lastColumn="0" w:oddVBand="0" w:evenVBand="0" w:oddHBand="0" w:evenHBand="0" w:firstRowFirstColumn="0" w:firstRowLastColumn="0" w:lastRowFirstColumn="0" w:lastRowLastColumn="0"/>
            </w:pPr>
            <w:r w:rsidRPr="00E25E56">
              <w:t>CHGA, SST, PYY, GCG, INSL5, SCGN</w:t>
            </w:r>
          </w:p>
        </w:tc>
      </w:tr>
      <w:tr w:rsidR="005E051B" w:rsidRPr="00970175" w14:paraId="4DAFB659" w14:textId="77777777" w:rsidTr="002170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85" w:type="pct"/>
            <w:vMerge/>
            <w:vAlign w:val="center"/>
          </w:tcPr>
          <w:p w14:paraId="1FBE6FC1" w14:textId="77777777" w:rsidR="005E051B" w:rsidRPr="00E25E56" w:rsidRDefault="005E051B" w:rsidP="005E051B">
            <w:pPr>
              <w:spacing w:after="0"/>
              <w:jc w:val="center"/>
            </w:pPr>
          </w:p>
        </w:tc>
        <w:tc>
          <w:tcPr>
            <w:tcW w:w="1563" w:type="pct"/>
            <w:vAlign w:val="center"/>
          </w:tcPr>
          <w:p w14:paraId="67D20AB7" w14:textId="68F35BF5" w:rsidR="005E051B" w:rsidRPr="00E25E56" w:rsidRDefault="005E051B" w:rsidP="005E051B">
            <w:pPr>
              <w:spacing w:after="0"/>
              <w:jc w:val="center"/>
              <w:cnfStyle w:val="000000100000" w:firstRow="0" w:lastRow="0" w:firstColumn="0" w:lastColumn="0" w:oddVBand="0" w:evenVBand="0" w:oddHBand="1" w:evenHBand="0" w:firstRowFirstColumn="0" w:firstRowLastColumn="0" w:lastRowFirstColumn="0" w:lastRowLastColumn="0"/>
            </w:pPr>
            <w:r w:rsidRPr="00E25E56">
              <w:t xml:space="preserve">Antagonistas de la vía </w:t>
            </w:r>
            <w:proofErr w:type="spellStart"/>
            <w:r w:rsidRPr="00E25E56">
              <w:t>Wnt</w:t>
            </w:r>
            <w:proofErr w:type="spellEnd"/>
            <w:r w:rsidRPr="00E25E56">
              <w:t xml:space="preserve"> y supresores tumorales</w:t>
            </w:r>
          </w:p>
        </w:tc>
        <w:tc>
          <w:tcPr>
            <w:tcW w:w="1952" w:type="pct"/>
            <w:vAlign w:val="center"/>
          </w:tcPr>
          <w:p w14:paraId="7FF1F2E1" w14:textId="5B1BA7DC" w:rsidR="005E051B" w:rsidRPr="00E25E56" w:rsidRDefault="005E051B" w:rsidP="005E051B">
            <w:pPr>
              <w:spacing w:after="0"/>
              <w:jc w:val="center"/>
              <w:cnfStyle w:val="000000100000" w:firstRow="0" w:lastRow="0" w:firstColumn="0" w:lastColumn="0" w:oddVBand="0" w:evenVBand="0" w:oddHBand="1" w:evenHBand="0" w:firstRowFirstColumn="0" w:firstRowLastColumn="0" w:lastRowFirstColumn="0" w:lastRowLastColumn="0"/>
            </w:pPr>
            <w:r w:rsidRPr="00E25E56">
              <w:t>SFRP1, BMP3, GREM2, CDKN2B-AS1, PDCD4, HPGD</w:t>
            </w:r>
          </w:p>
        </w:tc>
      </w:tr>
      <w:tr w:rsidR="005E051B" w:rsidRPr="00970175" w14:paraId="334230FF" w14:textId="77777777" w:rsidTr="00217040">
        <w:tc>
          <w:tcPr>
            <w:cnfStyle w:val="001000000000" w:firstRow="0" w:lastRow="0" w:firstColumn="1" w:lastColumn="0" w:oddVBand="0" w:evenVBand="0" w:oddHBand="0" w:evenHBand="0" w:firstRowFirstColumn="0" w:firstRowLastColumn="0" w:lastRowFirstColumn="0" w:lastRowLastColumn="0"/>
            <w:tcW w:w="1485" w:type="pct"/>
            <w:vMerge/>
            <w:vAlign w:val="center"/>
          </w:tcPr>
          <w:p w14:paraId="37349BFA" w14:textId="77777777" w:rsidR="005E051B" w:rsidRPr="00E25E56" w:rsidRDefault="005E051B" w:rsidP="005E051B">
            <w:pPr>
              <w:spacing w:after="0"/>
              <w:jc w:val="center"/>
            </w:pPr>
          </w:p>
        </w:tc>
        <w:tc>
          <w:tcPr>
            <w:tcW w:w="1563" w:type="pct"/>
            <w:vAlign w:val="center"/>
          </w:tcPr>
          <w:p w14:paraId="785092C5" w14:textId="0D5E71A5" w:rsidR="005E051B" w:rsidRPr="00E25E56" w:rsidRDefault="005E051B" w:rsidP="005E051B">
            <w:pPr>
              <w:spacing w:after="0"/>
              <w:jc w:val="center"/>
              <w:cnfStyle w:val="000000000000" w:firstRow="0" w:lastRow="0" w:firstColumn="0" w:lastColumn="0" w:oddVBand="0" w:evenVBand="0" w:oddHBand="0" w:evenHBand="0" w:firstRowFirstColumn="0" w:firstRowLastColumn="0" w:lastRowFirstColumn="0" w:lastRowLastColumn="0"/>
            </w:pPr>
            <w:proofErr w:type="spellStart"/>
            <w:r w:rsidRPr="00E25E56">
              <w:t>Metalotioneínas</w:t>
            </w:r>
            <w:proofErr w:type="spellEnd"/>
            <w:r w:rsidRPr="00E25E56">
              <w:t xml:space="preserve"> (represión coordinada)</w:t>
            </w:r>
          </w:p>
        </w:tc>
        <w:tc>
          <w:tcPr>
            <w:tcW w:w="1952" w:type="pct"/>
            <w:vAlign w:val="center"/>
          </w:tcPr>
          <w:p w14:paraId="461B7E4F" w14:textId="7B3A7398" w:rsidR="005E051B" w:rsidRPr="00E25E56" w:rsidRDefault="005E051B" w:rsidP="005E051B">
            <w:pPr>
              <w:spacing w:after="0"/>
              <w:jc w:val="center"/>
              <w:cnfStyle w:val="000000000000" w:firstRow="0" w:lastRow="0" w:firstColumn="0" w:lastColumn="0" w:oddVBand="0" w:evenVBand="0" w:oddHBand="0" w:evenHBand="0" w:firstRowFirstColumn="0" w:firstRowLastColumn="0" w:lastRowFirstColumn="0" w:lastRowLastColumn="0"/>
            </w:pPr>
            <w:r w:rsidRPr="00E25E56">
              <w:t>MT1E, MT1F, MT1G, MT1H, MT1M</w:t>
            </w:r>
          </w:p>
        </w:tc>
      </w:tr>
      <w:tr w:rsidR="005E051B" w:rsidRPr="00970175" w14:paraId="5175990C" w14:textId="77777777" w:rsidTr="002170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85" w:type="pct"/>
            <w:vMerge/>
            <w:vAlign w:val="center"/>
          </w:tcPr>
          <w:p w14:paraId="35A3B425" w14:textId="77777777" w:rsidR="005E051B" w:rsidRPr="00E25E56" w:rsidRDefault="005E051B" w:rsidP="005E051B">
            <w:pPr>
              <w:spacing w:after="0"/>
              <w:jc w:val="center"/>
            </w:pPr>
          </w:p>
        </w:tc>
        <w:tc>
          <w:tcPr>
            <w:tcW w:w="1563" w:type="pct"/>
            <w:vAlign w:val="center"/>
          </w:tcPr>
          <w:p w14:paraId="6442AE28" w14:textId="277D3F3F" w:rsidR="005E051B" w:rsidRPr="00E25E56" w:rsidRDefault="005E051B" w:rsidP="005E051B">
            <w:pPr>
              <w:spacing w:after="0"/>
              <w:jc w:val="center"/>
              <w:cnfStyle w:val="000000100000" w:firstRow="0" w:lastRow="0" w:firstColumn="0" w:lastColumn="0" w:oddVBand="0" w:evenVBand="0" w:oddHBand="1" w:evenHBand="0" w:firstRowFirstColumn="0" w:firstRowLastColumn="0" w:lastRowFirstColumn="0" w:lastRowLastColumn="0"/>
            </w:pPr>
            <w:r w:rsidRPr="00E25E56">
              <w:t>Detoxificación y metabolismo de xenobióticos</w:t>
            </w:r>
          </w:p>
        </w:tc>
        <w:tc>
          <w:tcPr>
            <w:tcW w:w="1952" w:type="pct"/>
            <w:vAlign w:val="center"/>
          </w:tcPr>
          <w:p w14:paraId="6D200FA4" w14:textId="0AF01E38" w:rsidR="005E051B" w:rsidRPr="00E25E56" w:rsidRDefault="005E051B" w:rsidP="005E051B">
            <w:pPr>
              <w:spacing w:after="0"/>
              <w:jc w:val="center"/>
              <w:cnfStyle w:val="000000100000" w:firstRow="0" w:lastRow="0" w:firstColumn="0" w:lastColumn="0" w:oddVBand="0" w:evenVBand="0" w:oddHBand="1" w:evenHBand="0" w:firstRowFirstColumn="0" w:firstRowLastColumn="0" w:lastRowFirstColumn="0" w:lastRowLastColumn="0"/>
            </w:pPr>
            <w:r w:rsidRPr="00E25E56">
              <w:t>ADH1B, ADH1C, SULT1A1, SULT1A2, SULT1B1, GSTM5, CES3, HSD17B2</w:t>
            </w:r>
          </w:p>
        </w:tc>
      </w:tr>
      <w:tr w:rsidR="005E051B" w:rsidRPr="00970175" w14:paraId="0966AB6D" w14:textId="77777777" w:rsidTr="00217040">
        <w:tc>
          <w:tcPr>
            <w:cnfStyle w:val="001000000000" w:firstRow="0" w:lastRow="0" w:firstColumn="1" w:lastColumn="0" w:oddVBand="0" w:evenVBand="0" w:oddHBand="0" w:evenHBand="0" w:firstRowFirstColumn="0" w:firstRowLastColumn="0" w:lastRowFirstColumn="0" w:lastRowLastColumn="0"/>
            <w:tcW w:w="1485" w:type="pct"/>
            <w:vMerge/>
            <w:vAlign w:val="center"/>
          </w:tcPr>
          <w:p w14:paraId="3E78A1DB" w14:textId="77777777" w:rsidR="005E051B" w:rsidRPr="00E25E56" w:rsidRDefault="005E051B" w:rsidP="005E051B">
            <w:pPr>
              <w:spacing w:after="0"/>
              <w:jc w:val="center"/>
            </w:pPr>
          </w:p>
        </w:tc>
        <w:tc>
          <w:tcPr>
            <w:tcW w:w="1563" w:type="pct"/>
            <w:vAlign w:val="center"/>
          </w:tcPr>
          <w:p w14:paraId="34E61C8F" w14:textId="42CB2BAC" w:rsidR="005E051B" w:rsidRPr="00E25E56" w:rsidRDefault="005E051B" w:rsidP="005E051B">
            <w:pPr>
              <w:spacing w:after="0"/>
              <w:jc w:val="center"/>
              <w:cnfStyle w:val="000000000000" w:firstRow="0" w:lastRow="0" w:firstColumn="0" w:lastColumn="0" w:oddVBand="0" w:evenVBand="0" w:oddHBand="0" w:evenHBand="0" w:firstRowFirstColumn="0" w:firstRowLastColumn="0" w:lastRowFirstColumn="0" w:lastRowLastColumn="0"/>
            </w:pPr>
            <w:r w:rsidRPr="00E25E56">
              <w:t>Metabolismo energético del colonocito</w:t>
            </w:r>
          </w:p>
        </w:tc>
        <w:tc>
          <w:tcPr>
            <w:tcW w:w="1952" w:type="pct"/>
            <w:vAlign w:val="center"/>
          </w:tcPr>
          <w:p w14:paraId="7AE27728" w14:textId="07572C5F" w:rsidR="005E051B" w:rsidRPr="00E25E56" w:rsidRDefault="005E051B" w:rsidP="005E051B">
            <w:pPr>
              <w:spacing w:after="0"/>
              <w:jc w:val="center"/>
              <w:cnfStyle w:val="000000000000" w:firstRow="0" w:lastRow="0" w:firstColumn="0" w:lastColumn="0" w:oddVBand="0" w:evenVBand="0" w:oddHBand="0" w:evenHBand="0" w:firstRowFirstColumn="0" w:firstRowLastColumn="0" w:lastRowFirstColumn="0" w:lastRowLastColumn="0"/>
            </w:pPr>
            <w:r w:rsidRPr="00E25E56">
              <w:t>HMGCS2, PPARGC1A, ACADS, CKB</w:t>
            </w:r>
          </w:p>
        </w:tc>
      </w:tr>
    </w:tbl>
    <w:p w14:paraId="11E21388" w14:textId="551D60CF" w:rsidR="00E25E56" w:rsidRPr="004A1570" w:rsidRDefault="00E25E56" w:rsidP="00E25E56"/>
    <w:sectPr w:rsidR="00E25E56" w:rsidRPr="004A1570" w:rsidSect="000757FF">
      <w:headerReference w:type="default" r:id="rId44"/>
      <w:footerReference w:type="default" r:id="rId45"/>
      <w:pgSz w:w="11906" w:h="16838"/>
      <w:pgMar w:top="1418" w:right="1134" w:bottom="1418"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718363" w14:textId="77777777" w:rsidR="004A64D1" w:rsidRDefault="004A64D1" w:rsidP="006403BD">
      <w:r>
        <w:separator/>
      </w:r>
    </w:p>
  </w:endnote>
  <w:endnote w:type="continuationSeparator" w:id="0">
    <w:p w14:paraId="6A643A7F" w14:textId="77777777" w:rsidR="004A64D1" w:rsidRDefault="004A64D1" w:rsidP="006403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UnitOT-Light">
    <w:altName w:val="Calibri"/>
    <w:panose1 w:val="00000000000000000000"/>
    <w:charset w:val="00"/>
    <w:family w:val="swiss"/>
    <w:notTrueType/>
    <w:pitch w:val="variable"/>
    <w:sig w:usb0="800000EF" w:usb1="5000207B" w:usb2="00000028" w:usb3="00000000" w:csb0="00000001" w:csb1="00000000"/>
  </w:font>
  <w:font w:name="Open Sans">
    <w:altName w:val="Calibri"/>
    <w:charset w:val="00"/>
    <w:family w:val="swiss"/>
    <w:pitch w:val="variable"/>
    <w:sig w:usb0="E00002EF" w:usb1="4000205B" w:usb2="00000028" w:usb3="00000000" w:csb0="000001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638AA" w14:textId="6F31FF9A" w:rsidR="00A75783" w:rsidRPr="00751A0E" w:rsidRDefault="00A75783" w:rsidP="006403BD">
    <w:pPr>
      <w:pStyle w:val="Pgina"/>
    </w:pPr>
    <w:r w:rsidRPr="00751A0E">
      <w:fldChar w:fldCharType="begin"/>
    </w:r>
    <w:r w:rsidRPr="00751A0E">
      <w:instrText>PAGE   \* MERGEFORMAT</w:instrText>
    </w:r>
    <w:r w:rsidRPr="00751A0E">
      <w:fldChar w:fldCharType="separate"/>
    </w:r>
    <w:r w:rsidR="003D1A96">
      <w:rPr>
        <w:noProof/>
      </w:rPr>
      <w:t>13</w:t>
    </w:r>
    <w:r w:rsidRPr="00751A0E">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C02BF0" w14:textId="77777777" w:rsidR="004A64D1" w:rsidRDefault="004A64D1" w:rsidP="006403BD">
      <w:r>
        <w:separator/>
      </w:r>
    </w:p>
  </w:footnote>
  <w:footnote w:type="continuationSeparator" w:id="0">
    <w:p w14:paraId="04140FD4" w14:textId="77777777" w:rsidR="004A64D1" w:rsidRDefault="004A64D1" w:rsidP="006403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CFD18" w14:textId="45395754" w:rsidR="00A75783" w:rsidRPr="00ED1546" w:rsidRDefault="0045010B" w:rsidP="00B918ED">
    <w:pPr>
      <w:pStyle w:val="Encabezado"/>
      <w:spacing w:before="0" w:after="0" w:line="276" w:lineRule="auto"/>
      <w:jc w:val="right"/>
      <w:rPr>
        <w:rFonts w:asciiTheme="majorHAnsi" w:hAnsiTheme="majorHAnsi"/>
        <w:sz w:val="20"/>
      </w:rPr>
    </w:pPr>
    <w:r>
      <w:rPr>
        <w:rFonts w:asciiTheme="majorHAnsi" w:hAnsiTheme="majorHAnsi"/>
        <w:sz w:val="20"/>
      </w:rPr>
      <w:t>Verónica Cabeza de Vaca Tocino</w:t>
    </w:r>
  </w:p>
  <w:p w14:paraId="28EE2F0F" w14:textId="77777777" w:rsidR="00B918ED" w:rsidRDefault="00210654" w:rsidP="00B918ED">
    <w:pPr>
      <w:pStyle w:val="Sinespaciado"/>
      <w:jc w:val="right"/>
      <w:rPr>
        <w:rFonts w:asciiTheme="majorHAnsi" w:hAnsiTheme="majorHAnsi"/>
        <w:sz w:val="20"/>
      </w:rPr>
    </w:pPr>
    <w:r w:rsidRPr="00210654">
      <w:rPr>
        <w:rFonts w:asciiTheme="majorHAnsi" w:hAnsiTheme="majorHAnsi"/>
        <w:sz w:val="20"/>
      </w:rPr>
      <w:t>Análisis de expresión diferencial en adenocarcinoma colorrectal:</w:t>
    </w:r>
  </w:p>
  <w:p w14:paraId="488BB47A" w14:textId="18B0F126" w:rsidR="00A75783" w:rsidRPr="00B918ED" w:rsidRDefault="00210654" w:rsidP="00B918ED">
    <w:pPr>
      <w:pStyle w:val="Sinespaciado"/>
      <w:spacing w:line="276" w:lineRule="auto"/>
      <w:jc w:val="right"/>
      <w:rPr>
        <w:rFonts w:asciiTheme="majorHAnsi" w:hAnsiTheme="majorHAnsi"/>
        <w:sz w:val="18"/>
        <w:szCs w:val="20"/>
      </w:rPr>
    </w:pPr>
    <w:r w:rsidRPr="00B918ED">
      <w:rPr>
        <w:rFonts w:asciiTheme="majorHAnsi" w:hAnsiTheme="majorHAnsi"/>
        <w:sz w:val="18"/>
        <w:szCs w:val="20"/>
      </w:rPr>
      <w:t>Integración y validación de datasets de dominio público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1.25pt" o:bullet="t">
        <v:imagedata r:id="rId1" o:title="msoFFE0"/>
      </v:shape>
    </w:pict>
  </w:numPicBullet>
  <w:abstractNum w:abstractNumId="0" w15:restartNumberingAfterBreak="0">
    <w:nsid w:val="04E91B53"/>
    <w:multiLevelType w:val="hybridMultilevel"/>
    <w:tmpl w:val="EC6EEB66"/>
    <w:lvl w:ilvl="0" w:tplc="F8F0A42E">
      <w:start w:val="1"/>
      <w:numFmt w:val="upperLetter"/>
      <w:pStyle w:val="Anexo"/>
      <w:lvlText w:val="Anexo %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58203DB"/>
    <w:multiLevelType w:val="multilevel"/>
    <w:tmpl w:val="53544B6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450FBF"/>
    <w:multiLevelType w:val="hybridMultilevel"/>
    <w:tmpl w:val="91B428A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3F8536D"/>
    <w:multiLevelType w:val="hybridMultilevel"/>
    <w:tmpl w:val="640489B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49677B6"/>
    <w:multiLevelType w:val="multilevel"/>
    <w:tmpl w:val="8938C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6F1347"/>
    <w:multiLevelType w:val="multilevel"/>
    <w:tmpl w:val="3B2A38A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B12850"/>
    <w:multiLevelType w:val="multilevel"/>
    <w:tmpl w:val="58E82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005109"/>
    <w:multiLevelType w:val="multilevel"/>
    <w:tmpl w:val="2D14CD0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B75C76"/>
    <w:multiLevelType w:val="multilevel"/>
    <w:tmpl w:val="A3D23FE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D03B6D"/>
    <w:multiLevelType w:val="multilevel"/>
    <w:tmpl w:val="F28A2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0C77D1"/>
    <w:multiLevelType w:val="multilevel"/>
    <w:tmpl w:val="D2162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00796F"/>
    <w:multiLevelType w:val="hybridMultilevel"/>
    <w:tmpl w:val="E20EBC04"/>
    <w:lvl w:ilvl="0" w:tplc="0C0A0007">
      <w:start w:val="1"/>
      <w:numFmt w:val="bullet"/>
      <w:lvlText w:val=""/>
      <w:lvlPicBulletId w:val="0"/>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3520386A"/>
    <w:multiLevelType w:val="multilevel"/>
    <w:tmpl w:val="72D0393A"/>
    <w:lvl w:ilvl="0">
      <w:start w:val="1"/>
      <w:numFmt w:val="decimal"/>
      <w:lvlText w:val="%1."/>
      <w:lvlJc w:val="left"/>
      <w:pPr>
        <w:ind w:left="360" w:hanging="360"/>
      </w:pPr>
      <w:rPr>
        <w:rFonts w:hint="default"/>
      </w:rPr>
    </w:lvl>
    <w:lvl w:ilvl="1">
      <w:start w:val="1"/>
      <w:numFmt w:val="decimal"/>
      <w:lvlText w:val="%1.%2"/>
      <w:lvlJc w:val="left"/>
      <w:pPr>
        <w:ind w:left="1284" w:hanging="576"/>
      </w:pPr>
    </w:lvl>
    <w:lvl w:ilvl="2">
      <w:start w:val="1"/>
      <w:numFmt w:val="decimal"/>
      <w:lvlText w:val="%1.%2.%3"/>
      <w:lvlJc w:val="left"/>
      <w:pPr>
        <w:ind w:left="1428" w:hanging="720"/>
      </w:pPr>
    </w:lvl>
    <w:lvl w:ilvl="3">
      <w:start w:val="1"/>
      <w:numFmt w:val="decimal"/>
      <w:lvlText w:val="%1.%2.%3.%4"/>
      <w:lvlJc w:val="left"/>
      <w:pPr>
        <w:ind w:left="1572" w:hanging="864"/>
      </w:pPr>
    </w:lvl>
    <w:lvl w:ilvl="4">
      <w:start w:val="1"/>
      <w:numFmt w:val="decimal"/>
      <w:pStyle w:val="Ttulo5"/>
      <w:lvlText w:val="%1.%2.%3.%4.%5"/>
      <w:lvlJc w:val="left"/>
      <w:pPr>
        <w:ind w:left="1716" w:hanging="1008"/>
      </w:pPr>
    </w:lvl>
    <w:lvl w:ilvl="5">
      <w:start w:val="1"/>
      <w:numFmt w:val="decimal"/>
      <w:pStyle w:val="Ttulo6"/>
      <w:lvlText w:val="%1.%2.%3.%4.%5.%6"/>
      <w:lvlJc w:val="left"/>
      <w:pPr>
        <w:ind w:left="1860" w:hanging="1152"/>
      </w:pPr>
    </w:lvl>
    <w:lvl w:ilvl="6">
      <w:start w:val="1"/>
      <w:numFmt w:val="decimal"/>
      <w:pStyle w:val="Ttulo7"/>
      <w:lvlText w:val="%1.%2.%3.%4.%5.%6.%7"/>
      <w:lvlJc w:val="left"/>
      <w:pPr>
        <w:ind w:left="2004" w:hanging="1296"/>
      </w:pPr>
    </w:lvl>
    <w:lvl w:ilvl="7">
      <w:start w:val="1"/>
      <w:numFmt w:val="decimal"/>
      <w:pStyle w:val="Ttulo8"/>
      <w:lvlText w:val="%1.%2.%3.%4.%5.%6.%7.%8"/>
      <w:lvlJc w:val="left"/>
      <w:pPr>
        <w:ind w:left="2148" w:hanging="1440"/>
      </w:pPr>
    </w:lvl>
    <w:lvl w:ilvl="8">
      <w:start w:val="1"/>
      <w:numFmt w:val="decimal"/>
      <w:pStyle w:val="Ttulo9"/>
      <w:lvlText w:val="%1.%2.%3.%4.%5.%6.%7.%8.%9"/>
      <w:lvlJc w:val="left"/>
      <w:pPr>
        <w:ind w:left="2292" w:hanging="1584"/>
      </w:pPr>
    </w:lvl>
  </w:abstractNum>
  <w:abstractNum w:abstractNumId="13" w15:restartNumberingAfterBreak="0">
    <w:nsid w:val="38472A09"/>
    <w:multiLevelType w:val="multilevel"/>
    <w:tmpl w:val="A950F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237770"/>
    <w:multiLevelType w:val="multilevel"/>
    <w:tmpl w:val="7C1CE5A4"/>
    <w:lvl w:ilvl="0">
      <w:start w:val="1"/>
      <w:numFmt w:val="bullet"/>
      <w:lvlText w:val=""/>
      <w:lvlJc w:val="left"/>
      <w:pPr>
        <w:tabs>
          <w:tab w:val="num" w:pos="720"/>
        </w:tabs>
        <w:ind w:left="720" w:hanging="360"/>
      </w:pPr>
      <w:rPr>
        <w:rFonts w:ascii="Wingdings" w:hAnsi="Wingdings"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367AFA"/>
    <w:multiLevelType w:val="multilevel"/>
    <w:tmpl w:val="22904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493F9F"/>
    <w:multiLevelType w:val="hybridMultilevel"/>
    <w:tmpl w:val="E640BAB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55ED3D9D"/>
    <w:multiLevelType w:val="multilevel"/>
    <w:tmpl w:val="E5EE9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451181"/>
    <w:multiLevelType w:val="multilevel"/>
    <w:tmpl w:val="83106C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8D2A45"/>
    <w:multiLevelType w:val="multilevel"/>
    <w:tmpl w:val="AB347B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330692"/>
    <w:multiLevelType w:val="multilevel"/>
    <w:tmpl w:val="64B87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851D42"/>
    <w:multiLevelType w:val="hybridMultilevel"/>
    <w:tmpl w:val="6D2A54F6"/>
    <w:lvl w:ilvl="0" w:tplc="DFF68480">
      <w:start w:val="1"/>
      <w:numFmt w:val="decimal"/>
      <w:pStyle w:val="ndice1"/>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6A1911D1"/>
    <w:multiLevelType w:val="multilevel"/>
    <w:tmpl w:val="78FAB4A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946A08"/>
    <w:multiLevelType w:val="multilevel"/>
    <w:tmpl w:val="90EE6564"/>
    <w:lvl w:ilvl="0">
      <w:start w:val="1"/>
      <w:numFmt w:val="decimal"/>
      <w:pStyle w:val="Ttulo1"/>
      <w:lvlText w:val="%1."/>
      <w:lvlJc w:val="left"/>
      <w:pPr>
        <w:ind w:left="360" w:hanging="360"/>
      </w:pPr>
    </w:lvl>
    <w:lvl w:ilvl="1">
      <w:start w:val="1"/>
      <w:numFmt w:val="decimal"/>
      <w:pStyle w:val="Ttulo2"/>
      <w:lvlText w:val="%1.%2."/>
      <w:lvlJc w:val="left"/>
      <w:pPr>
        <w:ind w:left="792" w:hanging="432"/>
      </w:pPr>
    </w:lvl>
    <w:lvl w:ilvl="2">
      <w:start w:val="1"/>
      <w:numFmt w:val="decimal"/>
      <w:pStyle w:val="Ttulo3"/>
      <w:lvlText w:val="%1.%2.%3."/>
      <w:lvlJc w:val="left"/>
      <w:pPr>
        <w:ind w:left="504" w:hanging="504"/>
      </w:pPr>
    </w:lvl>
    <w:lvl w:ilvl="3">
      <w:start w:val="1"/>
      <w:numFmt w:val="decimal"/>
      <w:pStyle w:val="Ttulo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728813E9"/>
    <w:multiLevelType w:val="multilevel"/>
    <w:tmpl w:val="F32A1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C56F43"/>
    <w:multiLevelType w:val="multilevel"/>
    <w:tmpl w:val="7DEEA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72F16A9"/>
    <w:multiLevelType w:val="multilevel"/>
    <w:tmpl w:val="27DEC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4210916">
    <w:abstractNumId w:val="12"/>
  </w:num>
  <w:num w:numId="2" w16cid:durableId="1725180126">
    <w:abstractNumId w:val="21"/>
  </w:num>
  <w:num w:numId="3" w16cid:durableId="1373191755">
    <w:abstractNumId w:val="23"/>
  </w:num>
  <w:num w:numId="4" w16cid:durableId="1800225754">
    <w:abstractNumId w:val="0"/>
  </w:num>
  <w:num w:numId="5" w16cid:durableId="1570993768">
    <w:abstractNumId w:val="16"/>
  </w:num>
  <w:num w:numId="6" w16cid:durableId="1142305122">
    <w:abstractNumId w:val="3"/>
  </w:num>
  <w:num w:numId="7" w16cid:durableId="777069553">
    <w:abstractNumId w:val="5"/>
  </w:num>
  <w:num w:numId="8" w16cid:durableId="1869873788">
    <w:abstractNumId w:val="2"/>
  </w:num>
  <w:num w:numId="9" w16cid:durableId="1099911986">
    <w:abstractNumId w:val="24"/>
  </w:num>
  <w:num w:numId="10" w16cid:durableId="1096949127">
    <w:abstractNumId w:val="25"/>
  </w:num>
  <w:num w:numId="11" w16cid:durableId="1459450979">
    <w:abstractNumId w:val="8"/>
  </w:num>
  <w:num w:numId="12" w16cid:durableId="141969660">
    <w:abstractNumId w:val="1"/>
  </w:num>
  <w:num w:numId="13" w16cid:durableId="692001352">
    <w:abstractNumId w:val="13"/>
  </w:num>
  <w:num w:numId="14" w16cid:durableId="788937597">
    <w:abstractNumId w:val="10"/>
  </w:num>
  <w:num w:numId="15" w16cid:durableId="193856012">
    <w:abstractNumId w:val="11"/>
  </w:num>
  <w:num w:numId="16" w16cid:durableId="1549339595">
    <w:abstractNumId w:val="19"/>
  </w:num>
  <w:num w:numId="17" w16cid:durableId="1156343722">
    <w:abstractNumId w:val="17"/>
  </w:num>
  <w:num w:numId="18" w16cid:durableId="1902131742">
    <w:abstractNumId w:val="4"/>
  </w:num>
  <w:num w:numId="19" w16cid:durableId="1252541976">
    <w:abstractNumId w:val="14"/>
  </w:num>
  <w:num w:numId="20" w16cid:durableId="383918182">
    <w:abstractNumId w:val="20"/>
  </w:num>
  <w:num w:numId="21" w16cid:durableId="753821656">
    <w:abstractNumId w:val="26"/>
  </w:num>
  <w:num w:numId="22" w16cid:durableId="1867135654">
    <w:abstractNumId w:val="22"/>
  </w:num>
  <w:num w:numId="23" w16cid:durableId="2132698124">
    <w:abstractNumId w:val="7"/>
  </w:num>
  <w:num w:numId="24" w16cid:durableId="972057532">
    <w:abstractNumId w:val="18"/>
  </w:num>
  <w:num w:numId="25" w16cid:durableId="1175926088">
    <w:abstractNumId w:val="9"/>
  </w:num>
  <w:num w:numId="26" w16cid:durableId="375928959">
    <w:abstractNumId w:val="6"/>
  </w:num>
  <w:num w:numId="27" w16cid:durableId="1941640443">
    <w:abstractNumId w:val="15"/>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grammar="clean"/>
  <w:stylePaneSortMethod w:val="0000"/>
  <w:defaultTabStop w:val="68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7BAD"/>
    <w:rsid w:val="000012A4"/>
    <w:rsid w:val="00001BAB"/>
    <w:rsid w:val="000044B5"/>
    <w:rsid w:val="00010319"/>
    <w:rsid w:val="00010788"/>
    <w:rsid w:val="00015E06"/>
    <w:rsid w:val="00026621"/>
    <w:rsid w:val="00027819"/>
    <w:rsid w:val="00027EE3"/>
    <w:rsid w:val="00034DA4"/>
    <w:rsid w:val="000456EB"/>
    <w:rsid w:val="00045819"/>
    <w:rsid w:val="00057543"/>
    <w:rsid w:val="00061CF2"/>
    <w:rsid w:val="0007060E"/>
    <w:rsid w:val="000757FF"/>
    <w:rsid w:val="00081560"/>
    <w:rsid w:val="000909C0"/>
    <w:rsid w:val="000952B8"/>
    <w:rsid w:val="0009575F"/>
    <w:rsid w:val="000A1265"/>
    <w:rsid w:val="000A1D34"/>
    <w:rsid w:val="000A4C4B"/>
    <w:rsid w:val="000A4E1B"/>
    <w:rsid w:val="000B0531"/>
    <w:rsid w:val="000B31A9"/>
    <w:rsid w:val="000C144C"/>
    <w:rsid w:val="000C349A"/>
    <w:rsid w:val="000D09A0"/>
    <w:rsid w:val="000D6545"/>
    <w:rsid w:val="000D689F"/>
    <w:rsid w:val="000E0FD0"/>
    <w:rsid w:val="000E1D0B"/>
    <w:rsid w:val="000E3449"/>
    <w:rsid w:val="000F1403"/>
    <w:rsid w:val="000F2BB6"/>
    <w:rsid w:val="00101A07"/>
    <w:rsid w:val="00102321"/>
    <w:rsid w:val="001035E4"/>
    <w:rsid w:val="00105530"/>
    <w:rsid w:val="00110C2E"/>
    <w:rsid w:val="00112527"/>
    <w:rsid w:val="00112F8B"/>
    <w:rsid w:val="00113976"/>
    <w:rsid w:val="00115357"/>
    <w:rsid w:val="001158D7"/>
    <w:rsid w:val="00124F61"/>
    <w:rsid w:val="00136B06"/>
    <w:rsid w:val="0014379E"/>
    <w:rsid w:val="001450C2"/>
    <w:rsid w:val="0015173D"/>
    <w:rsid w:val="001526D9"/>
    <w:rsid w:val="00152E4A"/>
    <w:rsid w:val="001538B9"/>
    <w:rsid w:val="001545C0"/>
    <w:rsid w:val="00156396"/>
    <w:rsid w:val="00156CF0"/>
    <w:rsid w:val="00157A5E"/>
    <w:rsid w:val="0016080C"/>
    <w:rsid w:val="001654D6"/>
    <w:rsid w:val="00171619"/>
    <w:rsid w:val="001716B0"/>
    <w:rsid w:val="00171720"/>
    <w:rsid w:val="001724F1"/>
    <w:rsid w:val="0017435A"/>
    <w:rsid w:val="00176DFC"/>
    <w:rsid w:val="00186D35"/>
    <w:rsid w:val="00191BAD"/>
    <w:rsid w:val="00192283"/>
    <w:rsid w:val="00192AB2"/>
    <w:rsid w:val="00193015"/>
    <w:rsid w:val="00194057"/>
    <w:rsid w:val="001944A5"/>
    <w:rsid w:val="001944D1"/>
    <w:rsid w:val="00194969"/>
    <w:rsid w:val="00197B1C"/>
    <w:rsid w:val="001A1785"/>
    <w:rsid w:val="001A39A6"/>
    <w:rsid w:val="001A47E3"/>
    <w:rsid w:val="001A5EE7"/>
    <w:rsid w:val="001A60FF"/>
    <w:rsid w:val="001A75C7"/>
    <w:rsid w:val="001B59CD"/>
    <w:rsid w:val="001B665F"/>
    <w:rsid w:val="001C2AB4"/>
    <w:rsid w:val="001C2FB3"/>
    <w:rsid w:val="001C4EA4"/>
    <w:rsid w:val="001C6115"/>
    <w:rsid w:val="001C6DFC"/>
    <w:rsid w:val="001D0B3F"/>
    <w:rsid w:val="001D3280"/>
    <w:rsid w:val="001D46C8"/>
    <w:rsid w:val="001D76E5"/>
    <w:rsid w:val="001E19BF"/>
    <w:rsid w:val="001E1F0B"/>
    <w:rsid w:val="001E247D"/>
    <w:rsid w:val="001E61D6"/>
    <w:rsid w:val="001E62CD"/>
    <w:rsid w:val="001F0874"/>
    <w:rsid w:val="001F4380"/>
    <w:rsid w:val="00202AE3"/>
    <w:rsid w:val="002033D4"/>
    <w:rsid w:val="002048BF"/>
    <w:rsid w:val="0020605D"/>
    <w:rsid w:val="0020681F"/>
    <w:rsid w:val="002079D1"/>
    <w:rsid w:val="002101BA"/>
    <w:rsid w:val="00210654"/>
    <w:rsid w:val="00210A5E"/>
    <w:rsid w:val="00211566"/>
    <w:rsid w:val="00213E2C"/>
    <w:rsid w:val="00214FD5"/>
    <w:rsid w:val="00215F8A"/>
    <w:rsid w:val="002161B1"/>
    <w:rsid w:val="00216B8C"/>
    <w:rsid w:val="00217040"/>
    <w:rsid w:val="0021713E"/>
    <w:rsid w:val="002208A0"/>
    <w:rsid w:val="002219D1"/>
    <w:rsid w:val="0022642B"/>
    <w:rsid w:val="00230663"/>
    <w:rsid w:val="00232216"/>
    <w:rsid w:val="00233039"/>
    <w:rsid w:val="00234ECD"/>
    <w:rsid w:val="00235CE3"/>
    <w:rsid w:val="00236588"/>
    <w:rsid w:val="002411BA"/>
    <w:rsid w:val="0024258C"/>
    <w:rsid w:val="002448BB"/>
    <w:rsid w:val="00244EAD"/>
    <w:rsid w:val="00247CA7"/>
    <w:rsid w:val="00247D12"/>
    <w:rsid w:val="0025091C"/>
    <w:rsid w:val="00250A22"/>
    <w:rsid w:val="00251D7E"/>
    <w:rsid w:val="00252BBA"/>
    <w:rsid w:val="00257BF5"/>
    <w:rsid w:val="00257C76"/>
    <w:rsid w:val="00260264"/>
    <w:rsid w:val="00261CAD"/>
    <w:rsid w:val="0026307A"/>
    <w:rsid w:val="00266CBA"/>
    <w:rsid w:val="00267950"/>
    <w:rsid w:val="002702EE"/>
    <w:rsid w:val="002752A5"/>
    <w:rsid w:val="002767AF"/>
    <w:rsid w:val="002823A4"/>
    <w:rsid w:val="00286FA5"/>
    <w:rsid w:val="00287807"/>
    <w:rsid w:val="0029077B"/>
    <w:rsid w:val="00291EEB"/>
    <w:rsid w:val="00292D7F"/>
    <w:rsid w:val="00294BBD"/>
    <w:rsid w:val="0029620A"/>
    <w:rsid w:val="00297F12"/>
    <w:rsid w:val="002A00EB"/>
    <w:rsid w:val="002A4866"/>
    <w:rsid w:val="002A7058"/>
    <w:rsid w:val="002B16E2"/>
    <w:rsid w:val="002B2EA1"/>
    <w:rsid w:val="002B3E99"/>
    <w:rsid w:val="002C452F"/>
    <w:rsid w:val="002C6516"/>
    <w:rsid w:val="002C7241"/>
    <w:rsid w:val="002C7A1D"/>
    <w:rsid w:val="002D115A"/>
    <w:rsid w:val="002D7961"/>
    <w:rsid w:val="002E749D"/>
    <w:rsid w:val="002F12CC"/>
    <w:rsid w:val="002F3B63"/>
    <w:rsid w:val="002F3EDE"/>
    <w:rsid w:val="00301157"/>
    <w:rsid w:val="00302B9F"/>
    <w:rsid w:val="003030D8"/>
    <w:rsid w:val="00304A51"/>
    <w:rsid w:val="00305E66"/>
    <w:rsid w:val="00306984"/>
    <w:rsid w:val="00312BF6"/>
    <w:rsid w:val="003214F9"/>
    <w:rsid w:val="00326C7F"/>
    <w:rsid w:val="0033324A"/>
    <w:rsid w:val="00340BCD"/>
    <w:rsid w:val="003447EF"/>
    <w:rsid w:val="00347FD4"/>
    <w:rsid w:val="003503FC"/>
    <w:rsid w:val="00351F6A"/>
    <w:rsid w:val="00352D17"/>
    <w:rsid w:val="0035422F"/>
    <w:rsid w:val="00356901"/>
    <w:rsid w:val="0036091E"/>
    <w:rsid w:val="00362147"/>
    <w:rsid w:val="00370A6D"/>
    <w:rsid w:val="00372141"/>
    <w:rsid w:val="00381CA1"/>
    <w:rsid w:val="00382E79"/>
    <w:rsid w:val="003861B8"/>
    <w:rsid w:val="0038724F"/>
    <w:rsid w:val="00390AD0"/>
    <w:rsid w:val="00391942"/>
    <w:rsid w:val="0039226D"/>
    <w:rsid w:val="00393570"/>
    <w:rsid w:val="003A1203"/>
    <w:rsid w:val="003A1298"/>
    <w:rsid w:val="003A3320"/>
    <w:rsid w:val="003A48C9"/>
    <w:rsid w:val="003A4A72"/>
    <w:rsid w:val="003A582A"/>
    <w:rsid w:val="003A7518"/>
    <w:rsid w:val="003B057C"/>
    <w:rsid w:val="003B10F9"/>
    <w:rsid w:val="003B11B8"/>
    <w:rsid w:val="003B5B46"/>
    <w:rsid w:val="003B65DA"/>
    <w:rsid w:val="003B6702"/>
    <w:rsid w:val="003C309A"/>
    <w:rsid w:val="003C313B"/>
    <w:rsid w:val="003C34AF"/>
    <w:rsid w:val="003C39D5"/>
    <w:rsid w:val="003C662C"/>
    <w:rsid w:val="003D1A96"/>
    <w:rsid w:val="003D662C"/>
    <w:rsid w:val="003E034B"/>
    <w:rsid w:val="003E2044"/>
    <w:rsid w:val="003E69D9"/>
    <w:rsid w:val="003F0EF0"/>
    <w:rsid w:val="003F152D"/>
    <w:rsid w:val="003F24BC"/>
    <w:rsid w:val="003F7331"/>
    <w:rsid w:val="00402386"/>
    <w:rsid w:val="00402AA8"/>
    <w:rsid w:val="004030C4"/>
    <w:rsid w:val="00411F73"/>
    <w:rsid w:val="00412220"/>
    <w:rsid w:val="00416F2B"/>
    <w:rsid w:val="0042072C"/>
    <w:rsid w:val="004207C1"/>
    <w:rsid w:val="00422153"/>
    <w:rsid w:val="00423E85"/>
    <w:rsid w:val="0042512D"/>
    <w:rsid w:val="004251FD"/>
    <w:rsid w:val="00425F34"/>
    <w:rsid w:val="0043345F"/>
    <w:rsid w:val="004334A0"/>
    <w:rsid w:val="00436FA0"/>
    <w:rsid w:val="004408D1"/>
    <w:rsid w:val="00442BB5"/>
    <w:rsid w:val="00443A83"/>
    <w:rsid w:val="00447B8F"/>
    <w:rsid w:val="0045010B"/>
    <w:rsid w:val="00454956"/>
    <w:rsid w:val="00454E8D"/>
    <w:rsid w:val="00462CC1"/>
    <w:rsid w:val="00465FDE"/>
    <w:rsid w:val="00472B82"/>
    <w:rsid w:val="00480656"/>
    <w:rsid w:val="00480A14"/>
    <w:rsid w:val="00480FF2"/>
    <w:rsid w:val="00481F58"/>
    <w:rsid w:val="0048445F"/>
    <w:rsid w:val="004848FD"/>
    <w:rsid w:val="00490EAC"/>
    <w:rsid w:val="00495DF1"/>
    <w:rsid w:val="004A1570"/>
    <w:rsid w:val="004A2304"/>
    <w:rsid w:val="004A34DB"/>
    <w:rsid w:val="004A399C"/>
    <w:rsid w:val="004A64D1"/>
    <w:rsid w:val="004A7399"/>
    <w:rsid w:val="004B1E4E"/>
    <w:rsid w:val="004B2FED"/>
    <w:rsid w:val="004B392B"/>
    <w:rsid w:val="004B4551"/>
    <w:rsid w:val="004B48D2"/>
    <w:rsid w:val="004B4D36"/>
    <w:rsid w:val="004C2687"/>
    <w:rsid w:val="004C324E"/>
    <w:rsid w:val="004C332E"/>
    <w:rsid w:val="004C36AE"/>
    <w:rsid w:val="004D0A96"/>
    <w:rsid w:val="004D23EF"/>
    <w:rsid w:val="004D3460"/>
    <w:rsid w:val="004D4883"/>
    <w:rsid w:val="004D496A"/>
    <w:rsid w:val="004E0C6F"/>
    <w:rsid w:val="004E12B3"/>
    <w:rsid w:val="004E13D1"/>
    <w:rsid w:val="004E1E1A"/>
    <w:rsid w:val="004E21D3"/>
    <w:rsid w:val="004F0B0B"/>
    <w:rsid w:val="004F46ED"/>
    <w:rsid w:val="0050122C"/>
    <w:rsid w:val="00504CBB"/>
    <w:rsid w:val="00506743"/>
    <w:rsid w:val="00507BAD"/>
    <w:rsid w:val="005131C2"/>
    <w:rsid w:val="00514164"/>
    <w:rsid w:val="0051435E"/>
    <w:rsid w:val="00516EBA"/>
    <w:rsid w:val="0051706D"/>
    <w:rsid w:val="0052065A"/>
    <w:rsid w:val="00521A79"/>
    <w:rsid w:val="00521B10"/>
    <w:rsid w:val="00522A4E"/>
    <w:rsid w:val="00522F37"/>
    <w:rsid w:val="005259A1"/>
    <w:rsid w:val="005324F0"/>
    <w:rsid w:val="0053259F"/>
    <w:rsid w:val="00533A54"/>
    <w:rsid w:val="00534F5B"/>
    <w:rsid w:val="00535B54"/>
    <w:rsid w:val="00535F17"/>
    <w:rsid w:val="00541116"/>
    <w:rsid w:val="00542779"/>
    <w:rsid w:val="0054292D"/>
    <w:rsid w:val="00553ECF"/>
    <w:rsid w:val="00554595"/>
    <w:rsid w:val="00555E36"/>
    <w:rsid w:val="00560B0F"/>
    <w:rsid w:val="00570271"/>
    <w:rsid w:val="00570B97"/>
    <w:rsid w:val="00577BE2"/>
    <w:rsid w:val="0058330C"/>
    <w:rsid w:val="00584275"/>
    <w:rsid w:val="005861D3"/>
    <w:rsid w:val="005935A7"/>
    <w:rsid w:val="00596BE5"/>
    <w:rsid w:val="005A2B04"/>
    <w:rsid w:val="005A2BC1"/>
    <w:rsid w:val="005A30CC"/>
    <w:rsid w:val="005A72EE"/>
    <w:rsid w:val="005B2775"/>
    <w:rsid w:val="005B457F"/>
    <w:rsid w:val="005B4D7E"/>
    <w:rsid w:val="005B62FD"/>
    <w:rsid w:val="005B64DB"/>
    <w:rsid w:val="005B771F"/>
    <w:rsid w:val="005C420C"/>
    <w:rsid w:val="005C68D4"/>
    <w:rsid w:val="005D1A0A"/>
    <w:rsid w:val="005D549B"/>
    <w:rsid w:val="005E051B"/>
    <w:rsid w:val="005E52D3"/>
    <w:rsid w:val="005E6EA4"/>
    <w:rsid w:val="005F6136"/>
    <w:rsid w:val="005F67B0"/>
    <w:rsid w:val="006008F9"/>
    <w:rsid w:val="00603464"/>
    <w:rsid w:val="00603505"/>
    <w:rsid w:val="00603DA5"/>
    <w:rsid w:val="006055C8"/>
    <w:rsid w:val="006059BC"/>
    <w:rsid w:val="00612913"/>
    <w:rsid w:val="0061495F"/>
    <w:rsid w:val="00617ED8"/>
    <w:rsid w:val="006212C8"/>
    <w:rsid w:val="0062183B"/>
    <w:rsid w:val="00625861"/>
    <w:rsid w:val="00625C75"/>
    <w:rsid w:val="00625DF3"/>
    <w:rsid w:val="00626873"/>
    <w:rsid w:val="006339BA"/>
    <w:rsid w:val="00637E89"/>
    <w:rsid w:val="006403BD"/>
    <w:rsid w:val="0064600C"/>
    <w:rsid w:val="006555A8"/>
    <w:rsid w:val="0065650A"/>
    <w:rsid w:val="00656F44"/>
    <w:rsid w:val="0066234E"/>
    <w:rsid w:val="006626D9"/>
    <w:rsid w:val="00662E75"/>
    <w:rsid w:val="00664405"/>
    <w:rsid w:val="00665203"/>
    <w:rsid w:val="00665961"/>
    <w:rsid w:val="006663E8"/>
    <w:rsid w:val="0066672A"/>
    <w:rsid w:val="0066759C"/>
    <w:rsid w:val="00670B3B"/>
    <w:rsid w:val="0067275F"/>
    <w:rsid w:val="00673D42"/>
    <w:rsid w:val="006761D3"/>
    <w:rsid w:val="0067645E"/>
    <w:rsid w:val="006770A3"/>
    <w:rsid w:val="00686052"/>
    <w:rsid w:val="00691570"/>
    <w:rsid w:val="00691E3D"/>
    <w:rsid w:val="00692D10"/>
    <w:rsid w:val="00693159"/>
    <w:rsid w:val="00693776"/>
    <w:rsid w:val="006A23E8"/>
    <w:rsid w:val="006A2DBE"/>
    <w:rsid w:val="006A4177"/>
    <w:rsid w:val="006A4AF7"/>
    <w:rsid w:val="006A4CA7"/>
    <w:rsid w:val="006A56B3"/>
    <w:rsid w:val="006A7207"/>
    <w:rsid w:val="006B02A7"/>
    <w:rsid w:val="006B03EB"/>
    <w:rsid w:val="006B24A2"/>
    <w:rsid w:val="006B4026"/>
    <w:rsid w:val="006B79E9"/>
    <w:rsid w:val="006C2772"/>
    <w:rsid w:val="006C2F48"/>
    <w:rsid w:val="006C7485"/>
    <w:rsid w:val="006C74AA"/>
    <w:rsid w:val="006C7B4D"/>
    <w:rsid w:val="006D0106"/>
    <w:rsid w:val="006D1143"/>
    <w:rsid w:val="006D5921"/>
    <w:rsid w:val="006D7B06"/>
    <w:rsid w:val="006E0913"/>
    <w:rsid w:val="006E3EE4"/>
    <w:rsid w:val="006E43DB"/>
    <w:rsid w:val="006E7682"/>
    <w:rsid w:val="006E7A51"/>
    <w:rsid w:val="006F1B52"/>
    <w:rsid w:val="006F2CB9"/>
    <w:rsid w:val="006F334E"/>
    <w:rsid w:val="006F6046"/>
    <w:rsid w:val="007014F0"/>
    <w:rsid w:val="00711745"/>
    <w:rsid w:val="00711904"/>
    <w:rsid w:val="00720247"/>
    <w:rsid w:val="00723BD1"/>
    <w:rsid w:val="00727AE8"/>
    <w:rsid w:val="007302DE"/>
    <w:rsid w:val="0073352A"/>
    <w:rsid w:val="007344C0"/>
    <w:rsid w:val="0074543F"/>
    <w:rsid w:val="00750978"/>
    <w:rsid w:val="0075177E"/>
    <w:rsid w:val="00751A0E"/>
    <w:rsid w:val="00751ECC"/>
    <w:rsid w:val="00753B44"/>
    <w:rsid w:val="00754B43"/>
    <w:rsid w:val="00760FA0"/>
    <w:rsid w:val="0076227F"/>
    <w:rsid w:val="00763EFA"/>
    <w:rsid w:val="00764534"/>
    <w:rsid w:val="00764C47"/>
    <w:rsid w:val="0076503B"/>
    <w:rsid w:val="00765267"/>
    <w:rsid w:val="00766E7A"/>
    <w:rsid w:val="00772968"/>
    <w:rsid w:val="0077673C"/>
    <w:rsid w:val="00777E29"/>
    <w:rsid w:val="00780E30"/>
    <w:rsid w:val="00783DCC"/>
    <w:rsid w:val="00785991"/>
    <w:rsid w:val="00787763"/>
    <w:rsid w:val="00791528"/>
    <w:rsid w:val="00793FDB"/>
    <w:rsid w:val="00797AFE"/>
    <w:rsid w:val="00797FD0"/>
    <w:rsid w:val="007A0683"/>
    <w:rsid w:val="007A4577"/>
    <w:rsid w:val="007A53FA"/>
    <w:rsid w:val="007A5865"/>
    <w:rsid w:val="007B3093"/>
    <w:rsid w:val="007B3CFB"/>
    <w:rsid w:val="007B5C11"/>
    <w:rsid w:val="007B76BF"/>
    <w:rsid w:val="007B7DF9"/>
    <w:rsid w:val="007C6B9D"/>
    <w:rsid w:val="007C6BB2"/>
    <w:rsid w:val="007D21DA"/>
    <w:rsid w:val="007E0007"/>
    <w:rsid w:val="007E091D"/>
    <w:rsid w:val="007E0C1A"/>
    <w:rsid w:val="007E20B6"/>
    <w:rsid w:val="007E3DCB"/>
    <w:rsid w:val="007E61EB"/>
    <w:rsid w:val="007E7C6C"/>
    <w:rsid w:val="007F0A7E"/>
    <w:rsid w:val="007F4312"/>
    <w:rsid w:val="007F7310"/>
    <w:rsid w:val="007F7570"/>
    <w:rsid w:val="00800FC5"/>
    <w:rsid w:val="00801974"/>
    <w:rsid w:val="00802A5E"/>
    <w:rsid w:val="00803A97"/>
    <w:rsid w:val="00811234"/>
    <w:rsid w:val="00811F29"/>
    <w:rsid w:val="008145BB"/>
    <w:rsid w:val="0081706E"/>
    <w:rsid w:val="008215E1"/>
    <w:rsid w:val="00821D63"/>
    <w:rsid w:val="00821F9B"/>
    <w:rsid w:val="00823349"/>
    <w:rsid w:val="00834548"/>
    <w:rsid w:val="00835045"/>
    <w:rsid w:val="008352DC"/>
    <w:rsid w:val="00835E23"/>
    <w:rsid w:val="00836256"/>
    <w:rsid w:val="00850845"/>
    <w:rsid w:val="008526AB"/>
    <w:rsid w:val="008528E2"/>
    <w:rsid w:val="00852BCB"/>
    <w:rsid w:val="00853F7B"/>
    <w:rsid w:val="008544B8"/>
    <w:rsid w:val="0086137A"/>
    <w:rsid w:val="00861AA9"/>
    <w:rsid w:val="0086252F"/>
    <w:rsid w:val="0086287D"/>
    <w:rsid w:val="00863C43"/>
    <w:rsid w:val="0087285C"/>
    <w:rsid w:val="0087411E"/>
    <w:rsid w:val="008755AB"/>
    <w:rsid w:val="00875F37"/>
    <w:rsid w:val="008761C7"/>
    <w:rsid w:val="0087668C"/>
    <w:rsid w:val="00877054"/>
    <w:rsid w:val="0087790D"/>
    <w:rsid w:val="00881FFC"/>
    <w:rsid w:val="00885071"/>
    <w:rsid w:val="00887823"/>
    <w:rsid w:val="0089100C"/>
    <w:rsid w:val="008958B1"/>
    <w:rsid w:val="008A30B1"/>
    <w:rsid w:val="008A411D"/>
    <w:rsid w:val="008A5115"/>
    <w:rsid w:val="008B02F9"/>
    <w:rsid w:val="008B36C0"/>
    <w:rsid w:val="008B36C7"/>
    <w:rsid w:val="008B44AB"/>
    <w:rsid w:val="008B6FCE"/>
    <w:rsid w:val="008C16EB"/>
    <w:rsid w:val="008C1A7C"/>
    <w:rsid w:val="008C3271"/>
    <w:rsid w:val="008C644D"/>
    <w:rsid w:val="008D2695"/>
    <w:rsid w:val="008E060F"/>
    <w:rsid w:val="008E0D5B"/>
    <w:rsid w:val="008E0EE0"/>
    <w:rsid w:val="008E30AB"/>
    <w:rsid w:val="008E5441"/>
    <w:rsid w:val="008E6FD9"/>
    <w:rsid w:val="008E76FC"/>
    <w:rsid w:val="008F4BE3"/>
    <w:rsid w:val="009055B2"/>
    <w:rsid w:val="00915441"/>
    <w:rsid w:val="00920246"/>
    <w:rsid w:val="00921643"/>
    <w:rsid w:val="00923279"/>
    <w:rsid w:val="009268FF"/>
    <w:rsid w:val="009272E4"/>
    <w:rsid w:val="00931558"/>
    <w:rsid w:val="00934574"/>
    <w:rsid w:val="009423B0"/>
    <w:rsid w:val="009450AB"/>
    <w:rsid w:val="009460F8"/>
    <w:rsid w:val="0095537C"/>
    <w:rsid w:val="0095562A"/>
    <w:rsid w:val="00956130"/>
    <w:rsid w:val="00956C8F"/>
    <w:rsid w:val="0096051A"/>
    <w:rsid w:val="00961F4F"/>
    <w:rsid w:val="00966532"/>
    <w:rsid w:val="00966747"/>
    <w:rsid w:val="00967096"/>
    <w:rsid w:val="00970175"/>
    <w:rsid w:val="0097332C"/>
    <w:rsid w:val="00977178"/>
    <w:rsid w:val="00980219"/>
    <w:rsid w:val="00980B70"/>
    <w:rsid w:val="00980BC8"/>
    <w:rsid w:val="00985B05"/>
    <w:rsid w:val="009872E3"/>
    <w:rsid w:val="0099114B"/>
    <w:rsid w:val="00991CA6"/>
    <w:rsid w:val="0099378D"/>
    <w:rsid w:val="00996E30"/>
    <w:rsid w:val="00997E93"/>
    <w:rsid w:val="009A0CFA"/>
    <w:rsid w:val="009A6FCA"/>
    <w:rsid w:val="009B0116"/>
    <w:rsid w:val="009B0AE8"/>
    <w:rsid w:val="009B0DCF"/>
    <w:rsid w:val="009B21A2"/>
    <w:rsid w:val="009B31C5"/>
    <w:rsid w:val="009B4BD4"/>
    <w:rsid w:val="009C142B"/>
    <w:rsid w:val="009C22C2"/>
    <w:rsid w:val="009C22E2"/>
    <w:rsid w:val="009C2354"/>
    <w:rsid w:val="009C2BC3"/>
    <w:rsid w:val="009C56FB"/>
    <w:rsid w:val="009D4581"/>
    <w:rsid w:val="009D4639"/>
    <w:rsid w:val="009D4B64"/>
    <w:rsid w:val="009E757C"/>
    <w:rsid w:val="009F071D"/>
    <w:rsid w:val="009F2FB8"/>
    <w:rsid w:val="009F33A1"/>
    <w:rsid w:val="009F3D70"/>
    <w:rsid w:val="009F6F17"/>
    <w:rsid w:val="00A0019C"/>
    <w:rsid w:val="00A065C2"/>
    <w:rsid w:val="00A070B6"/>
    <w:rsid w:val="00A1426D"/>
    <w:rsid w:val="00A205E7"/>
    <w:rsid w:val="00A23DCF"/>
    <w:rsid w:val="00A266E8"/>
    <w:rsid w:val="00A314C4"/>
    <w:rsid w:val="00A338B2"/>
    <w:rsid w:val="00A3604F"/>
    <w:rsid w:val="00A416DD"/>
    <w:rsid w:val="00A4246C"/>
    <w:rsid w:val="00A505C5"/>
    <w:rsid w:val="00A507CF"/>
    <w:rsid w:val="00A52D1F"/>
    <w:rsid w:val="00A54E42"/>
    <w:rsid w:val="00A60FA7"/>
    <w:rsid w:val="00A725E6"/>
    <w:rsid w:val="00A75783"/>
    <w:rsid w:val="00A75FFF"/>
    <w:rsid w:val="00A76428"/>
    <w:rsid w:val="00A7686B"/>
    <w:rsid w:val="00A76DF0"/>
    <w:rsid w:val="00A80080"/>
    <w:rsid w:val="00A839A3"/>
    <w:rsid w:val="00A90667"/>
    <w:rsid w:val="00A91708"/>
    <w:rsid w:val="00A9179E"/>
    <w:rsid w:val="00A94BE7"/>
    <w:rsid w:val="00A95BA7"/>
    <w:rsid w:val="00A976F0"/>
    <w:rsid w:val="00A97DA8"/>
    <w:rsid w:val="00AA22E1"/>
    <w:rsid w:val="00AA4C7B"/>
    <w:rsid w:val="00AA6607"/>
    <w:rsid w:val="00AA67B2"/>
    <w:rsid w:val="00AA7535"/>
    <w:rsid w:val="00AB180D"/>
    <w:rsid w:val="00AB3A37"/>
    <w:rsid w:val="00AB5989"/>
    <w:rsid w:val="00AD7D03"/>
    <w:rsid w:val="00AE120E"/>
    <w:rsid w:val="00AE5CEB"/>
    <w:rsid w:val="00AE7A29"/>
    <w:rsid w:val="00AE7C8E"/>
    <w:rsid w:val="00AF2BD1"/>
    <w:rsid w:val="00B026E1"/>
    <w:rsid w:val="00B03496"/>
    <w:rsid w:val="00B0387D"/>
    <w:rsid w:val="00B10134"/>
    <w:rsid w:val="00B10E12"/>
    <w:rsid w:val="00B115D8"/>
    <w:rsid w:val="00B115EA"/>
    <w:rsid w:val="00B17DF7"/>
    <w:rsid w:val="00B2774B"/>
    <w:rsid w:val="00B304CB"/>
    <w:rsid w:val="00B31CC2"/>
    <w:rsid w:val="00B33592"/>
    <w:rsid w:val="00B340D6"/>
    <w:rsid w:val="00B34BF5"/>
    <w:rsid w:val="00B34D70"/>
    <w:rsid w:val="00B35C38"/>
    <w:rsid w:val="00B36726"/>
    <w:rsid w:val="00B3758F"/>
    <w:rsid w:val="00B40432"/>
    <w:rsid w:val="00B468A9"/>
    <w:rsid w:val="00B50017"/>
    <w:rsid w:val="00B50857"/>
    <w:rsid w:val="00B54C94"/>
    <w:rsid w:val="00B556D4"/>
    <w:rsid w:val="00B56FB6"/>
    <w:rsid w:val="00B60C36"/>
    <w:rsid w:val="00B60F5A"/>
    <w:rsid w:val="00B615AD"/>
    <w:rsid w:val="00B61B7B"/>
    <w:rsid w:val="00B6295D"/>
    <w:rsid w:val="00B649D0"/>
    <w:rsid w:val="00B703D7"/>
    <w:rsid w:val="00B717C9"/>
    <w:rsid w:val="00B720BB"/>
    <w:rsid w:val="00B7555F"/>
    <w:rsid w:val="00B766C5"/>
    <w:rsid w:val="00B809D8"/>
    <w:rsid w:val="00B8574B"/>
    <w:rsid w:val="00B86249"/>
    <w:rsid w:val="00B918ED"/>
    <w:rsid w:val="00B94AC6"/>
    <w:rsid w:val="00B969A5"/>
    <w:rsid w:val="00B976C4"/>
    <w:rsid w:val="00BA443C"/>
    <w:rsid w:val="00BA4CDE"/>
    <w:rsid w:val="00BA6D81"/>
    <w:rsid w:val="00BB0B49"/>
    <w:rsid w:val="00BB26BD"/>
    <w:rsid w:val="00BB2C36"/>
    <w:rsid w:val="00BB7678"/>
    <w:rsid w:val="00BC2D87"/>
    <w:rsid w:val="00BC5CEC"/>
    <w:rsid w:val="00BC7D44"/>
    <w:rsid w:val="00BD053B"/>
    <w:rsid w:val="00BD0DAB"/>
    <w:rsid w:val="00BD4B50"/>
    <w:rsid w:val="00BD58DD"/>
    <w:rsid w:val="00BE04EC"/>
    <w:rsid w:val="00BE20F0"/>
    <w:rsid w:val="00BF6DBA"/>
    <w:rsid w:val="00BF7E25"/>
    <w:rsid w:val="00C00899"/>
    <w:rsid w:val="00C03218"/>
    <w:rsid w:val="00C03714"/>
    <w:rsid w:val="00C0398D"/>
    <w:rsid w:val="00C03B8A"/>
    <w:rsid w:val="00C042DF"/>
    <w:rsid w:val="00C072DD"/>
    <w:rsid w:val="00C07E7A"/>
    <w:rsid w:val="00C10A65"/>
    <w:rsid w:val="00C10D39"/>
    <w:rsid w:val="00C12204"/>
    <w:rsid w:val="00C162AE"/>
    <w:rsid w:val="00C166DB"/>
    <w:rsid w:val="00C21ADF"/>
    <w:rsid w:val="00C27E19"/>
    <w:rsid w:val="00C333A7"/>
    <w:rsid w:val="00C35EF2"/>
    <w:rsid w:val="00C41982"/>
    <w:rsid w:val="00C44217"/>
    <w:rsid w:val="00C443D1"/>
    <w:rsid w:val="00C46D29"/>
    <w:rsid w:val="00C46D86"/>
    <w:rsid w:val="00C47174"/>
    <w:rsid w:val="00C47481"/>
    <w:rsid w:val="00C47CA8"/>
    <w:rsid w:val="00C51899"/>
    <w:rsid w:val="00C51AC5"/>
    <w:rsid w:val="00C54931"/>
    <w:rsid w:val="00C572AF"/>
    <w:rsid w:val="00C60865"/>
    <w:rsid w:val="00C640BF"/>
    <w:rsid w:val="00C64E78"/>
    <w:rsid w:val="00C661F2"/>
    <w:rsid w:val="00C66693"/>
    <w:rsid w:val="00C6795E"/>
    <w:rsid w:val="00C711AE"/>
    <w:rsid w:val="00C7172C"/>
    <w:rsid w:val="00C77E9F"/>
    <w:rsid w:val="00C8008E"/>
    <w:rsid w:val="00C84740"/>
    <w:rsid w:val="00C85C10"/>
    <w:rsid w:val="00C85E93"/>
    <w:rsid w:val="00C90257"/>
    <w:rsid w:val="00C90666"/>
    <w:rsid w:val="00C909DB"/>
    <w:rsid w:val="00C92760"/>
    <w:rsid w:val="00C94353"/>
    <w:rsid w:val="00C94F6C"/>
    <w:rsid w:val="00C97641"/>
    <w:rsid w:val="00CA0785"/>
    <w:rsid w:val="00CA184A"/>
    <w:rsid w:val="00CA6982"/>
    <w:rsid w:val="00CA7BF0"/>
    <w:rsid w:val="00CB0BD9"/>
    <w:rsid w:val="00CB7DBC"/>
    <w:rsid w:val="00CC424F"/>
    <w:rsid w:val="00CC58E6"/>
    <w:rsid w:val="00CC5C48"/>
    <w:rsid w:val="00CC6456"/>
    <w:rsid w:val="00CC7642"/>
    <w:rsid w:val="00CD19F4"/>
    <w:rsid w:val="00CD3CA3"/>
    <w:rsid w:val="00CD5692"/>
    <w:rsid w:val="00CD7C62"/>
    <w:rsid w:val="00CE1DC7"/>
    <w:rsid w:val="00CE259F"/>
    <w:rsid w:val="00CE2B01"/>
    <w:rsid w:val="00CE348B"/>
    <w:rsid w:val="00CE3756"/>
    <w:rsid w:val="00CE4717"/>
    <w:rsid w:val="00CE62C0"/>
    <w:rsid w:val="00CF0ED4"/>
    <w:rsid w:val="00CF0F40"/>
    <w:rsid w:val="00CF3B8A"/>
    <w:rsid w:val="00CF497E"/>
    <w:rsid w:val="00D039AA"/>
    <w:rsid w:val="00D05AA6"/>
    <w:rsid w:val="00D05E47"/>
    <w:rsid w:val="00D1673A"/>
    <w:rsid w:val="00D167AC"/>
    <w:rsid w:val="00D17170"/>
    <w:rsid w:val="00D20AB1"/>
    <w:rsid w:val="00D21C07"/>
    <w:rsid w:val="00D248F0"/>
    <w:rsid w:val="00D31EF6"/>
    <w:rsid w:val="00D32288"/>
    <w:rsid w:val="00D32606"/>
    <w:rsid w:val="00D3389F"/>
    <w:rsid w:val="00D34BAD"/>
    <w:rsid w:val="00D35881"/>
    <w:rsid w:val="00D35BA6"/>
    <w:rsid w:val="00D41815"/>
    <w:rsid w:val="00D42CD6"/>
    <w:rsid w:val="00D430A8"/>
    <w:rsid w:val="00D44A79"/>
    <w:rsid w:val="00D50331"/>
    <w:rsid w:val="00D51649"/>
    <w:rsid w:val="00D531D1"/>
    <w:rsid w:val="00D55447"/>
    <w:rsid w:val="00D57C89"/>
    <w:rsid w:val="00D57ECD"/>
    <w:rsid w:val="00D609F8"/>
    <w:rsid w:val="00D638A7"/>
    <w:rsid w:val="00D66904"/>
    <w:rsid w:val="00D66F51"/>
    <w:rsid w:val="00D70019"/>
    <w:rsid w:val="00D70B8B"/>
    <w:rsid w:val="00D73D0F"/>
    <w:rsid w:val="00D74752"/>
    <w:rsid w:val="00D7581E"/>
    <w:rsid w:val="00D8579A"/>
    <w:rsid w:val="00D85F2E"/>
    <w:rsid w:val="00D928C6"/>
    <w:rsid w:val="00D92F3B"/>
    <w:rsid w:val="00D94469"/>
    <w:rsid w:val="00D94D72"/>
    <w:rsid w:val="00D9511E"/>
    <w:rsid w:val="00D952D8"/>
    <w:rsid w:val="00D971A1"/>
    <w:rsid w:val="00DA0C0C"/>
    <w:rsid w:val="00DA0FCE"/>
    <w:rsid w:val="00DA29A3"/>
    <w:rsid w:val="00DA52C0"/>
    <w:rsid w:val="00DB0B43"/>
    <w:rsid w:val="00DB4B9A"/>
    <w:rsid w:val="00DB6CFD"/>
    <w:rsid w:val="00DC17B0"/>
    <w:rsid w:val="00DC7DBA"/>
    <w:rsid w:val="00DD1996"/>
    <w:rsid w:val="00DD3455"/>
    <w:rsid w:val="00DD6968"/>
    <w:rsid w:val="00DE3541"/>
    <w:rsid w:val="00DE4E64"/>
    <w:rsid w:val="00DE5063"/>
    <w:rsid w:val="00DE74B4"/>
    <w:rsid w:val="00DE7926"/>
    <w:rsid w:val="00DF66A3"/>
    <w:rsid w:val="00E01B2D"/>
    <w:rsid w:val="00E01D02"/>
    <w:rsid w:val="00E056E8"/>
    <w:rsid w:val="00E11503"/>
    <w:rsid w:val="00E11B5A"/>
    <w:rsid w:val="00E166D6"/>
    <w:rsid w:val="00E174C7"/>
    <w:rsid w:val="00E22FA3"/>
    <w:rsid w:val="00E25E56"/>
    <w:rsid w:val="00E30C96"/>
    <w:rsid w:val="00E333A5"/>
    <w:rsid w:val="00E36B15"/>
    <w:rsid w:val="00E40220"/>
    <w:rsid w:val="00E40272"/>
    <w:rsid w:val="00E4051C"/>
    <w:rsid w:val="00E43661"/>
    <w:rsid w:val="00E44A1B"/>
    <w:rsid w:val="00E51D4C"/>
    <w:rsid w:val="00E52554"/>
    <w:rsid w:val="00E53263"/>
    <w:rsid w:val="00E54804"/>
    <w:rsid w:val="00E56644"/>
    <w:rsid w:val="00E60C99"/>
    <w:rsid w:val="00E62C0E"/>
    <w:rsid w:val="00E62CEB"/>
    <w:rsid w:val="00E63489"/>
    <w:rsid w:val="00E6450F"/>
    <w:rsid w:val="00E64C96"/>
    <w:rsid w:val="00E65BBA"/>
    <w:rsid w:val="00E667B9"/>
    <w:rsid w:val="00E70809"/>
    <w:rsid w:val="00E70E18"/>
    <w:rsid w:val="00E723AB"/>
    <w:rsid w:val="00E769EB"/>
    <w:rsid w:val="00E76BE8"/>
    <w:rsid w:val="00E77925"/>
    <w:rsid w:val="00E83C84"/>
    <w:rsid w:val="00E83CAD"/>
    <w:rsid w:val="00E86958"/>
    <w:rsid w:val="00E87B75"/>
    <w:rsid w:val="00E91C43"/>
    <w:rsid w:val="00E932B5"/>
    <w:rsid w:val="00E93673"/>
    <w:rsid w:val="00E95810"/>
    <w:rsid w:val="00E97B8F"/>
    <w:rsid w:val="00EA15E4"/>
    <w:rsid w:val="00EA43FE"/>
    <w:rsid w:val="00EA4496"/>
    <w:rsid w:val="00EA4786"/>
    <w:rsid w:val="00EA4E57"/>
    <w:rsid w:val="00EA710F"/>
    <w:rsid w:val="00EB4C60"/>
    <w:rsid w:val="00EB5CBA"/>
    <w:rsid w:val="00EC190E"/>
    <w:rsid w:val="00EC4EA9"/>
    <w:rsid w:val="00EC62F6"/>
    <w:rsid w:val="00EC771B"/>
    <w:rsid w:val="00ED0619"/>
    <w:rsid w:val="00ED1546"/>
    <w:rsid w:val="00ED3731"/>
    <w:rsid w:val="00ED4C00"/>
    <w:rsid w:val="00ED510D"/>
    <w:rsid w:val="00ED735F"/>
    <w:rsid w:val="00EE4AC7"/>
    <w:rsid w:val="00EF032B"/>
    <w:rsid w:val="00EF28BF"/>
    <w:rsid w:val="00EF76B8"/>
    <w:rsid w:val="00EF779E"/>
    <w:rsid w:val="00EF7F64"/>
    <w:rsid w:val="00F002E1"/>
    <w:rsid w:val="00F01128"/>
    <w:rsid w:val="00F02ECA"/>
    <w:rsid w:val="00F06018"/>
    <w:rsid w:val="00F12284"/>
    <w:rsid w:val="00F12721"/>
    <w:rsid w:val="00F1353A"/>
    <w:rsid w:val="00F15630"/>
    <w:rsid w:val="00F17224"/>
    <w:rsid w:val="00F1792A"/>
    <w:rsid w:val="00F249DB"/>
    <w:rsid w:val="00F31CF8"/>
    <w:rsid w:val="00F3241D"/>
    <w:rsid w:val="00F329D3"/>
    <w:rsid w:val="00F350B6"/>
    <w:rsid w:val="00F379D1"/>
    <w:rsid w:val="00F46D00"/>
    <w:rsid w:val="00F4779F"/>
    <w:rsid w:val="00F47B28"/>
    <w:rsid w:val="00F50238"/>
    <w:rsid w:val="00F52B06"/>
    <w:rsid w:val="00F5579C"/>
    <w:rsid w:val="00F569C4"/>
    <w:rsid w:val="00F570B1"/>
    <w:rsid w:val="00F574E7"/>
    <w:rsid w:val="00F57EC3"/>
    <w:rsid w:val="00F66732"/>
    <w:rsid w:val="00F67F0D"/>
    <w:rsid w:val="00F7468E"/>
    <w:rsid w:val="00F81F5C"/>
    <w:rsid w:val="00F82272"/>
    <w:rsid w:val="00F843DD"/>
    <w:rsid w:val="00F90A71"/>
    <w:rsid w:val="00F92C90"/>
    <w:rsid w:val="00F95CF7"/>
    <w:rsid w:val="00F9626A"/>
    <w:rsid w:val="00FA0670"/>
    <w:rsid w:val="00FA10CF"/>
    <w:rsid w:val="00FA2090"/>
    <w:rsid w:val="00FA21E3"/>
    <w:rsid w:val="00FA4D54"/>
    <w:rsid w:val="00FA5743"/>
    <w:rsid w:val="00FA7727"/>
    <w:rsid w:val="00FB7035"/>
    <w:rsid w:val="00FC4778"/>
    <w:rsid w:val="00FC4A7B"/>
    <w:rsid w:val="00FD18D3"/>
    <w:rsid w:val="00FD3CC6"/>
    <w:rsid w:val="00FD53AE"/>
    <w:rsid w:val="00FD731D"/>
    <w:rsid w:val="00FE07F0"/>
    <w:rsid w:val="00FE0A63"/>
    <w:rsid w:val="00FE1266"/>
    <w:rsid w:val="00FE164A"/>
    <w:rsid w:val="00FE1749"/>
    <w:rsid w:val="00FE253B"/>
    <w:rsid w:val="00FE29CC"/>
    <w:rsid w:val="00FE43BC"/>
    <w:rsid w:val="00FE475D"/>
    <w:rsid w:val="00FE62D5"/>
    <w:rsid w:val="00FF016D"/>
    <w:rsid w:val="00FF01FD"/>
    <w:rsid w:val="00FF17C2"/>
    <w:rsid w:val="00FF26A1"/>
    <w:rsid w:val="00FF6FD0"/>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79B6E4"/>
  <w15:chartTrackingRefBased/>
  <w15:docId w15:val="{482FD346-B1A2-4233-B4B5-F2EE8B60CE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4EA4"/>
    <w:pPr>
      <w:spacing w:before="120" w:after="120" w:line="360" w:lineRule="auto"/>
      <w:jc w:val="both"/>
    </w:pPr>
    <w:rPr>
      <w:rFonts w:asciiTheme="minorHAnsi" w:eastAsia="Times New Roman" w:hAnsiTheme="minorHAnsi"/>
      <w:sz w:val="24"/>
      <w:szCs w:val="24"/>
    </w:rPr>
  </w:style>
  <w:style w:type="paragraph" w:styleId="Ttulo1">
    <w:name w:val="heading 1"/>
    <w:basedOn w:val="Normal"/>
    <w:next w:val="Normal"/>
    <w:link w:val="Ttulo1Car"/>
    <w:uiPriority w:val="9"/>
    <w:qFormat/>
    <w:rsid w:val="000D09A0"/>
    <w:pPr>
      <w:keepNext/>
      <w:numPr>
        <w:numId w:val="3"/>
      </w:numPr>
      <w:outlineLvl w:val="0"/>
    </w:pPr>
    <w:rPr>
      <w:rFonts w:asciiTheme="majorHAnsi" w:hAnsiTheme="majorHAnsi"/>
      <w:bCs/>
      <w:caps/>
      <w:color w:val="0098CD"/>
      <w:kern w:val="32"/>
      <w:sz w:val="36"/>
      <w:szCs w:val="32"/>
    </w:rPr>
  </w:style>
  <w:style w:type="paragraph" w:styleId="Ttulo2">
    <w:name w:val="heading 2"/>
    <w:basedOn w:val="Normal"/>
    <w:next w:val="Normal"/>
    <w:link w:val="Ttulo2Car"/>
    <w:uiPriority w:val="9"/>
    <w:unhideWhenUsed/>
    <w:qFormat/>
    <w:rsid w:val="000D09A0"/>
    <w:pPr>
      <w:keepNext/>
      <w:numPr>
        <w:ilvl w:val="1"/>
        <w:numId w:val="3"/>
      </w:numPr>
      <w:outlineLvl w:val="1"/>
    </w:pPr>
    <w:rPr>
      <w:rFonts w:asciiTheme="majorHAnsi" w:hAnsiTheme="majorHAnsi" w:cs="Arial"/>
      <w:bCs/>
      <w:iCs/>
      <w:caps/>
      <w:color w:val="0098CD"/>
      <w:sz w:val="28"/>
      <w:szCs w:val="28"/>
    </w:rPr>
  </w:style>
  <w:style w:type="paragraph" w:styleId="Ttulo3">
    <w:name w:val="heading 3"/>
    <w:basedOn w:val="Normal"/>
    <w:next w:val="Normal"/>
    <w:link w:val="Ttulo3Car"/>
    <w:uiPriority w:val="9"/>
    <w:unhideWhenUsed/>
    <w:qFormat/>
    <w:rsid w:val="000D09A0"/>
    <w:pPr>
      <w:keepNext/>
      <w:numPr>
        <w:ilvl w:val="2"/>
        <w:numId w:val="3"/>
      </w:numPr>
      <w:ind w:left="709" w:hanging="709"/>
      <w:outlineLvl w:val="2"/>
    </w:pPr>
    <w:rPr>
      <w:rFonts w:asciiTheme="majorHAnsi" w:hAnsiTheme="majorHAnsi"/>
      <w:b/>
      <w:bCs/>
      <w:szCs w:val="26"/>
    </w:rPr>
  </w:style>
  <w:style w:type="paragraph" w:styleId="Ttulo4">
    <w:name w:val="heading 4"/>
    <w:basedOn w:val="Prrafodelista"/>
    <w:next w:val="Normal"/>
    <w:link w:val="Ttulo4Car"/>
    <w:uiPriority w:val="9"/>
    <w:unhideWhenUsed/>
    <w:qFormat/>
    <w:rsid w:val="000D09A0"/>
    <w:pPr>
      <w:numPr>
        <w:ilvl w:val="3"/>
        <w:numId w:val="3"/>
      </w:numPr>
      <w:ind w:left="851" w:hanging="851"/>
      <w:outlineLvl w:val="3"/>
    </w:pPr>
  </w:style>
  <w:style w:type="paragraph" w:styleId="Ttulo5">
    <w:name w:val="heading 5"/>
    <w:basedOn w:val="Normal"/>
    <w:next w:val="Normal"/>
    <w:link w:val="Ttulo5Car"/>
    <w:uiPriority w:val="9"/>
    <w:semiHidden/>
    <w:unhideWhenUsed/>
    <w:rsid w:val="00C84740"/>
    <w:pPr>
      <w:numPr>
        <w:ilvl w:val="4"/>
        <w:numId w:val="1"/>
      </w:numPr>
      <w:spacing w:before="240" w:after="60"/>
      <w:outlineLvl w:val="4"/>
    </w:pPr>
    <w:rPr>
      <w:rFonts w:ascii="Calibri" w:hAnsi="Calibri"/>
      <w:b/>
      <w:bCs/>
      <w:i/>
      <w:iCs/>
      <w:sz w:val="26"/>
      <w:szCs w:val="26"/>
    </w:rPr>
  </w:style>
  <w:style w:type="paragraph" w:styleId="Ttulo6">
    <w:name w:val="heading 6"/>
    <w:basedOn w:val="Normal"/>
    <w:next w:val="Normal"/>
    <w:link w:val="Ttulo6Car"/>
    <w:uiPriority w:val="9"/>
    <w:semiHidden/>
    <w:unhideWhenUsed/>
    <w:qFormat/>
    <w:rsid w:val="00C84740"/>
    <w:pPr>
      <w:numPr>
        <w:ilvl w:val="5"/>
        <w:numId w:val="1"/>
      </w:numPr>
      <w:spacing w:before="240" w:after="60"/>
      <w:outlineLvl w:val="5"/>
    </w:pPr>
    <w:rPr>
      <w:rFonts w:ascii="Calibri" w:hAnsi="Calibri"/>
      <w:b/>
      <w:bCs/>
      <w:szCs w:val="22"/>
    </w:rPr>
  </w:style>
  <w:style w:type="paragraph" w:styleId="Ttulo7">
    <w:name w:val="heading 7"/>
    <w:basedOn w:val="Normal"/>
    <w:next w:val="Normal"/>
    <w:link w:val="Ttulo7Car"/>
    <w:uiPriority w:val="9"/>
    <w:semiHidden/>
    <w:unhideWhenUsed/>
    <w:qFormat/>
    <w:rsid w:val="00C84740"/>
    <w:pPr>
      <w:numPr>
        <w:ilvl w:val="6"/>
        <w:numId w:val="1"/>
      </w:numPr>
      <w:spacing w:before="240" w:after="60"/>
      <w:outlineLvl w:val="6"/>
    </w:pPr>
    <w:rPr>
      <w:rFonts w:ascii="Calibri" w:hAnsi="Calibri"/>
    </w:rPr>
  </w:style>
  <w:style w:type="paragraph" w:styleId="Ttulo8">
    <w:name w:val="heading 8"/>
    <w:basedOn w:val="Normal"/>
    <w:next w:val="Normal"/>
    <w:link w:val="Ttulo8Car"/>
    <w:uiPriority w:val="9"/>
    <w:semiHidden/>
    <w:unhideWhenUsed/>
    <w:qFormat/>
    <w:rsid w:val="00C84740"/>
    <w:pPr>
      <w:numPr>
        <w:ilvl w:val="7"/>
        <w:numId w:val="1"/>
      </w:numPr>
      <w:spacing w:before="240" w:after="60"/>
      <w:outlineLvl w:val="7"/>
    </w:pPr>
    <w:rPr>
      <w:rFonts w:ascii="Calibri" w:hAnsi="Calibri"/>
      <w:i/>
      <w:iCs/>
    </w:rPr>
  </w:style>
  <w:style w:type="paragraph" w:styleId="Ttulo9">
    <w:name w:val="heading 9"/>
    <w:basedOn w:val="Normal"/>
    <w:next w:val="Normal"/>
    <w:link w:val="Ttulo9Car"/>
    <w:uiPriority w:val="9"/>
    <w:semiHidden/>
    <w:unhideWhenUsed/>
    <w:qFormat/>
    <w:rsid w:val="00C84740"/>
    <w:pPr>
      <w:numPr>
        <w:ilvl w:val="8"/>
        <w:numId w:val="1"/>
      </w:numPr>
      <w:spacing w:before="240" w:after="60"/>
      <w:outlineLvl w:val="8"/>
    </w:pPr>
    <w:rPr>
      <w:rFonts w:ascii="Calibri Light" w:hAnsi="Calibri Light"/>
      <w:szCs w:val="22"/>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rsid w:val="00507BAD"/>
    <w:rPr>
      <w:rFonts w:eastAsia="Times New Roman"/>
      <w:sz w:val="22"/>
      <w:szCs w:val="22"/>
      <w:lang w:eastAsia="en-US"/>
    </w:rPr>
  </w:style>
  <w:style w:type="character" w:customStyle="1" w:styleId="SinespaciadoCar">
    <w:name w:val="Sin espaciado Car"/>
    <w:link w:val="Sinespaciado"/>
    <w:uiPriority w:val="1"/>
    <w:rsid w:val="00507BAD"/>
    <w:rPr>
      <w:rFonts w:eastAsia="Times New Roman"/>
      <w:sz w:val="22"/>
      <w:szCs w:val="22"/>
      <w:lang w:val="es-ES" w:eastAsia="en-US" w:bidi="ar-SA"/>
    </w:rPr>
  </w:style>
  <w:style w:type="paragraph" w:styleId="Textodeglobo">
    <w:name w:val="Balloon Text"/>
    <w:basedOn w:val="Normal"/>
    <w:link w:val="TextodegloboCar"/>
    <w:uiPriority w:val="99"/>
    <w:semiHidden/>
    <w:unhideWhenUsed/>
    <w:rsid w:val="00507BAD"/>
    <w:rPr>
      <w:rFonts w:ascii="Tahoma" w:hAnsi="Tahoma"/>
      <w:sz w:val="16"/>
      <w:szCs w:val="16"/>
      <w:lang w:val="x-none"/>
    </w:rPr>
  </w:style>
  <w:style w:type="character" w:customStyle="1" w:styleId="TextodegloboCar">
    <w:name w:val="Texto de globo Car"/>
    <w:link w:val="Textodeglobo"/>
    <w:uiPriority w:val="99"/>
    <w:semiHidden/>
    <w:rsid w:val="00507BAD"/>
    <w:rPr>
      <w:rFonts w:ascii="Tahoma" w:eastAsia="Times New Roman" w:hAnsi="Tahoma" w:cs="Tahoma"/>
      <w:sz w:val="16"/>
      <w:szCs w:val="16"/>
      <w:lang w:eastAsia="es-ES"/>
    </w:rPr>
  </w:style>
  <w:style w:type="paragraph" w:styleId="Encabezado">
    <w:name w:val="header"/>
    <w:basedOn w:val="Normal"/>
    <w:link w:val="EncabezadoCar"/>
    <w:uiPriority w:val="99"/>
    <w:unhideWhenUsed/>
    <w:rsid w:val="006A56B3"/>
    <w:pPr>
      <w:tabs>
        <w:tab w:val="center" w:pos="4252"/>
        <w:tab w:val="right" w:pos="8504"/>
      </w:tabs>
    </w:pPr>
  </w:style>
  <w:style w:type="character" w:customStyle="1" w:styleId="EncabezadoCar">
    <w:name w:val="Encabezado Car"/>
    <w:link w:val="Encabezado"/>
    <w:uiPriority w:val="99"/>
    <w:rsid w:val="006A56B3"/>
    <w:rPr>
      <w:rFonts w:ascii="Times New Roman" w:eastAsia="Times New Roman" w:hAnsi="Times New Roman"/>
      <w:sz w:val="24"/>
      <w:szCs w:val="24"/>
    </w:rPr>
  </w:style>
  <w:style w:type="paragraph" w:styleId="Piedepgina">
    <w:name w:val="footer"/>
    <w:basedOn w:val="Normal"/>
    <w:link w:val="PiedepginaCar"/>
    <w:uiPriority w:val="99"/>
    <w:unhideWhenUsed/>
    <w:rsid w:val="006A56B3"/>
    <w:pPr>
      <w:tabs>
        <w:tab w:val="center" w:pos="4252"/>
        <w:tab w:val="right" w:pos="8504"/>
      </w:tabs>
    </w:pPr>
  </w:style>
  <w:style w:type="character" w:customStyle="1" w:styleId="PiedepginaCar">
    <w:name w:val="Pie de página Car"/>
    <w:link w:val="Piedepgina"/>
    <w:uiPriority w:val="99"/>
    <w:rsid w:val="006A56B3"/>
    <w:rPr>
      <w:rFonts w:ascii="Times New Roman" w:eastAsia="Times New Roman" w:hAnsi="Times New Roman"/>
      <w:sz w:val="24"/>
      <w:szCs w:val="24"/>
    </w:rPr>
  </w:style>
  <w:style w:type="character" w:customStyle="1" w:styleId="Ttulo1Car">
    <w:name w:val="Título 1 Car"/>
    <w:link w:val="Ttulo1"/>
    <w:uiPriority w:val="9"/>
    <w:rsid w:val="000D09A0"/>
    <w:rPr>
      <w:rFonts w:asciiTheme="majorHAnsi" w:eastAsia="Times New Roman" w:hAnsiTheme="majorHAnsi"/>
      <w:bCs/>
      <w:caps/>
      <w:color w:val="0098CD"/>
      <w:kern w:val="32"/>
      <w:sz w:val="36"/>
      <w:szCs w:val="32"/>
    </w:rPr>
  </w:style>
  <w:style w:type="character" w:customStyle="1" w:styleId="Ttulo2Car">
    <w:name w:val="Título 2 Car"/>
    <w:link w:val="Ttulo2"/>
    <w:uiPriority w:val="9"/>
    <w:rsid w:val="000D09A0"/>
    <w:rPr>
      <w:rFonts w:asciiTheme="majorHAnsi" w:eastAsia="Times New Roman" w:hAnsiTheme="majorHAnsi" w:cs="Arial"/>
      <w:bCs/>
      <w:iCs/>
      <w:caps/>
      <w:color w:val="0098CD"/>
      <w:sz w:val="28"/>
      <w:szCs w:val="28"/>
    </w:rPr>
  </w:style>
  <w:style w:type="character" w:customStyle="1" w:styleId="Ttulo3Car">
    <w:name w:val="Título 3 Car"/>
    <w:link w:val="Ttulo3"/>
    <w:uiPriority w:val="9"/>
    <w:rsid w:val="000D09A0"/>
    <w:rPr>
      <w:rFonts w:asciiTheme="majorHAnsi" w:eastAsia="Times New Roman" w:hAnsiTheme="majorHAnsi"/>
      <w:b/>
      <w:bCs/>
      <w:sz w:val="24"/>
      <w:szCs w:val="26"/>
    </w:rPr>
  </w:style>
  <w:style w:type="paragraph" w:styleId="Ttulo">
    <w:name w:val="Title"/>
    <w:aliases w:val="Subtitulos 3er nivel"/>
    <w:basedOn w:val="Normal"/>
    <w:next w:val="Normal"/>
    <w:link w:val="TtuloCar"/>
    <w:uiPriority w:val="10"/>
    <w:rsid w:val="00D971A1"/>
    <w:pPr>
      <w:outlineLvl w:val="2"/>
    </w:pPr>
    <w:rPr>
      <w:bCs/>
      <w:i/>
      <w:kern w:val="28"/>
      <w:szCs w:val="32"/>
    </w:rPr>
  </w:style>
  <w:style w:type="character" w:customStyle="1" w:styleId="TtuloCar">
    <w:name w:val="Título Car"/>
    <w:aliases w:val="Subtitulos 3er nivel Car"/>
    <w:link w:val="Ttulo"/>
    <w:uiPriority w:val="10"/>
    <w:rsid w:val="00D971A1"/>
    <w:rPr>
      <w:rFonts w:ascii="Arial" w:eastAsia="Times New Roman" w:hAnsi="Arial" w:cs="Times New Roman"/>
      <w:bCs/>
      <w:i/>
      <w:kern w:val="28"/>
      <w:sz w:val="24"/>
      <w:szCs w:val="32"/>
    </w:rPr>
  </w:style>
  <w:style w:type="character" w:customStyle="1" w:styleId="Ttulo4Car">
    <w:name w:val="Título 4 Car"/>
    <w:link w:val="Ttulo4"/>
    <w:uiPriority w:val="9"/>
    <w:rsid w:val="000D09A0"/>
    <w:rPr>
      <w:rFonts w:asciiTheme="minorHAnsi" w:eastAsia="Times New Roman" w:hAnsiTheme="minorHAnsi"/>
      <w:sz w:val="24"/>
      <w:szCs w:val="24"/>
    </w:rPr>
  </w:style>
  <w:style w:type="paragraph" w:styleId="Cita">
    <w:name w:val="Quote"/>
    <w:basedOn w:val="Normal"/>
    <w:next w:val="Normal"/>
    <w:link w:val="CitaCar"/>
    <w:uiPriority w:val="29"/>
    <w:qFormat/>
    <w:rsid w:val="00514164"/>
    <w:pPr>
      <w:spacing w:line="240" w:lineRule="auto"/>
    </w:pPr>
    <w:rPr>
      <w:iCs/>
      <w:color w:val="404040"/>
    </w:rPr>
  </w:style>
  <w:style w:type="character" w:customStyle="1" w:styleId="CitaCar">
    <w:name w:val="Cita Car"/>
    <w:link w:val="Cita"/>
    <w:uiPriority w:val="29"/>
    <w:rsid w:val="00514164"/>
    <w:rPr>
      <w:rFonts w:ascii="Arial" w:eastAsia="Times New Roman" w:hAnsi="Arial"/>
      <w:iCs/>
      <w:color w:val="404040"/>
      <w:sz w:val="22"/>
      <w:szCs w:val="24"/>
    </w:rPr>
  </w:style>
  <w:style w:type="paragraph" w:styleId="TtuloTDC">
    <w:name w:val="TOC Heading"/>
    <w:aliases w:val="Tablas"/>
    <w:basedOn w:val="Tabladeilustraciones"/>
    <w:next w:val="Normal"/>
    <w:uiPriority w:val="39"/>
    <w:unhideWhenUsed/>
    <w:qFormat/>
    <w:rsid w:val="008C16EB"/>
    <w:pPr>
      <w:tabs>
        <w:tab w:val="right" w:leader="dot" w:pos="9060"/>
      </w:tabs>
    </w:pPr>
    <w:rPr>
      <w:rFonts w:cs="Arial"/>
      <w:b/>
      <w:noProof/>
    </w:rPr>
  </w:style>
  <w:style w:type="paragraph" w:styleId="TDC1">
    <w:name w:val="toc 1"/>
    <w:basedOn w:val="Normal"/>
    <w:next w:val="Normal"/>
    <w:autoRedefine/>
    <w:uiPriority w:val="39"/>
    <w:unhideWhenUsed/>
    <w:rsid w:val="00B809D8"/>
    <w:pPr>
      <w:tabs>
        <w:tab w:val="right" w:leader="dot" w:pos="9061"/>
      </w:tabs>
    </w:pPr>
  </w:style>
  <w:style w:type="character" w:styleId="Hipervnculo">
    <w:name w:val="Hyperlink"/>
    <w:uiPriority w:val="99"/>
    <w:unhideWhenUsed/>
    <w:rsid w:val="00877054"/>
    <w:rPr>
      <w:color w:val="0563C1"/>
      <w:u w:val="single"/>
    </w:rPr>
  </w:style>
  <w:style w:type="character" w:customStyle="1" w:styleId="Ttulo5Car">
    <w:name w:val="Título 5 Car"/>
    <w:link w:val="Ttulo5"/>
    <w:uiPriority w:val="9"/>
    <w:semiHidden/>
    <w:rsid w:val="00C84740"/>
    <w:rPr>
      <w:rFonts w:eastAsia="Times New Roman"/>
      <w:b/>
      <w:bCs/>
      <w:i/>
      <w:iCs/>
      <w:sz w:val="26"/>
      <w:szCs w:val="26"/>
    </w:rPr>
  </w:style>
  <w:style w:type="character" w:customStyle="1" w:styleId="Ttulo6Car">
    <w:name w:val="Título 6 Car"/>
    <w:link w:val="Ttulo6"/>
    <w:uiPriority w:val="9"/>
    <w:semiHidden/>
    <w:rsid w:val="00C84740"/>
    <w:rPr>
      <w:rFonts w:eastAsia="Times New Roman"/>
      <w:b/>
      <w:bCs/>
      <w:sz w:val="24"/>
      <w:szCs w:val="22"/>
    </w:rPr>
  </w:style>
  <w:style w:type="character" w:customStyle="1" w:styleId="Ttulo7Car">
    <w:name w:val="Título 7 Car"/>
    <w:link w:val="Ttulo7"/>
    <w:uiPriority w:val="9"/>
    <w:semiHidden/>
    <w:rsid w:val="00C84740"/>
    <w:rPr>
      <w:rFonts w:eastAsia="Times New Roman"/>
      <w:sz w:val="24"/>
      <w:szCs w:val="24"/>
    </w:rPr>
  </w:style>
  <w:style w:type="character" w:customStyle="1" w:styleId="Ttulo8Car">
    <w:name w:val="Título 8 Car"/>
    <w:link w:val="Ttulo8"/>
    <w:uiPriority w:val="9"/>
    <w:semiHidden/>
    <w:rsid w:val="00C84740"/>
    <w:rPr>
      <w:rFonts w:eastAsia="Times New Roman"/>
      <w:i/>
      <w:iCs/>
      <w:sz w:val="24"/>
      <w:szCs w:val="24"/>
    </w:rPr>
  </w:style>
  <w:style w:type="character" w:customStyle="1" w:styleId="Ttulo9Car">
    <w:name w:val="Título 9 Car"/>
    <w:link w:val="Ttulo9"/>
    <w:uiPriority w:val="9"/>
    <w:semiHidden/>
    <w:rsid w:val="00C84740"/>
    <w:rPr>
      <w:rFonts w:ascii="Calibri Light" w:eastAsia="Times New Roman" w:hAnsi="Calibri Light"/>
      <w:sz w:val="24"/>
      <w:szCs w:val="22"/>
    </w:rPr>
  </w:style>
  <w:style w:type="paragraph" w:styleId="TDC2">
    <w:name w:val="toc 2"/>
    <w:basedOn w:val="Normal"/>
    <w:next w:val="Normal"/>
    <w:autoRedefine/>
    <w:uiPriority w:val="39"/>
    <w:unhideWhenUsed/>
    <w:rsid w:val="00783DCC"/>
    <w:pPr>
      <w:ind w:left="221"/>
    </w:pPr>
  </w:style>
  <w:style w:type="paragraph" w:styleId="TDC3">
    <w:name w:val="toc 3"/>
    <w:basedOn w:val="Normal"/>
    <w:next w:val="Normal"/>
    <w:autoRedefine/>
    <w:uiPriority w:val="39"/>
    <w:unhideWhenUsed/>
    <w:rsid w:val="001526D9"/>
    <w:pPr>
      <w:ind w:left="440"/>
    </w:pPr>
  </w:style>
  <w:style w:type="character" w:styleId="Refdecomentario">
    <w:name w:val="annotation reference"/>
    <w:uiPriority w:val="99"/>
    <w:semiHidden/>
    <w:unhideWhenUsed/>
    <w:rsid w:val="00793FDB"/>
    <w:rPr>
      <w:sz w:val="16"/>
      <w:szCs w:val="16"/>
    </w:rPr>
  </w:style>
  <w:style w:type="paragraph" w:styleId="TDC4">
    <w:name w:val="toc 4"/>
    <w:basedOn w:val="Normal"/>
    <w:next w:val="Normal"/>
    <w:autoRedefine/>
    <w:uiPriority w:val="39"/>
    <w:unhideWhenUsed/>
    <w:rsid w:val="0066672A"/>
    <w:pPr>
      <w:ind w:left="660"/>
    </w:pPr>
  </w:style>
  <w:style w:type="paragraph" w:styleId="Textocomentario">
    <w:name w:val="annotation text"/>
    <w:basedOn w:val="Normal"/>
    <w:link w:val="TextocomentarioCar"/>
    <w:uiPriority w:val="99"/>
    <w:unhideWhenUsed/>
    <w:rsid w:val="00793FDB"/>
    <w:rPr>
      <w:sz w:val="20"/>
      <w:szCs w:val="20"/>
    </w:rPr>
  </w:style>
  <w:style w:type="character" w:customStyle="1" w:styleId="TextocomentarioCar">
    <w:name w:val="Texto comentario Car"/>
    <w:link w:val="Textocomentario"/>
    <w:uiPriority w:val="99"/>
    <w:rsid w:val="00793FDB"/>
    <w:rPr>
      <w:rFonts w:ascii="Arial" w:eastAsia="Times New Roman" w:hAnsi="Arial"/>
    </w:rPr>
  </w:style>
  <w:style w:type="paragraph" w:styleId="Asuntodelcomentario">
    <w:name w:val="annotation subject"/>
    <w:basedOn w:val="Textocomentario"/>
    <w:next w:val="Textocomentario"/>
    <w:link w:val="AsuntodelcomentarioCar"/>
    <w:uiPriority w:val="99"/>
    <w:semiHidden/>
    <w:unhideWhenUsed/>
    <w:rsid w:val="00793FDB"/>
    <w:rPr>
      <w:b/>
      <w:bCs/>
    </w:rPr>
  </w:style>
  <w:style w:type="character" w:customStyle="1" w:styleId="AsuntodelcomentarioCar">
    <w:name w:val="Asunto del comentario Car"/>
    <w:link w:val="Asuntodelcomentario"/>
    <w:uiPriority w:val="99"/>
    <w:semiHidden/>
    <w:rsid w:val="00793FDB"/>
    <w:rPr>
      <w:rFonts w:ascii="Arial" w:eastAsia="Times New Roman" w:hAnsi="Arial"/>
      <w:b/>
      <w:bCs/>
    </w:rPr>
  </w:style>
  <w:style w:type="paragraph" w:styleId="Descripcin">
    <w:name w:val="caption"/>
    <w:basedOn w:val="Normal"/>
    <w:next w:val="Normal"/>
    <w:uiPriority w:val="35"/>
    <w:unhideWhenUsed/>
    <w:qFormat/>
    <w:rsid w:val="00793FDB"/>
    <w:rPr>
      <w:b/>
      <w:bCs/>
      <w:sz w:val="20"/>
      <w:szCs w:val="20"/>
    </w:rPr>
  </w:style>
  <w:style w:type="table" w:styleId="Tablaconcuadrcula">
    <w:name w:val="Table Grid"/>
    <w:basedOn w:val="Tablanormal"/>
    <w:uiPriority w:val="59"/>
    <w:rsid w:val="00BD4B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guras">
    <w:name w:val="Figuras"/>
    <w:basedOn w:val="Normal"/>
    <w:link w:val="FigurasCar"/>
    <w:autoRedefine/>
    <w:qFormat/>
    <w:rsid w:val="004D23EF"/>
    <w:pPr>
      <w:keepNext/>
      <w:tabs>
        <w:tab w:val="center" w:pos="4253"/>
      </w:tabs>
      <w:spacing w:before="0" w:after="0" w:line="276" w:lineRule="auto"/>
      <w:ind w:left="709" w:right="707"/>
      <w:jc w:val="center"/>
    </w:pPr>
    <w:rPr>
      <w:rFonts w:cs="Arial"/>
      <w:i/>
    </w:rPr>
  </w:style>
  <w:style w:type="paragraph" w:styleId="Tabladeilustraciones">
    <w:name w:val="table of figures"/>
    <w:basedOn w:val="Normal"/>
    <w:next w:val="Normal"/>
    <w:uiPriority w:val="99"/>
    <w:unhideWhenUsed/>
    <w:rsid w:val="001C2AB4"/>
  </w:style>
  <w:style w:type="paragraph" w:styleId="ndice1">
    <w:name w:val="index 1"/>
    <w:basedOn w:val="Normal"/>
    <w:next w:val="Normal"/>
    <w:autoRedefine/>
    <w:uiPriority w:val="99"/>
    <w:semiHidden/>
    <w:unhideWhenUsed/>
    <w:qFormat/>
    <w:rsid w:val="00977178"/>
    <w:pPr>
      <w:numPr>
        <w:numId w:val="2"/>
      </w:numPr>
    </w:pPr>
    <w:rPr>
      <w:b/>
      <w:caps/>
      <w:sz w:val="28"/>
    </w:rPr>
  </w:style>
  <w:style w:type="paragraph" w:styleId="ndice2">
    <w:name w:val="index 2"/>
    <w:basedOn w:val="Normal"/>
    <w:next w:val="Normal"/>
    <w:autoRedefine/>
    <w:uiPriority w:val="99"/>
    <w:semiHidden/>
    <w:unhideWhenUsed/>
    <w:qFormat/>
    <w:rsid w:val="00977178"/>
    <w:pPr>
      <w:ind w:left="709" w:hanging="709"/>
    </w:pPr>
    <w:rPr>
      <w:b/>
      <w:caps/>
    </w:rPr>
  </w:style>
  <w:style w:type="paragraph" w:styleId="ndice3">
    <w:name w:val="index 3"/>
    <w:basedOn w:val="Normal"/>
    <w:next w:val="Normal"/>
    <w:autoRedefine/>
    <w:uiPriority w:val="99"/>
    <w:semiHidden/>
    <w:unhideWhenUsed/>
    <w:qFormat/>
    <w:rsid w:val="00977178"/>
    <w:pPr>
      <w:ind w:left="221" w:hanging="221"/>
    </w:pPr>
  </w:style>
  <w:style w:type="paragraph" w:styleId="ndice4">
    <w:name w:val="index 4"/>
    <w:basedOn w:val="Normal"/>
    <w:next w:val="Normal"/>
    <w:autoRedefine/>
    <w:uiPriority w:val="99"/>
    <w:semiHidden/>
    <w:unhideWhenUsed/>
    <w:qFormat/>
    <w:rsid w:val="00977178"/>
    <w:pPr>
      <w:ind w:left="221" w:hanging="221"/>
    </w:pPr>
    <w:rPr>
      <w:i/>
    </w:rPr>
  </w:style>
  <w:style w:type="character" w:customStyle="1" w:styleId="FigurasCar">
    <w:name w:val="Figuras Car"/>
    <w:link w:val="Figuras"/>
    <w:rsid w:val="004D23EF"/>
    <w:rPr>
      <w:rFonts w:asciiTheme="minorHAnsi" w:eastAsia="Times New Roman" w:hAnsiTheme="minorHAnsi" w:cs="Arial"/>
      <w:i/>
      <w:sz w:val="24"/>
      <w:szCs w:val="24"/>
    </w:rPr>
  </w:style>
  <w:style w:type="paragraph" w:styleId="TDC8">
    <w:name w:val="toc 8"/>
    <w:basedOn w:val="Normal"/>
    <w:next w:val="Normal"/>
    <w:autoRedefine/>
    <w:uiPriority w:val="39"/>
    <w:semiHidden/>
    <w:unhideWhenUsed/>
    <w:rsid w:val="001C2AB4"/>
    <w:pPr>
      <w:ind w:left="1540"/>
    </w:pPr>
  </w:style>
  <w:style w:type="paragraph" w:styleId="TDC9">
    <w:name w:val="toc 9"/>
    <w:basedOn w:val="Normal"/>
    <w:next w:val="Normal"/>
    <w:autoRedefine/>
    <w:uiPriority w:val="39"/>
    <w:semiHidden/>
    <w:unhideWhenUsed/>
    <w:rsid w:val="00C10A65"/>
    <w:pPr>
      <w:ind w:left="1760"/>
    </w:pPr>
  </w:style>
  <w:style w:type="paragraph" w:customStyle="1" w:styleId="PiedepginaSecciones">
    <w:name w:val="Pie de página_Secciones"/>
    <w:basedOn w:val="Normal"/>
    <w:uiPriority w:val="19"/>
    <w:qFormat/>
    <w:rsid w:val="00CA0785"/>
    <w:pPr>
      <w:tabs>
        <w:tab w:val="right" w:pos="8220"/>
      </w:tabs>
      <w:spacing w:after="100" w:line="240" w:lineRule="auto"/>
      <w:jc w:val="right"/>
    </w:pPr>
    <w:rPr>
      <w:rFonts w:ascii="Calibri" w:hAnsi="Calibri" w:cs="UnitOT-Light"/>
      <w:bCs/>
      <w:noProof/>
      <w:color w:val="0098CD"/>
      <w:sz w:val="20"/>
      <w:szCs w:val="20"/>
    </w:rPr>
  </w:style>
  <w:style w:type="paragraph" w:customStyle="1" w:styleId="Ttulondices">
    <w:name w:val="Título Índices"/>
    <w:basedOn w:val="Normal"/>
    <w:link w:val="TtulondicesCar"/>
    <w:qFormat/>
    <w:rsid w:val="008C16EB"/>
    <w:rPr>
      <w:rFonts w:asciiTheme="majorHAnsi" w:hAnsiTheme="majorHAnsi" w:cs="Arial"/>
      <w:color w:val="0098CD"/>
      <w:sz w:val="36"/>
      <w:szCs w:val="36"/>
      <w:lang w:eastAsia="en-US"/>
    </w:rPr>
  </w:style>
  <w:style w:type="paragraph" w:customStyle="1" w:styleId="Pgina">
    <w:name w:val="Página"/>
    <w:basedOn w:val="Piedepgina"/>
    <w:link w:val="PginaCar"/>
    <w:qFormat/>
    <w:rsid w:val="00EC771B"/>
    <w:pPr>
      <w:jc w:val="right"/>
    </w:pPr>
    <w:rPr>
      <w:rFonts w:cs="Arial"/>
      <w:szCs w:val="22"/>
    </w:rPr>
  </w:style>
  <w:style w:type="character" w:customStyle="1" w:styleId="TtulondicesCar">
    <w:name w:val="Título Índices Car"/>
    <w:basedOn w:val="Fuentedeprrafopredeter"/>
    <w:link w:val="Ttulondices"/>
    <w:rsid w:val="008C16EB"/>
    <w:rPr>
      <w:rFonts w:asciiTheme="majorHAnsi" w:eastAsia="Times New Roman" w:hAnsiTheme="majorHAnsi" w:cs="Arial"/>
      <w:color w:val="0098CD"/>
      <w:sz w:val="36"/>
      <w:szCs w:val="36"/>
      <w:lang w:eastAsia="en-US"/>
    </w:rPr>
  </w:style>
  <w:style w:type="character" w:customStyle="1" w:styleId="PginaCar">
    <w:name w:val="Página Car"/>
    <w:basedOn w:val="PiedepginaCar"/>
    <w:link w:val="Pgina"/>
    <w:rsid w:val="00EC771B"/>
    <w:rPr>
      <w:rFonts w:asciiTheme="minorHAnsi" w:eastAsia="Times New Roman" w:hAnsiTheme="minorHAnsi" w:cs="Arial"/>
      <w:sz w:val="22"/>
      <w:szCs w:val="22"/>
    </w:rPr>
  </w:style>
  <w:style w:type="paragraph" w:styleId="Prrafodelista">
    <w:name w:val="List Paragraph"/>
    <w:basedOn w:val="Normal"/>
    <w:uiPriority w:val="34"/>
    <w:rsid w:val="00DA0FCE"/>
    <w:pPr>
      <w:ind w:left="720"/>
      <w:contextualSpacing/>
    </w:pPr>
  </w:style>
  <w:style w:type="paragraph" w:styleId="Textonotapie">
    <w:name w:val="footnote text"/>
    <w:basedOn w:val="Normal"/>
    <w:link w:val="TextonotapieCar"/>
    <w:uiPriority w:val="99"/>
    <w:semiHidden/>
    <w:unhideWhenUsed/>
    <w:rsid w:val="00FA0670"/>
    <w:pPr>
      <w:spacing w:before="0" w:after="0" w:line="240" w:lineRule="auto"/>
    </w:pPr>
    <w:rPr>
      <w:sz w:val="20"/>
      <w:szCs w:val="20"/>
    </w:rPr>
  </w:style>
  <w:style w:type="character" w:customStyle="1" w:styleId="TextonotapieCar">
    <w:name w:val="Texto nota pie Car"/>
    <w:basedOn w:val="Fuentedeprrafopredeter"/>
    <w:link w:val="Textonotapie"/>
    <w:uiPriority w:val="99"/>
    <w:semiHidden/>
    <w:rsid w:val="00FA0670"/>
    <w:rPr>
      <w:rFonts w:asciiTheme="minorHAnsi" w:eastAsia="Times New Roman" w:hAnsiTheme="minorHAnsi"/>
    </w:rPr>
  </w:style>
  <w:style w:type="character" w:styleId="Refdenotaalpie">
    <w:name w:val="footnote reference"/>
    <w:basedOn w:val="Fuentedeprrafopredeter"/>
    <w:uiPriority w:val="99"/>
    <w:semiHidden/>
    <w:unhideWhenUsed/>
    <w:rsid w:val="00FA0670"/>
    <w:rPr>
      <w:vertAlign w:val="superscript"/>
    </w:rPr>
  </w:style>
  <w:style w:type="paragraph" w:customStyle="1" w:styleId="Ttulo1sinnumerar">
    <w:name w:val="Título 1 sin numerar"/>
    <w:basedOn w:val="Ttulo1"/>
    <w:qFormat/>
    <w:rsid w:val="00A75783"/>
    <w:pPr>
      <w:numPr>
        <w:numId w:val="0"/>
      </w:numPr>
    </w:pPr>
    <w:rPr>
      <w:caps w:val="0"/>
    </w:rPr>
  </w:style>
  <w:style w:type="paragraph" w:customStyle="1" w:styleId="Referenciasbibliogrficas">
    <w:name w:val="Referencias bibliográficas"/>
    <w:basedOn w:val="Normal"/>
    <w:qFormat/>
    <w:rsid w:val="00A75783"/>
    <w:pPr>
      <w:ind w:left="284" w:hanging="284"/>
    </w:pPr>
    <w:rPr>
      <w:lang w:val="en-US"/>
    </w:rPr>
  </w:style>
  <w:style w:type="paragraph" w:customStyle="1" w:styleId="Anexo">
    <w:name w:val="Anexo"/>
    <w:basedOn w:val="Ttulo1sinnumerar"/>
    <w:qFormat/>
    <w:rsid w:val="00D34BAD"/>
    <w:pPr>
      <w:numPr>
        <w:numId w:val="4"/>
      </w:numPr>
      <w:ind w:left="360"/>
    </w:pPr>
  </w:style>
  <w:style w:type="character" w:customStyle="1" w:styleId="ng-star-inserted">
    <w:name w:val="ng-star-inserted"/>
    <w:basedOn w:val="Fuentedeprrafopredeter"/>
    <w:rsid w:val="00CB7DBC"/>
  </w:style>
  <w:style w:type="paragraph" w:styleId="NormalWeb">
    <w:name w:val="Normal (Web)"/>
    <w:basedOn w:val="Normal"/>
    <w:uiPriority w:val="99"/>
    <w:unhideWhenUsed/>
    <w:rsid w:val="00EA15E4"/>
    <w:pPr>
      <w:spacing w:before="100" w:beforeAutospacing="1" w:after="100" w:afterAutospacing="1" w:line="240" w:lineRule="auto"/>
      <w:jc w:val="left"/>
    </w:pPr>
    <w:rPr>
      <w:rFonts w:ascii="Times New Roman" w:hAnsi="Times New Roman"/>
    </w:rPr>
  </w:style>
  <w:style w:type="table" w:styleId="Tablaconcuadrcula7concolores">
    <w:name w:val="Grid Table 7 Colorful"/>
    <w:basedOn w:val="Tablanormal"/>
    <w:uiPriority w:val="52"/>
    <w:rsid w:val="00970175"/>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character" w:styleId="CdigoHTML">
    <w:name w:val="HTML Code"/>
    <w:basedOn w:val="Fuentedeprrafopredeter"/>
    <w:uiPriority w:val="99"/>
    <w:semiHidden/>
    <w:unhideWhenUsed/>
    <w:rsid w:val="00F3241D"/>
    <w:rPr>
      <w:rFonts w:ascii="Courier New" w:eastAsia="Times New Roman" w:hAnsi="Courier New" w:cs="Courier New"/>
      <w:sz w:val="20"/>
      <w:szCs w:val="20"/>
    </w:rPr>
  </w:style>
  <w:style w:type="paragraph" w:styleId="Bibliografa">
    <w:name w:val="Bibliography"/>
    <w:basedOn w:val="Normal"/>
    <w:next w:val="Normal"/>
    <w:uiPriority w:val="37"/>
    <w:unhideWhenUsed/>
    <w:rsid w:val="00FA2090"/>
    <w:pPr>
      <w:tabs>
        <w:tab w:val="left" w:pos="264"/>
      </w:tabs>
      <w:spacing w:after="240" w:line="240" w:lineRule="auto"/>
      <w:ind w:left="264" w:hanging="264"/>
    </w:pPr>
  </w:style>
  <w:style w:type="character" w:styleId="Mencinsinresolver">
    <w:name w:val="Unresolved Mention"/>
    <w:basedOn w:val="Fuentedeprrafopredeter"/>
    <w:uiPriority w:val="99"/>
    <w:semiHidden/>
    <w:unhideWhenUsed/>
    <w:rsid w:val="00FA2090"/>
    <w:rPr>
      <w:color w:val="605E5C"/>
      <w:shd w:val="clear" w:color="auto" w:fill="E1DFDD"/>
    </w:rPr>
  </w:style>
  <w:style w:type="character" w:styleId="Hipervnculovisitado">
    <w:name w:val="FollowedHyperlink"/>
    <w:basedOn w:val="Fuentedeprrafopredeter"/>
    <w:uiPriority w:val="99"/>
    <w:semiHidden/>
    <w:unhideWhenUsed/>
    <w:rsid w:val="00FA2090"/>
    <w:rPr>
      <w:color w:val="954F72" w:themeColor="followedHyperlink"/>
      <w:u w:val="single"/>
    </w:rPr>
  </w:style>
  <w:style w:type="paragraph" w:styleId="Revisin">
    <w:name w:val="Revision"/>
    <w:hidden/>
    <w:uiPriority w:val="99"/>
    <w:semiHidden/>
    <w:rsid w:val="00FD18D3"/>
    <w:rPr>
      <w:rFonts w:asciiTheme="minorHAnsi" w:eastAsia="Times New Roman" w:hAnsiTheme="minorHAnsi"/>
      <w:sz w:val="24"/>
      <w:szCs w:val="24"/>
    </w:rPr>
  </w:style>
  <w:style w:type="character" w:styleId="Textodelmarcadordeposicin">
    <w:name w:val="Placeholder Text"/>
    <w:basedOn w:val="Fuentedeprrafopredeter"/>
    <w:uiPriority w:val="99"/>
    <w:semiHidden/>
    <w:rsid w:val="002F3B63"/>
    <w:rPr>
      <w:color w:val="666666"/>
    </w:rPr>
  </w:style>
  <w:style w:type="character" w:customStyle="1" w:styleId="math-inline">
    <w:name w:val="math-inline"/>
    <w:basedOn w:val="Fuentedeprrafopredeter"/>
    <w:rsid w:val="00800FC5"/>
  </w:style>
  <w:style w:type="character" w:customStyle="1" w:styleId="ng-tns-c1613754720-245">
    <w:name w:val="ng-tns-c1613754720-245"/>
    <w:basedOn w:val="Fuentedeprrafopredeter"/>
    <w:rsid w:val="003A582A"/>
  </w:style>
  <w:style w:type="paragraph" w:styleId="HTMLconformatoprevio">
    <w:name w:val="HTML Preformatted"/>
    <w:basedOn w:val="Normal"/>
    <w:link w:val="HTMLconformatoprevioCar"/>
    <w:uiPriority w:val="99"/>
    <w:semiHidden/>
    <w:unhideWhenUsed/>
    <w:rsid w:val="003A58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pPr>
    <w:rPr>
      <w:rFonts w:ascii="Courier New" w:hAnsi="Courier New" w:cs="Courier New"/>
      <w:sz w:val="20"/>
      <w:szCs w:val="20"/>
    </w:rPr>
  </w:style>
  <w:style w:type="character" w:customStyle="1" w:styleId="HTMLconformatoprevioCar">
    <w:name w:val="HTML con formato previo Car"/>
    <w:basedOn w:val="Fuentedeprrafopredeter"/>
    <w:link w:val="HTMLconformatoprevio"/>
    <w:uiPriority w:val="99"/>
    <w:semiHidden/>
    <w:rsid w:val="003A582A"/>
    <w:rPr>
      <w:rFonts w:ascii="Courier New" w:eastAsia="Times New Roman" w:hAnsi="Courier New" w:cs="Courier New"/>
    </w:rPr>
  </w:style>
  <w:style w:type="character" w:customStyle="1" w:styleId="hljs-number">
    <w:name w:val="hljs-number"/>
    <w:basedOn w:val="Fuentedeprrafopredeter"/>
    <w:rsid w:val="003A582A"/>
  </w:style>
  <w:style w:type="table" w:styleId="Tabladelista4">
    <w:name w:val="List Table 4"/>
    <w:basedOn w:val="Tablanormal"/>
    <w:uiPriority w:val="49"/>
    <w:rsid w:val="00504CBB"/>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clara">
    <w:name w:val="Grid Table Light"/>
    <w:basedOn w:val="Tablanormal"/>
    <w:uiPriority w:val="40"/>
    <w:rsid w:val="00C94F6C"/>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5">
    <w:name w:val="Plain Table 5"/>
    <w:basedOn w:val="Tablanormal"/>
    <w:uiPriority w:val="45"/>
    <w:rsid w:val="00C94F6C"/>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ncbi.nlm.nih.gov" TargetMode="External"/><Relationship Id="rId18" Type="http://schemas.openxmlformats.org/officeDocument/2006/relationships/hyperlink" Target="https://github.com/VeronicaCVT/TFM_Bioinfo_Colon_Cancer" TargetMode="External"/><Relationship Id="rId26" Type="http://schemas.openxmlformats.org/officeDocument/2006/relationships/image" Target="media/image10.png"/><Relationship Id="rId39" Type="http://schemas.openxmlformats.org/officeDocument/2006/relationships/image" Target="media/image22.png"/><Relationship Id="rId21" Type="http://schemas.openxmlformats.org/officeDocument/2006/relationships/image" Target="media/image6.png"/><Relationship Id="rId34" Type="http://schemas.openxmlformats.org/officeDocument/2006/relationships/image" Target="media/image17.png"/><Relationship Id="rId42" Type="http://schemas.openxmlformats.org/officeDocument/2006/relationships/image" Target="media/image25.png"/><Relationship Id="rId47" Type="http://schemas.openxmlformats.org/officeDocument/2006/relationships/theme" Target="theme/theme1.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hyperlink" Target="https://www.genenames.org" TargetMode="External"/><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github.com/VeronicaCVT/TFM_Bioinfo_Colon_Cancer" TargetMode="External"/><Relationship Id="rId24" Type="http://schemas.openxmlformats.org/officeDocument/2006/relationships/image" Target="media/image8.png"/><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footer" Target="footer1.xml"/><Relationship Id="rId5" Type="http://schemas.openxmlformats.org/officeDocument/2006/relationships/styles" Target="styles.xml"/><Relationship Id="rId15" Type="http://schemas.openxmlformats.org/officeDocument/2006/relationships/hyperlink" Target="https://portal.gdc.cancer.gov" TargetMode="External"/><Relationship Id="rId23" Type="http://schemas.openxmlformats.org/officeDocument/2006/relationships/hyperlink" Target="https://github.com/VeronicaCVT/TFM_Bioinfo_Colon_Cancer" TargetMode="External"/><Relationship Id="rId28" Type="http://schemas.openxmlformats.org/officeDocument/2006/relationships/image" Target="media/image12.png"/><Relationship Id="rId36" Type="http://schemas.openxmlformats.org/officeDocument/2006/relationships/image" Target="media/image19.png"/><Relationship Id="rId10" Type="http://schemas.openxmlformats.org/officeDocument/2006/relationships/image" Target="media/image2.png"/><Relationship Id="rId19" Type="http://schemas.openxmlformats.org/officeDocument/2006/relationships/image" Target="media/image4.png"/><Relationship Id="rId31" Type="http://schemas.openxmlformats.org/officeDocument/2006/relationships/hyperlink" Target="https://github.com/VeronicaCVT/TFM_Bioinfo_Colon_Cancer" TargetMode="External"/><Relationship Id="rId44"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www.cancer.gov/ccg/research/genome-sequencing/tcga" TargetMode="External"/><Relationship Id="rId22" Type="http://schemas.openxmlformats.org/officeDocument/2006/relationships/image" Target="media/image7.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8.png"/><Relationship Id="rId43" Type="http://schemas.openxmlformats.org/officeDocument/2006/relationships/image" Target="media/image26.png"/><Relationship Id="rId8" Type="http://schemas.openxmlformats.org/officeDocument/2006/relationships/footnotes" Target="footnotes.xml"/><Relationship Id="rId3" Type="http://schemas.openxmlformats.org/officeDocument/2006/relationships/customXml" Target="../customXml/item3.xml"/><Relationship Id="rId12" Type="http://schemas.openxmlformats.org/officeDocument/2006/relationships/hyperlink" Target="https://www.ncbi.nlm.nih.gov/geo/" TargetMode="External"/><Relationship Id="rId17" Type="http://schemas.openxmlformats.org/officeDocument/2006/relationships/image" Target="media/image3.png"/><Relationship Id="rId25" Type="http://schemas.openxmlformats.org/officeDocument/2006/relationships/image" Target="media/image9.png"/><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fontTable" Target="fontTable.xml"/><Relationship Id="rId20" Type="http://schemas.openxmlformats.org/officeDocument/2006/relationships/image" Target="media/image5.png"/><Relationship Id="rId41" Type="http://schemas.openxmlformats.org/officeDocument/2006/relationships/image" Target="media/image24.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DF3D7C797EA12745A270EF30E38719B9" ma:contentTypeVersion="19" ma:contentTypeDescription="Crear nuevo documento." ma:contentTypeScope="" ma:versionID="227b02526234ef39b0b78895a9d90cf5">
  <xsd:schema xmlns:xsd="http://www.w3.org/2001/XMLSchema" xmlns:xs="http://www.w3.org/2001/XMLSchema" xmlns:p="http://schemas.microsoft.com/office/2006/metadata/properties" xmlns:ns2="0a70e875-3d35-4be2-921f-7117c31bab9b" xmlns:ns3="27c1adeb-3674-457c-b08c-8a73f31b6e23" targetNamespace="http://schemas.microsoft.com/office/2006/metadata/properties" ma:root="true" ma:fieldsID="3c939c8607e2f594db8bbb23634dd059" ns2:_="" ns3:_="">
    <xsd:import namespace="0a70e875-3d35-4be2-921f-7117c31bab9b"/>
    <xsd:import namespace="27c1adeb-3674-457c-b08c-8a73f31b6e2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Location" minOccurs="0"/>
                <xsd:element ref="ns3:lcf76f155ced4ddcb4097134ff3c332f" minOccurs="0"/>
                <xsd:element ref="ns2:TaxCatchAll" minOccurs="0"/>
                <xsd:element ref="ns3:MediaServiceSearchProperties" minOccurs="0"/>
                <xsd:element ref="ns3:_Flow_SignoffStatu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70e875-3d35-4be2-921f-7117c31bab9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c7f67346-78c9-4c4d-b954-8d350fdf60db}" ma:internalName="TaxCatchAll" ma:showField="CatchAllData" ma:web="0a70e875-3d35-4be2-921f-7117c31bab9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7c1adeb-3674-457c-b08c-8a73f31b6e2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17631b59-e624-4eb7-963c-219f14f887a3"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_Flow_SignoffStatus" ma:index="25" nillable="true" ma:displayName="Estado de aprobación" ma:internalName="Estado_x0020_de_x0020_aprobaci_x00f3_n">
      <xsd:simpleType>
        <xsd:restriction base="dms:Text"/>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8086A6-6904-47FD-B45B-B04574B1D10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70e875-3d35-4be2-921f-7117c31bab9b"/>
    <ds:schemaRef ds:uri="27c1adeb-3674-457c-b08c-8a73f31b6e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7DC6A7E-A6FE-4629-9326-EE8561E00944}">
  <ds:schemaRefs>
    <ds:schemaRef ds:uri="http://schemas.microsoft.com/sharepoint/v3/contenttype/forms"/>
  </ds:schemaRefs>
</ds:datastoreItem>
</file>

<file path=customXml/itemProps3.xml><?xml version="1.0" encoding="utf-8"?>
<ds:datastoreItem xmlns:ds="http://schemas.openxmlformats.org/officeDocument/2006/customXml" ds:itemID="{E35E88E2-9BCD-476E-93C8-34C638B1B6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9725</TotalTime>
  <Pages>95</Pages>
  <Words>145963</Words>
  <Characters>802799</Characters>
  <Application>Microsoft Office Word</Application>
  <DocSecurity>0</DocSecurity>
  <Lines>6689</Lines>
  <Paragraphs>1893</Paragraphs>
  <ScaleCrop>false</ScaleCrop>
  <HeadingPairs>
    <vt:vector size="2" baseType="variant">
      <vt:variant>
        <vt:lpstr>Título</vt:lpstr>
      </vt:variant>
      <vt:variant>
        <vt:i4>1</vt:i4>
      </vt:variant>
    </vt:vector>
  </HeadingPairs>
  <TitlesOfParts>
    <vt:vector size="1" baseType="lpstr">
      <vt:lpstr/>
    </vt:vector>
  </TitlesOfParts>
  <Company>Universidad Internacional de La Rioja                                                   Facultad de Educación</Company>
  <LinksUpToDate>false</LinksUpToDate>
  <CharactersWithSpaces>946869</CharactersWithSpaces>
  <SharedDoc>false</SharedDoc>
  <HLinks>
    <vt:vector size="36" baseType="variant">
      <vt:variant>
        <vt:i4>1441842</vt:i4>
      </vt:variant>
      <vt:variant>
        <vt:i4>38</vt:i4>
      </vt:variant>
      <vt:variant>
        <vt:i4>0</vt:i4>
      </vt:variant>
      <vt:variant>
        <vt:i4>5</vt:i4>
      </vt:variant>
      <vt:variant>
        <vt:lpwstr/>
      </vt:variant>
      <vt:variant>
        <vt:lpwstr>_Toc437523349</vt:lpwstr>
      </vt:variant>
      <vt:variant>
        <vt:i4>1441842</vt:i4>
      </vt:variant>
      <vt:variant>
        <vt:i4>29</vt:i4>
      </vt:variant>
      <vt:variant>
        <vt:i4>0</vt:i4>
      </vt:variant>
      <vt:variant>
        <vt:i4>5</vt:i4>
      </vt:variant>
      <vt:variant>
        <vt:lpwstr/>
      </vt:variant>
      <vt:variant>
        <vt:lpwstr>_Toc437523343</vt:lpwstr>
      </vt:variant>
      <vt:variant>
        <vt:i4>1310770</vt:i4>
      </vt:variant>
      <vt:variant>
        <vt:i4>20</vt:i4>
      </vt:variant>
      <vt:variant>
        <vt:i4>0</vt:i4>
      </vt:variant>
      <vt:variant>
        <vt:i4>5</vt:i4>
      </vt:variant>
      <vt:variant>
        <vt:lpwstr/>
      </vt:variant>
      <vt:variant>
        <vt:lpwstr>_Toc437523362</vt:lpwstr>
      </vt:variant>
      <vt:variant>
        <vt:i4>1310770</vt:i4>
      </vt:variant>
      <vt:variant>
        <vt:i4>14</vt:i4>
      </vt:variant>
      <vt:variant>
        <vt:i4>0</vt:i4>
      </vt:variant>
      <vt:variant>
        <vt:i4>5</vt:i4>
      </vt:variant>
      <vt:variant>
        <vt:lpwstr/>
      </vt:variant>
      <vt:variant>
        <vt:lpwstr>_Toc437523361</vt:lpwstr>
      </vt:variant>
      <vt:variant>
        <vt:i4>1310770</vt:i4>
      </vt:variant>
      <vt:variant>
        <vt:i4>8</vt:i4>
      </vt:variant>
      <vt:variant>
        <vt:i4>0</vt:i4>
      </vt:variant>
      <vt:variant>
        <vt:i4>5</vt:i4>
      </vt:variant>
      <vt:variant>
        <vt:lpwstr/>
      </vt:variant>
      <vt:variant>
        <vt:lpwstr>_Toc437523360</vt:lpwstr>
      </vt:variant>
      <vt:variant>
        <vt:i4>1507378</vt:i4>
      </vt:variant>
      <vt:variant>
        <vt:i4>2</vt:i4>
      </vt:variant>
      <vt:variant>
        <vt:i4>0</vt:i4>
      </vt:variant>
      <vt:variant>
        <vt:i4>5</vt:i4>
      </vt:variant>
      <vt:variant>
        <vt:lpwstr/>
      </vt:variant>
      <vt:variant>
        <vt:lpwstr>_Toc437523359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Conchi de Miguel</dc:creator>
  <cp:keywords/>
  <cp:lastModifiedBy>veronica cabeza de vaca tocino</cp:lastModifiedBy>
  <cp:revision>169</cp:revision>
  <cp:lastPrinted>2019-08-05T13:11:00Z</cp:lastPrinted>
  <dcterms:created xsi:type="dcterms:W3CDTF">2020-10-30T06:25:00Z</dcterms:created>
  <dcterms:modified xsi:type="dcterms:W3CDTF">2026-09-04T10:35:00Z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id="JhGGwX47"/&gt;&lt;style id="http://www.zotero.org/styles/nlm-citation-sequence" locale="es-ES" hasBibliography="1" bibliographyStyleHasBeenSet="1"/&gt;&lt;prefs&gt;&lt;pref name="fieldType" value="Field"/&gt;&lt;pref nam</vt:lpwstr>
  </property>
  <property fmtid="{D5CDD505-2E9C-101B-9397-08002B2CF9AE}" pid="3" name="ZOTERO_PREF_2">
    <vt:lpwstr>e="automaticJournalAbbreviations" value="true"/&gt;&lt;/prefs&gt;&lt;/data&gt;</vt:lpwstr>
  </property>
</Properties>
</file>